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77A0">
      <w:pPr>
        <w:spacing w:line="560" w:lineRule="exact"/>
        <w:rPr>
          <w:rFonts w:hint="eastAsia" w:ascii="Times New Roman" w:hAnsi="Times New Roman" w:eastAsia="黑体"/>
          <w:sz w:val="32"/>
          <w:lang w:eastAsia="zh"/>
        </w:rPr>
      </w:pPr>
      <w:r>
        <w:rPr>
          <w:rFonts w:hint="eastAsia" w:ascii="Times New Roman" w:hAnsi="Times New Roman" w:eastAsia="黑体"/>
          <w:sz w:val="32"/>
          <w:lang w:eastAsia="zh"/>
        </w:rPr>
        <w:t>附件2</w:t>
      </w:r>
    </w:p>
    <w:p w14:paraId="73B1FDEC">
      <w:pPr>
        <w:pStyle w:val="2"/>
        <w:spacing w:line="560" w:lineRule="exact"/>
        <w:rPr>
          <w:rFonts w:ascii="Times New Roman" w:hAnsi="Times New Roman" w:eastAsia="方正大标宋简体"/>
          <w:bCs/>
          <w:sz w:val="44"/>
          <w:szCs w:val="44"/>
        </w:rPr>
      </w:pPr>
      <w:bookmarkStart w:id="0" w:name="_GoBack"/>
      <w:bookmarkEnd w:id="0"/>
    </w:p>
    <w:p w14:paraId="5E96C83F">
      <w:pPr>
        <w:spacing w:line="560" w:lineRule="exact"/>
        <w:jc w:val="center"/>
        <w:outlineLvl w:val="0"/>
        <w:rPr>
          <w:rFonts w:ascii="Times New Roman" w:hAnsi="Times New Roman" w:eastAsia="方正大标宋简体"/>
          <w:bCs/>
          <w:sz w:val="44"/>
          <w:szCs w:val="44"/>
        </w:rPr>
      </w:pPr>
      <w:r>
        <w:rPr>
          <w:rFonts w:ascii="Times New Roman" w:hAnsi="Times New Roman" w:eastAsia="方正大标宋简体"/>
          <w:bCs/>
          <w:sz w:val="44"/>
          <w:szCs w:val="44"/>
        </w:rPr>
        <w:t>《上海证券交易所科创板上市公司自律</w:t>
      </w:r>
    </w:p>
    <w:p w14:paraId="569D680B">
      <w:pPr>
        <w:spacing w:line="560" w:lineRule="exact"/>
        <w:jc w:val="center"/>
        <w:outlineLvl w:val="0"/>
        <w:rPr>
          <w:rFonts w:ascii="Times New Roman" w:hAnsi="Times New Roman" w:eastAsia="方正大标宋简体"/>
          <w:bCs/>
          <w:sz w:val="44"/>
          <w:szCs w:val="44"/>
        </w:rPr>
      </w:pPr>
      <w:r>
        <w:rPr>
          <w:rFonts w:ascii="Times New Roman" w:hAnsi="Times New Roman" w:eastAsia="方正大标宋简体"/>
          <w:bCs/>
          <w:sz w:val="44"/>
          <w:szCs w:val="44"/>
        </w:rPr>
        <w:t>监管指引第5号</w:t>
      </w:r>
      <w:r>
        <w:rPr>
          <w:rFonts w:hint="eastAsia" w:ascii="Times New Roman" w:hAnsi="Times New Roman" w:eastAsia="方正大标宋简体"/>
          <w:bCs/>
          <w:sz w:val="44"/>
          <w:szCs w:val="44"/>
          <w:lang w:eastAsia="zh"/>
        </w:rPr>
        <w:t>——</w:t>
      </w:r>
      <w:r>
        <w:rPr>
          <w:rFonts w:ascii="Times New Roman" w:hAnsi="Times New Roman" w:eastAsia="方正大标宋简体"/>
          <w:bCs/>
          <w:sz w:val="44"/>
          <w:szCs w:val="44"/>
        </w:rPr>
        <w:t>科创成长层》起草说明</w:t>
      </w:r>
    </w:p>
    <w:p w14:paraId="746A5F9E">
      <w:pPr>
        <w:spacing w:line="560" w:lineRule="exact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</w:p>
    <w:p w14:paraId="0788653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为了落实《中国证监会关于在科创板设置科创成长层 增强制度包容性适应性的意见》（以下简称《科创板意见》），规范科创板科创成长层上市公司日常监管，保护投资者合法权益，更好服务科技创新和新质生产力发展，上海证券交易所（以下简称本所）起草了《上海证券交易所科创板上市公司自律监管指引</w:t>
      </w:r>
      <w:r>
        <w:rPr>
          <w:rFonts w:ascii="Times New Roman" w:hAnsi="Times New Roman" w:eastAsia="仿宋_GB2312"/>
          <w:sz w:val="32"/>
          <w:szCs w:val="32"/>
        </w:rPr>
        <w:t>第5</w:t>
      </w:r>
      <w:r>
        <w:rPr>
          <w:rFonts w:hint="eastAsia" w:ascii="仿宋_GB2312" w:hAnsi="Times New Roman" w:eastAsia="仿宋_GB2312"/>
          <w:sz w:val="32"/>
          <w:szCs w:val="32"/>
        </w:rPr>
        <w:t>号——科创成长层》（以下简称《科创成长层指引》），现将有关情况说明如下。</w:t>
      </w:r>
    </w:p>
    <w:p w14:paraId="45343C27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 w14:paraId="3B6F370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设立科创板并试点注册制六年来，</w:t>
      </w:r>
      <w:r>
        <w:rPr>
          <w:rFonts w:hint="eastAsia" w:ascii="仿宋_GB2312" w:hAnsi="Times New Roman" w:eastAsia="仿宋_GB2312"/>
          <w:sz w:val="32"/>
          <w:szCs w:val="32"/>
        </w:rPr>
        <w:t>在中国证监会的领导下，本所坚守科创板板块定位，深化各项制度机制创新，改革效应不断放大。特别是，</w:t>
      </w:r>
      <w:r>
        <w:rPr>
          <w:rFonts w:hint="eastAsia" w:ascii="仿宋_GB2312" w:eastAsia="仿宋_GB2312"/>
          <w:sz w:val="32"/>
          <w:szCs w:val="32"/>
        </w:rPr>
        <w:t>“科创板八条”发布实施一年来，科创板改革“再出发”，服务科技创新和新质生产力发展的能力持续增强。</w:t>
      </w:r>
      <w:r>
        <w:rPr>
          <w:rFonts w:ascii="Times New Roman" w:hAnsi="Times New Roman" w:eastAsia="仿宋_GB2312"/>
          <w:sz w:val="32"/>
          <w:szCs w:val="32"/>
        </w:rPr>
        <w:t>2025年6月18日，</w:t>
      </w:r>
      <w:r>
        <w:rPr>
          <w:rFonts w:hint="eastAsia" w:ascii="仿宋_GB2312" w:hAnsi="Times New Roman" w:eastAsia="仿宋_GB2312"/>
          <w:sz w:val="32"/>
          <w:szCs w:val="32"/>
        </w:rPr>
        <w:t>中国证监会发布《科创板意见》，进一步发挥科创板“试验田”作用，设置科创成长层，在促进投融资平衡的基础上更好发挥支持科技创新功能作用。《科创成长层指引》细化落实《科创板意见》要求，明确科创成长层的具体定位、纳入调出条件、信息披露要求等。</w:t>
      </w:r>
    </w:p>
    <w:p w14:paraId="5D3971D1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 w14:paraId="1A9797E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《科创成长层指引》共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条，主要包括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方面内容，具体如下：</w:t>
      </w:r>
    </w:p>
    <w:p w14:paraId="738AAB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明确科创成长层定位，</w:t>
      </w:r>
      <w:r>
        <w:rPr>
          <w:rFonts w:hint="eastAsia" w:ascii="仿宋_GB2312" w:hAnsi="Times New Roman" w:eastAsia="仿宋_GB2312"/>
          <w:sz w:val="32"/>
          <w:szCs w:val="32"/>
        </w:rPr>
        <w:t>科创成长层</w:t>
      </w:r>
      <w:r>
        <w:rPr>
          <w:rFonts w:hint="eastAsia" w:ascii="仿宋_GB2312" w:eastAsia="仿宋_GB2312"/>
          <w:sz w:val="32"/>
          <w:szCs w:val="32"/>
        </w:rPr>
        <w:t>精准支持技术实现较大突破、商业前景广阔、持续研发投入大、上市时处于未盈利阶段的科技型企业。</w:t>
      </w:r>
    </w:p>
    <w:p w14:paraId="337B0986">
      <w:pPr>
        <w:widowControl/>
        <w:shd w:val="clear" w:color="auto" w:fill="FFFFFF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规定科创成长层范围，包括存量的上市至今尚未盈利的科创板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（以下简称</w:t>
      </w:r>
      <w:r>
        <w:rPr>
          <w:rFonts w:ascii="仿宋_GB2312" w:eastAsia="仿宋_GB2312"/>
          <w:sz w:val="32"/>
          <w:szCs w:val="32"/>
        </w:rPr>
        <w:t>存量公司</w:t>
      </w:r>
      <w:r>
        <w:rPr>
          <w:rFonts w:hint="eastAsia" w:ascii="仿宋_GB2312" w:eastAsia="仿宋_GB2312"/>
          <w:sz w:val="32"/>
          <w:szCs w:val="32"/>
        </w:rPr>
        <w:t>）及新注册的上市时未盈利的科创板公司（以下简称</w:t>
      </w:r>
      <w:r>
        <w:rPr>
          <w:rFonts w:ascii="仿宋_GB2312" w:eastAsia="仿宋_GB2312"/>
          <w:sz w:val="32"/>
          <w:szCs w:val="32"/>
        </w:rPr>
        <w:t>增量</w:t>
      </w:r>
      <w:r>
        <w:rPr>
          <w:rFonts w:hint="eastAsia" w:ascii="仿宋_GB2312" w:eastAsia="仿宋_GB2312"/>
          <w:sz w:val="32"/>
          <w:szCs w:val="32"/>
        </w:rPr>
        <w:t>公司）。其中</w:t>
      </w:r>
      <w:r>
        <w:rPr>
          <w:rFonts w:ascii="仿宋_GB2312" w:eastAsia="仿宋_GB2312"/>
          <w:sz w:val="32"/>
          <w:szCs w:val="32"/>
        </w:rPr>
        <w:t>存量公司</w:t>
      </w:r>
      <w:r>
        <w:rPr>
          <w:rFonts w:hint="eastAsia" w:ascii="Times New Roman" w:hAnsi="Times New Roman" w:eastAsia="仿宋_GB2312"/>
          <w:sz w:val="32"/>
          <w:szCs w:val="32"/>
        </w:rPr>
        <w:t>自本指引发布之日起纳入科创成长层，增量公司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自上市之日起</w:t>
      </w:r>
      <w:r>
        <w:rPr>
          <w:rFonts w:ascii="Times New Roman" w:hAnsi="Times New Roman" w:eastAsia="仿宋_GB2312"/>
          <w:sz w:val="32"/>
          <w:szCs w:val="32"/>
        </w:rPr>
        <w:t>纳入科创成长层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BBDA072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细化调出条件及程序，调出条件实施“新老划断”。其中，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推动增量公司</w:t>
      </w:r>
      <w:r>
        <w:rPr>
          <w:rFonts w:hint="eastAsia" w:ascii="Times New Roman" w:hAnsi="Times New Roman" w:eastAsia="仿宋_GB2312"/>
          <w:sz w:val="32"/>
          <w:szCs w:val="32"/>
        </w:rPr>
        <w:t>加速技术研发和市场拓展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ascii="Times New Roman" w:hAnsi="Times New Roman" w:eastAsia="仿宋_GB2312"/>
          <w:sz w:val="32"/>
          <w:szCs w:val="32"/>
        </w:rPr>
        <w:t>增量</w:t>
      </w:r>
      <w:r>
        <w:rPr>
          <w:rFonts w:hint="eastAsia" w:ascii="Times New Roman" w:hAnsi="Times New Roman" w:eastAsia="仿宋_GB2312"/>
          <w:sz w:val="32"/>
          <w:szCs w:val="32"/>
        </w:rPr>
        <w:t>公司调出条件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color w:val="000000"/>
          <w:sz w:val="32"/>
          <w:szCs w:val="32"/>
        </w:rPr>
        <w:t>符合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科创板</w:t>
      </w:r>
      <w:r>
        <w:rPr>
          <w:rFonts w:ascii="Times New Roman" w:hAnsi="Times New Roman" w:eastAsia="仿宋_GB2312"/>
          <w:color w:val="000000"/>
          <w:sz w:val="32"/>
          <w:szCs w:val="32"/>
        </w:rPr>
        <w:t>第一套上市标准</w:t>
      </w:r>
      <w:r>
        <w:rPr>
          <w:rFonts w:hint="eastAsia" w:ascii="仿宋_GB2312" w:eastAsia="仿宋_GB2312"/>
          <w:sz w:val="32"/>
          <w:szCs w:val="32"/>
        </w:rPr>
        <w:t>；为降低改革对存量公司及投资者的影响，存量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调出条件仍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上市后首次实现盈利。调出程序方面，建立科创成长层调整机制，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公司在披露年度报告的同时，披露符合条件且将被调出科创成长层的公告，本所及时将公司调出科创成长层。</w:t>
      </w:r>
    </w:p>
    <w:p w14:paraId="75C3FCB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强化信息披露要求，要求科创成长层公司在年报中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结合行业特点充分</w:t>
      </w:r>
      <w:r>
        <w:rPr>
          <w:rFonts w:ascii="Times New Roman" w:hAnsi="Times New Roman" w:eastAsia="仿宋_GB2312"/>
          <w:color w:val="000000"/>
          <w:sz w:val="32"/>
          <w:szCs w:val="32"/>
        </w:rPr>
        <w:t>披露尚未盈利的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原因、</w:t>
      </w:r>
      <w:r>
        <w:rPr>
          <w:rFonts w:ascii="Times New Roman" w:hAnsi="Times New Roman" w:eastAsia="仿宋_GB2312"/>
          <w:color w:val="000000"/>
          <w:sz w:val="32"/>
          <w:szCs w:val="32"/>
        </w:rPr>
        <w:t>影响，并提示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公司</w:t>
      </w:r>
      <w:r>
        <w:rPr>
          <w:rFonts w:ascii="Times New Roman" w:hAnsi="Times New Roman" w:eastAsia="仿宋_GB2312"/>
          <w:color w:val="000000"/>
          <w:sz w:val="32"/>
          <w:szCs w:val="32"/>
        </w:rPr>
        <w:t>尚</w:t>
      </w:r>
      <w:r>
        <w:rPr>
          <w:rFonts w:hint="eastAsia" w:ascii="Times New Roman" w:hAnsi="Times New Roman" w:eastAsia="仿宋_GB2312"/>
          <w:sz w:val="32"/>
          <w:szCs w:val="32"/>
        </w:rPr>
        <w:t>未盈利的风险，在</w:t>
      </w:r>
      <w:r>
        <w:rPr>
          <w:rFonts w:ascii="Times New Roman" w:hAnsi="Times New Roman" w:eastAsia="仿宋_GB2312"/>
          <w:sz w:val="32"/>
          <w:szCs w:val="32"/>
        </w:rPr>
        <w:t>临时公告中</w:t>
      </w:r>
      <w:r>
        <w:rPr>
          <w:rFonts w:hint="eastAsia" w:ascii="Times New Roman" w:hAnsi="Times New Roman" w:eastAsia="仿宋_GB2312"/>
          <w:sz w:val="32"/>
          <w:szCs w:val="32"/>
        </w:rPr>
        <w:t>及时披露相关风险或者负面事项的具体情况及其影响。压实中介机构责任，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持续督导机构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识别并督促公司披露</w:t>
      </w:r>
      <w:r>
        <w:rPr>
          <w:rFonts w:hint="eastAsia" w:ascii="Times New Roman" w:hAnsi="Times New Roman" w:eastAsia="仿宋_GB2312"/>
          <w:sz w:val="32"/>
          <w:szCs w:val="32"/>
        </w:rPr>
        <w:t>上述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风险</w:t>
      </w:r>
      <w:r>
        <w:rPr>
          <w:rFonts w:ascii="Times New Roman" w:hAnsi="Times New Roman" w:eastAsia="仿宋_GB2312"/>
          <w:color w:val="000000"/>
          <w:sz w:val="32"/>
          <w:szCs w:val="32"/>
        </w:rPr>
        <w:t>或者负面事项。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此外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要求公司做好层次调整前后股票异常波动的核查。</w:t>
      </w:r>
    </w:p>
    <w:p w14:paraId="1D47F26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强化风险揭示，对科创成长层股票或者</w:t>
      </w:r>
      <w:r>
        <w:rPr>
          <w:rFonts w:ascii="Times New Roman" w:hAnsi="Times New Roman" w:eastAsia="仿宋_GB2312"/>
          <w:sz w:val="32"/>
          <w:szCs w:val="32"/>
        </w:rPr>
        <w:t>存托凭证</w:t>
      </w:r>
      <w:r>
        <w:rPr>
          <w:rFonts w:hint="eastAsia" w:ascii="Times New Roman" w:hAnsi="Times New Roman" w:eastAsia="仿宋_GB2312"/>
          <w:sz w:val="32"/>
          <w:szCs w:val="32"/>
        </w:rPr>
        <w:t>进行特殊标识管理，在该股票或者存托凭证的简称后增加“U”。投资者参与交易前需要签署专项风险揭示书，但</w:t>
      </w:r>
      <w:r>
        <w:rPr>
          <w:rFonts w:ascii="Times New Roman" w:hAnsi="Times New Roman" w:eastAsia="仿宋_GB2312"/>
          <w:sz w:val="32"/>
          <w:szCs w:val="32"/>
        </w:rPr>
        <w:t>交易改革前存量科创板股票或</w:t>
      </w:r>
      <w:r>
        <w:rPr>
          <w:rFonts w:hint="eastAsia" w:ascii="Times New Roman" w:hAnsi="Times New Roman" w:eastAsia="仿宋_GB2312"/>
          <w:sz w:val="32"/>
          <w:szCs w:val="32"/>
        </w:rPr>
        <w:t>者</w:t>
      </w:r>
      <w:r>
        <w:rPr>
          <w:rFonts w:ascii="Times New Roman" w:hAnsi="Times New Roman" w:eastAsia="仿宋_GB2312"/>
          <w:sz w:val="32"/>
          <w:szCs w:val="32"/>
        </w:rPr>
        <w:t>存托凭证不受影响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1AB2FAA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三、公众意见及采纳情况</w:t>
      </w:r>
    </w:p>
    <w:p w14:paraId="2F3023F4"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2025年6月18日至6月25日，本所就《科创成长层指引》向社会公开征求意见。征求意见期间，共收到各类意见建议共20条。本所对相关建议进行了认真研究，已对明确调出条件中净利润的计算口径等建议予以吸收。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3B72C">
    <w:pPr>
      <w:pStyle w:val="5"/>
      <w:jc w:val="center"/>
      <w:rPr>
        <w:rFonts w:ascii="Times New Roman" w:hAnsi="Times New Roman"/>
        <w:sz w:val="21"/>
      </w:rPr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PAGE   \* MERGEFORMAT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</w:t>
    </w:r>
    <w:r>
      <w:rPr>
        <w:rFonts w:ascii="Times New Roman" w:hAnsi="Times New Roman"/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D"/>
    <w:rsid w:val="000261C8"/>
    <w:rsid w:val="00063352"/>
    <w:rsid w:val="00096005"/>
    <w:rsid w:val="002210C7"/>
    <w:rsid w:val="002D6727"/>
    <w:rsid w:val="002F3C5F"/>
    <w:rsid w:val="003643C9"/>
    <w:rsid w:val="003F77D6"/>
    <w:rsid w:val="004A4F12"/>
    <w:rsid w:val="005B0D1F"/>
    <w:rsid w:val="005E780E"/>
    <w:rsid w:val="00600FCD"/>
    <w:rsid w:val="0061069B"/>
    <w:rsid w:val="006A1E5A"/>
    <w:rsid w:val="006E1DAA"/>
    <w:rsid w:val="00715F0E"/>
    <w:rsid w:val="007767DA"/>
    <w:rsid w:val="007C3BDD"/>
    <w:rsid w:val="00867D40"/>
    <w:rsid w:val="009127B6"/>
    <w:rsid w:val="00994B81"/>
    <w:rsid w:val="00A873B1"/>
    <w:rsid w:val="00AF620A"/>
    <w:rsid w:val="00C20587"/>
    <w:rsid w:val="00CD4F29"/>
    <w:rsid w:val="00CF42A4"/>
    <w:rsid w:val="00E25E43"/>
    <w:rsid w:val="00E40192"/>
    <w:rsid w:val="00E8135C"/>
    <w:rsid w:val="00EE5C2C"/>
    <w:rsid w:val="030312B2"/>
    <w:rsid w:val="04314D8F"/>
    <w:rsid w:val="049C2C61"/>
    <w:rsid w:val="0F1A0783"/>
    <w:rsid w:val="11F169E9"/>
    <w:rsid w:val="1A874D5B"/>
    <w:rsid w:val="20A86182"/>
    <w:rsid w:val="222C1DBD"/>
    <w:rsid w:val="2B070153"/>
    <w:rsid w:val="30727889"/>
    <w:rsid w:val="33D444D5"/>
    <w:rsid w:val="37A45628"/>
    <w:rsid w:val="383004B5"/>
    <w:rsid w:val="3DF412C3"/>
    <w:rsid w:val="401E34EC"/>
    <w:rsid w:val="47AF2E1B"/>
    <w:rsid w:val="48123251"/>
    <w:rsid w:val="49DD7602"/>
    <w:rsid w:val="4A530E97"/>
    <w:rsid w:val="4D3806BD"/>
    <w:rsid w:val="4DD7DE79"/>
    <w:rsid w:val="4FE7DCF0"/>
    <w:rsid w:val="4FFB3564"/>
    <w:rsid w:val="524D18B5"/>
    <w:rsid w:val="52862BAF"/>
    <w:rsid w:val="52BA1678"/>
    <w:rsid w:val="546023E9"/>
    <w:rsid w:val="57E26A3C"/>
    <w:rsid w:val="57FFA181"/>
    <w:rsid w:val="5C7F710A"/>
    <w:rsid w:val="5E657F5F"/>
    <w:rsid w:val="5E7B01CD"/>
    <w:rsid w:val="5E8C325E"/>
    <w:rsid w:val="5EEE2528"/>
    <w:rsid w:val="639132D4"/>
    <w:rsid w:val="6B65559D"/>
    <w:rsid w:val="70B872F3"/>
    <w:rsid w:val="72DE859C"/>
    <w:rsid w:val="B6697498"/>
    <w:rsid w:val="C6DFDABF"/>
    <w:rsid w:val="D6DF7C1C"/>
    <w:rsid w:val="D77C65F3"/>
    <w:rsid w:val="DBBB4503"/>
    <w:rsid w:val="DCFF5293"/>
    <w:rsid w:val="FF7FED0E"/>
    <w:rsid w:val="FFDE8527"/>
    <w:rsid w:val="FF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1188</Words>
  <Characters>1199</Characters>
  <Lines>10</Lines>
  <Paragraphs>2</Paragraphs>
  <TotalTime>0</TotalTime>
  <ScaleCrop>false</ScaleCrop>
  <LinksUpToDate>false</LinksUpToDate>
  <CharactersWithSpaces>1200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2025-06-09T06:25:00Z</dcterms:created>
  <cp:lastPrinted>2025-06-08T09:20:00Z</cp:lastPrinted>
  <dcterms:modified xsi:type="dcterms:W3CDTF">2025-07-11T10:44:28Z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KSOTemplateDocerSaveRecord">
    <vt:lpwstr>eyJoZGlkIjoiNTk4YWNjNWUxYzA0NDI1ZDMxOTViYmMzODU3OTQ2MzIifQ==</vt:lpwstr>
  </property>
  <property fmtid="{D5CDD505-2E9C-101B-9397-08002B2CF9AE}" pid="4" name="ICV">
    <vt:lpwstr>39F1C467166591F553777068D0D5F930_43</vt:lpwstr>
  </property>
</Properties>
</file>