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F5707">
      <w:pPr>
        <w:suppressAutoHyphens/>
        <w:spacing w:line="560" w:lineRule="exact"/>
        <w:jc w:val="center"/>
        <w:rPr>
          <w:rFonts w:hint="eastAsia" w:ascii="方正小标宋简体" w:hAnsi="Calibri" w:eastAsia="方正小标宋简体" w:cs="Times New Roman"/>
          <w:color w:val="000000"/>
          <w:sz w:val="36"/>
          <w:szCs w:val="36"/>
        </w:rPr>
      </w:pPr>
      <w:bookmarkStart w:id="0" w:name="_GoBack"/>
      <w:r>
        <w:rPr>
          <w:rFonts w:hint="eastAsia" w:ascii="方正小标宋简体" w:hAnsi="Calibri" w:eastAsia="方正小标宋简体" w:cs="Times New Roman"/>
          <w:color w:val="000000"/>
          <w:sz w:val="36"/>
          <w:szCs w:val="36"/>
        </w:rPr>
        <w:t>关于非营利组织免税资格认定管理有关问题的通知</w:t>
      </w:r>
    </w:p>
    <w:bookmarkEnd w:id="0"/>
    <w:p w14:paraId="178DFADA">
      <w:pPr>
        <w:pStyle w:val="3"/>
        <w:widowControl/>
        <w:shd w:val="clear" w:color="auto" w:fill="FFFFFF"/>
        <w:suppressAutoHyphens/>
        <w:spacing w:before="0" w:beforeAutospacing="0" w:after="0" w:afterAutospacing="0" w:line="620" w:lineRule="atLeast"/>
        <w:ind w:left="0" w:right="0" w:firstLine="2720" w:firstLineChars="85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财税〔2018〕13号</w:t>
      </w:r>
    </w:p>
    <w:p w14:paraId="42240498">
      <w:pPr>
        <w:pStyle w:val="3"/>
        <w:widowControl/>
        <w:shd w:val="clear" w:color="auto" w:fill="FFFFFF"/>
        <w:suppressAutoHyphens/>
        <w:spacing w:before="0" w:beforeAutospacing="0" w:after="0" w:afterAutospacing="0" w:line="620" w:lineRule="atLeast"/>
        <w:ind w:left="0" w:right="0" w:firstLine="2720" w:firstLineChars="850"/>
        <w:jc w:val="both"/>
        <w:rPr>
          <w:rFonts w:hint="eastAsia" w:ascii="仿宋_GB2312" w:hAnsi="仿宋" w:eastAsia="仿宋_GB2312" w:cs="宋体"/>
          <w:color w:val="000000"/>
          <w:sz w:val="32"/>
          <w:szCs w:val="32"/>
          <w:lang w:bidi="ar-SA"/>
        </w:rPr>
      </w:pPr>
    </w:p>
    <w:p w14:paraId="712DB7FF">
      <w:pPr>
        <w:pStyle w:val="3"/>
        <w:widowControl/>
        <w:shd w:val="clear" w:color="auto" w:fill="FFFFFF"/>
        <w:suppressAutoHyphens/>
        <w:spacing w:before="0" w:beforeAutospacing="0" w:after="0" w:afterAutospacing="0" w:line="600" w:lineRule="exact"/>
        <w:ind w:right="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各省、自治区、直辖市、计划单列市财政厅（局）、国家税务局、地方税务局，新疆生产建设兵团财政局：</w:t>
      </w:r>
    </w:p>
    <w:p w14:paraId="3443A920">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根据《中华人民共和国企业所得税法》第二十六条及《中华人民共和国企业所得税法实施条例》第八十四条的规定，现对非营利组织免税资格认定管理有关问题明确如下：</w:t>
      </w:r>
    </w:p>
    <w:p w14:paraId="0E05D7F3">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一、依据本通知认定的符合条件的非营利组织，必须同时满足以下条件：</w:t>
      </w:r>
    </w:p>
    <w:p w14:paraId="01437A57">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（一）依照国家有关法律法规设立或登记的事业单位、社会团体、基金会、社会服务机构、宗教活动场所、宗教院校以及财政部、税务总局认定的其他非营利组织；</w:t>
      </w:r>
    </w:p>
    <w:p w14:paraId="21D3AD2B">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（二）从事公益性或者非营利性活动；</w:t>
      </w:r>
    </w:p>
    <w:p w14:paraId="593CDC60">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（三）取得的收入除用于与该组织有关的、合理的支出外，全部用于登记核定或者章程规定的公益性或者非营利性事业；</w:t>
      </w:r>
    </w:p>
    <w:p w14:paraId="52164A1D">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（四）财产及其孳息不用于分配，但不包括合理的工资薪金支出；</w:t>
      </w:r>
    </w:p>
    <w:p w14:paraId="552E1771">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（五）按照登记核定或者章程规定，该组织注销后的剩余财产用于公益性或者非营利性目的，或者由登记管理机关采取转赠给与该组织性质、宗旨相同的组织等处置方式，并向社会公告；</w:t>
      </w:r>
    </w:p>
    <w:p w14:paraId="290D283C">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（六）投入人对投入该组织的财产不保留或者享有任何财产权利，本款所称投入人是指除各级人民政府及其部门外的法人、自然人和其他组织；</w:t>
      </w:r>
    </w:p>
    <w:p w14:paraId="4BDD2FA5">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七）工作人员工资福利开支控制在规定的比例内，不变相分配该组织的财产，其中：工作人员平均工资薪金水平不得超过税务登记所在地的地市级（含地市级）以上地区的同行业同类组织平均工资水平的两倍，工作人员福利按照国家有关规定执行；</w:t>
      </w:r>
    </w:p>
    <w:p w14:paraId="27216510">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（八）对取得的应纳税收入及其有关的成本、费用、损失应与免税收入及其有关的成本、费用、损失分别核算。</w:t>
      </w:r>
    </w:p>
    <w:p w14:paraId="159E13B4">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二、经省级（含省级）以上登记管理机关批准设立或登记的非营利组织，凡符合规定条件的，应向其所在地省级税务主管机关提出免税资格申请，并提供本通知规定的相关材料；经地市级或县级登记管理机关批准设立或登记的非营利组织，凡符合规定条件的，分别向其所在地的地市级或县级税务主管机关提出免税资格申请，并提供本通知规定的相关材料。</w:t>
      </w:r>
    </w:p>
    <w:p w14:paraId="7CFE2465">
      <w:pPr>
        <w:pStyle w:val="3"/>
        <w:widowControl/>
        <w:shd w:val="clear" w:color="auto" w:fill="FFFFFF"/>
        <w:suppressAutoHyphens/>
        <w:spacing w:before="0" w:beforeAutospacing="0" w:after="0" w:afterAutospacing="0" w:line="600" w:lineRule="exact"/>
        <w:ind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财政、税务部门按照上述管理权限，对非营利组织享受免税的资格联合进行审核确认，并定期予以公布。</w:t>
      </w:r>
    </w:p>
    <w:p w14:paraId="2DD7AA3D">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三、申请享受免税资格的非营利组织，需报送以下材料：</w:t>
      </w:r>
    </w:p>
    <w:p w14:paraId="2A295568">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（一）申请报告；</w:t>
      </w:r>
    </w:p>
    <w:p w14:paraId="14278BDB">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（二）事业单位、社会团体、基金会、社会服务机构的组织章程或宗教活动场所、宗教院校的管理制度；</w:t>
      </w:r>
    </w:p>
    <w:p w14:paraId="57AF68F2">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（三）非营利组织注册登记证件的复印件；</w:t>
      </w:r>
    </w:p>
    <w:p w14:paraId="612C79CF">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（四）上一年度的资金来源及使用情况、公益活动和非营利活动的明细情况；</w:t>
      </w:r>
    </w:p>
    <w:p w14:paraId="08390491">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（五）上一年度的工资薪金情况专项报告，包括薪酬制度、工作人员整体平均工资薪金水平、工资福利占总支出比例、重要人员工资薪金信息（至少包括工资薪金水平排名前10的人员）；</w:t>
      </w:r>
    </w:p>
    <w:p w14:paraId="11476F9A">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（六）具有资质的中介机构鉴证的上一年度财务报表和审计报告；</w:t>
      </w:r>
    </w:p>
    <w:p w14:paraId="0887A6C9">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（七）登记管理机关出具的事业单位、社会团体、基金会、社会服务机构、宗教活动场所、宗教院校上一年度符合相关法律法规和国家政策的事业发展情况或非营利活动的材料；</w:t>
      </w:r>
    </w:p>
    <w:p w14:paraId="069CAF8A">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（八）财政、税务部门要求提供的其他材料。</w:t>
      </w:r>
    </w:p>
    <w:p w14:paraId="3931981A">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当年新设立或登记的非营利组织需提供本条第（一）项至第（三）项规定的材料及本条第（四）项、第（五）项规定的申请当年的材料，不需提供本条第（六）项、第（七）项规定的材料。</w:t>
      </w:r>
    </w:p>
    <w:p w14:paraId="27A7CA9A">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四、非营利组织免税优惠资格的有效期为五年。非营利组织应在免税优惠资格期满后六个月内提出复审申请，不提出复审申请或复审不合格的，其享受免税优惠的资格到期自动失效。</w:t>
      </w:r>
    </w:p>
    <w:p w14:paraId="0C83C957">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非营利组织免税资格复审，按照初次申请免税优惠资格的规定办理。</w:t>
      </w:r>
    </w:p>
    <w:p w14:paraId="524FD7A1">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五、非营利组织必须按照《中华人民共和国税收征收管理法》及《中华人民共和国税收征收管理法实施细则》等有关规定，办理税务登记，按期进行纳税申报。取得免税资格的非营利组织应按照规定向主管税务机关办理免税手续，免税条件发生变化的，应当自发生变化之日起十五日内向主管税务机关报告；不再符合免税条件的，应当依法履行纳税义务；未依法纳税的，主管税务机关应当予以追缴。取得免税资格的非营利组织注销时，剩余财产处置违反本通知第一条第五项规定的，主管税务机关应追缴其应纳企业所得税款。</w:t>
      </w:r>
    </w:p>
    <w:p w14:paraId="5B9B185D">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有关部门在日常管理过程中，发现非营利组织享受优惠年度不符合本通知规定的免税条件的，应提请核准该非营利组织免税资格的财政、税务部门，由其进行复核。</w:t>
      </w:r>
    </w:p>
    <w:p w14:paraId="698D1AF7">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核准非营利组织免税资格的财政、税务部门根据本通知规定的管理权限，对非营利组织的免税优惠资格进行复核，复核不合格的，相应年度不得享受税收优惠政策。</w:t>
      </w:r>
    </w:p>
    <w:p w14:paraId="5A14EF33">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六、已认定的享受免税优惠政策的非营利组织有下述情形之一的，应自该情形发生年度起取消其资格：</w:t>
      </w:r>
    </w:p>
    <w:p w14:paraId="5D68D849">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（一）登记管理机关在后续管理中发现非营利组织不符合相关法律法规和国家政策的；</w:t>
      </w:r>
    </w:p>
    <w:p w14:paraId="1AF048D1">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（二）在申请认定过程中提供虚假信息的；</w:t>
      </w:r>
    </w:p>
    <w:p w14:paraId="64D2AD28">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（三）纳税信用等级为税务部门评定的C级或D级的；</w:t>
      </w:r>
    </w:p>
    <w:p w14:paraId="397D22DC">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（四）通过关联交易或非关联交易和服务活动，变相转移、隐匿、分配该组织财产的；</w:t>
      </w:r>
    </w:p>
    <w:p w14:paraId="6A6CF95C">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（五）被登记管理机关列入严重违法失信名单的；</w:t>
      </w:r>
    </w:p>
    <w:p w14:paraId="70E3985B">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（六）从事非法政治活动的。</w:t>
      </w:r>
    </w:p>
    <w:p w14:paraId="2D2CE9A8">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因上述第（一）项至第（五）项规定的情形被取消免税优惠资格的非营利组织，财政、税务部门自其被取消资格的次年起一年内不再受理该组织的认定申请；因上述第（六）项规定的情形被取消免税优惠资格的非营利组织，财政、税务部门将不再受理该组织的认定申请。</w:t>
      </w:r>
    </w:p>
    <w:p w14:paraId="4A25D315">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被取消免税优惠资格的非营利组织，应当依法履行纳税义务；未依法纳税的，主管税务机关应当自其存在取消免税优惠资格情形的当年起予以追缴。</w:t>
      </w:r>
    </w:p>
    <w:p w14:paraId="623EB7A7">
      <w:pPr>
        <w:pStyle w:val="3"/>
        <w:widowControl/>
        <w:numPr>
          <w:ilvl w:val="0"/>
          <w:numId w:val="1"/>
        </w:numPr>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各级财政、税务部门及其工作人员在认定非营利组织免税资格工作中，存在违法违纪行为的，按照《公务员法》《行政监察法》等国家有关规定追究相应责任；涉嫌犯罪的，移送司法机关处理。</w:t>
      </w:r>
    </w:p>
    <w:p w14:paraId="1A1182BB">
      <w:pPr>
        <w:pStyle w:val="3"/>
        <w:widowControl/>
        <w:numPr>
          <w:ilvl w:val="0"/>
          <w:numId w:val="1"/>
        </w:numPr>
        <w:shd w:val="clear" w:color="auto" w:fill="FFFFFF"/>
        <w:suppressAutoHyphens/>
        <w:spacing w:before="0" w:beforeAutospacing="0" w:after="0" w:afterAutospacing="0" w:line="600" w:lineRule="exact"/>
        <w:ind w:left="0" w:leftChars="0" w:right="0" w:rightChars="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本通知自2018年1月1日起执行。《财政部 国家税务总局关于非营利组织免税资格认定管理有关问题的通知》（财税〔2014〕13号）同时废止。 </w:t>
      </w:r>
    </w:p>
    <w:p w14:paraId="54D7F7BB">
      <w:pPr>
        <w:pStyle w:val="3"/>
        <w:widowControl/>
        <w:numPr>
          <w:numId w:val="0"/>
        </w:numPr>
        <w:shd w:val="clear" w:color="auto" w:fill="FFFFFF"/>
        <w:suppressAutoHyphens/>
        <w:spacing w:before="0" w:beforeAutospacing="0" w:after="0" w:afterAutospacing="0" w:line="600" w:lineRule="exact"/>
        <w:ind w:right="0" w:rightChars="0"/>
        <w:jc w:val="both"/>
        <w:rPr>
          <w:rFonts w:hint="default" w:ascii="仿宋_GB2312" w:hAnsi="仿宋" w:eastAsia="仿宋_GB2312" w:cs="宋体"/>
          <w:color w:val="000000"/>
          <w:sz w:val="32"/>
          <w:szCs w:val="32"/>
          <w:lang w:bidi="ar-SA"/>
        </w:rPr>
      </w:pPr>
    </w:p>
    <w:p w14:paraId="12C2C020">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　　</w:t>
      </w:r>
      <w:r>
        <w:rPr>
          <w:rFonts w:hint="eastAsia" w:ascii="仿宋_GB2312" w:hAnsi="仿宋" w:eastAsia="仿宋_GB2312" w:cs="宋体"/>
          <w:color w:val="000000"/>
          <w:sz w:val="32"/>
          <w:szCs w:val="32"/>
          <w:lang w:val="en-US" w:eastAsia="zh-CN" w:bidi="ar-SA"/>
        </w:rPr>
        <w:t xml:space="preserve">                </w:t>
      </w:r>
      <w:r>
        <w:rPr>
          <w:rFonts w:hint="default" w:ascii="仿宋_GB2312" w:hAnsi="仿宋" w:eastAsia="仿宋_GB2312" w:cs="宋体"/>
          <w:color w:val="000000"/>
          <w:sz w:val="32"/>
          <w:szCs w:val="32"/>
          <w:lang w:bidi="ar-SA"/>
        </w:rPr>
        <w:t>财政部　税务总局</w:t>
      </w:r>
    </w:p>
    <w:p w14:paraId="20EC8E43">
      <w:pPr>
        <w:pStyle w:val="3"/>
        <w:widowControl/>
        <w:shd w:val="clear" w:color="auto" w:fill="FFFFFF"/>
        <w:suppressAutoHyphens/>
        <w:spacing w:before="0" w:beforeAutospacing="0" w:after="0" w:afterAutospacing="0" w:line="600" w:lineRule="exact"/>
        <w:ind w:left="0" w:right="0" w:firstLine="640" w:firstLineChars="200"/>
        <w:jc w:val="both"/>
        <w:rPr>
          <w:rFonts w:hint="default" w:ascii="仿宋_GB2312" w:hAnsi="仿宋" w:eastAsia="仿宋_GB2312" w:cs="宋体"/>
          <w:color w:val="000000"/>
          <w:sz w:val="32"/>
          <w:szCs w:val="32"/>
          <w:lang w:bidi="ar-SA"/>
        </w:rPr>
      </w:pPr>
      <w:r>
        <w:rPr>
          <w:rFonts w:hint="default" w:ascii="仿宋_GB2312" w:hAnsi="仿宋" w:eastAsia="仿宋_GB2312" w:cs="宋体"/>
          <w:color w:val="000000"/>
          <w:sz w:val="32"/>
          <w:szCs w:val="32"/>
          <w:lang w:bidi="ar-SA"/>
        </w:rPr>
        <w:t>　　</w:t>
      </w:r>
      <w:r>
        <w:rPr>
          <w:rFonts w:hint="eastAsia" w:ascii="仿宋_GB2312" w:hAnsi="仿宋" w:eastAsia="仿宋_GB2312" w:cs="宋体"/>
          <w:color w:val="000000"/>
          <w:sz w:val="32"/>
          <w:szCs w:val="32"/>
          <w:lang w:val="en-US" w:eastAsia="zh-CN" w:bidi="ar-SA"/>
        </w:rPr>
        <w:t xml:space="preserve">                 </w:t>
      </w:r>
      <w:r>
        <w:rPr>
          <w:rFonts w:hint="default" w:ascii="仿宋_GB2312" w:hAnsi="仿宋" w:eastAsia="仿宋_GB2312" w:cs="宋体"/>
          <w:color w:val="000000"/>
          <w:sz w:val="32"/>
          <w:szCs w:val="32"/>
          <w:lang w:bidi="ar-SA"/>
        </w:rPr>
        <w:t>2018年2月7日</w:t>
      </w:r>
    </w:p>
    <w:p w14:paraId="7E6A85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DF48B"/>
    <w:multiLevelType w:val="singleLevel"/>
    <w:tmpl w:val="22CDF48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B6CB0"/>
    <w:rsid w:val="05BB3177"/>
    <w:rsid w:val="3BAB6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2025-04-16T09:06:00Z</dcterms:created>
  <dc:creator>昆仑雪</dc:creator>
  <cp:lastModifiedBy>昆仑雪</cp:lastModifiedBy>
  <dcterms:modified xsi:type="dcterms:W3CDTF">2025-04-16T09:12:34Z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44566C37D9034B818D7F69BE7991D42D_11</vt:lpwstr>
  </property>
  <property fmtid="{D5CDD505-2E9C-101B-9397-08002B2CF9AE}" pid="4" name="KSOTemplateDocerSaveRecord">
    <vt:lpwstr>eyJoZGlkIjoiYjNlNTVmYjc3MDgwNjI2MTlhYjJkZTAxNjY5OThjNGMiLCJ1c2VySWQiOiI0MzEzMDQ2NDQifQ==</vt:lpwstr>
  </property>
</Properties>
</file>