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FBB" w:rsidRPr="00C15713" w:rsidRDefault="00235FBB" w:rsidP="00235FBB">
      <w:pPr>
        <w:ind w:right="1422"/>
        <w:rPr>
          <w:rFonts w:ascii="仿宋" w:eastAsia="仿宋" w:hAnsi="仿宋" w:hint="eastAsia"/>
          <w:sz w:val="24"/>
          <w:szCs w:val="24"/>
        </w:rPr>
      </w:pPr>
      <w:r w:rsidRPr="00C15713">
        <w:rPr>
          <w:rFonts w:ascii="仿宋" w:eastAsia="仿宋" w:hAnsi="仿宋"/>
          <w:sz w:val="24"/>
          <w:szCs w:val="24"/>
        </w:rPr>
        <w:t>附件</w:t>
      </w:r>
      <w:r w:rsidRPr="00C15713">
        <w:rPr>
          <w:rFonts w:ascii="仿宋" w:eastAsia="仿宋" w:hAnsi="仿宋" w:hint="eastAsia"/>
          <w:sz w:val="24"/>
          <w:szCs w:val="24"/>
        </w:rPr>
        <w:t>：</w:t>
      </w:r>
    </w:p>
    <w:p w:rsidR="00235FBB" w:rsidRPr="00C15713" w:rsidRDefault="00235FBB" w:rsidP="00235FBB">
      <w:pPr>
        <w:spacing w:line="600" w:lineRule="exact"/>
        <w:ind w:right="-87"/>
        <w:jc w:val="center"/>
        <w:rPr>
          <w:rFonts w:ascii="华文中宋" w:eastAsia="华文中宋" w:hAnsi="华文中宋" w:cs="宋体" w:hint="eastAsia"/>
          <w:b/>
          <w:kern w:val="0"/>
          <w:sz w:val="24"/>
          <w:szCs w:val="24"/>
        </w:rPr>
      </w:pPr>
      <w:r w:rsidRPr="00C15713">
        <w:rPr>
          <w:rFonts w:ascii="华文中宋" w:eastAsia="华文中宋" w:hAnsi="华文中宋" w:cs="宋体"/>
          <w:b/>
          <w:kern w:val="0"/>
          <w:sz w:val="24"/>
          <w:szCs w:val="24"/>
        </w:rPr>
        <w:t>资产评估机构综合评价办法</w:t>
      </w:r>
    </w:p>
    <w:p w:rsidR="00235FBB" w:rsidRPr="00C15713" w:rsidRDefault="00235FBB" w:rsidP="00235FBB">
      <w:pPr>
        <w:pStyle w:val="1"/>
        <w:shd w:val="clear" w:color="auto" w:fill="FFFFFF"/>
        <w:spacing w:before="0" w:beforeAutospacing="0" w:after="0" w:afterAutospacing="0" w:line="600" w:lineRule="exact"/>
        <w:jc w:val="center"/>
        <w:rPr>
          <w:rFonts w:ascii="仿宋" w:eastAsia="仿宋" w:hAnsi="仿宋" w:cs="Times New Roman" w:hint="eastAsia"/>
          <w:b w:val="0"/>
          <w:bCs w:val="0"/>
          <w:kern w:val="2"/>
          <w:sz w:val="24"/>
          <w:szCs w:val="24"/>
        </w:rPr>
      </w:pPr>
      <w:r w:rsidRPr="00C15713">
        <w:rPr>
          <w:rFonts w:ascii="仿宋" w:eastAsia="仿宋" w:hAnsi="仿宋" w:cs="Times New Roman"/>
          <w:b w:val="0"/>
          <w:bCs w:val="0"/>
          <w:kern w:val="2"/>
          <w:sz w:val="24"/>
          <w:szCs w:val="24"/>
        </w:rPr>
        <w:t>（中国资产评估协会</w:t>
      </w:r>
      <w:r w:rsidRPr="00C15713">
        <w:rPr>
          <w:rFonts w:ascii="仿宋" w:eastAsia="仿宋" w:hAnsi="仿宋" w:cs="Times New Roman" w:hint="eastAsia"/>
          <w:b w:val="0"/>
          <w:bCs w:val="0"/>
          <w:kern w:val="2"/>
          <w:sz w:val="24"/>
          <w:szCs w:val="24"/>
        </w:rPr>
        <w:t>第四届常务理事会第七次会议审议通过</w:t>
      </w:r>
      <w:r w:rsidRPr="00C15713">
        <w:rPr>
          <w:rFonts w:ascii="仿宋" w:eastAsia="仿宋" w:hAnsi="仿宋" w:cs="Times New Roman"/>
          <w:b w:val="0"/>
          <w:bCs w:val="0"/>
          <w:kern w:val="2"/>
          <w:sz w:val="24"/>
          <w:szCs w:val="24"/>
        </w:rPr>
        <w:t>）</w:t>
      </w:r>
    </w:p>
    <w:p w:rsidR="00235FBB" w:rsidRPr="00C15713" w:rsidRDefault="00235FBB" w:rsidP="00235FBB">
      <w:pPr>
        <w:pStyle w:val="1"/>
        <w:shd w:val="clear" w:color="auto" w:fill="FFFFFF"/>
        <w:spacing w:before="0" w:beforeAutospacing="0" w:after="0" w:afterAutospacing="0" w:line="600" w:lineRule="exact"/>
        <w:jc w:val="center"/>
        <w:rPr>
          <w:rFonts w:ascii="仿宋" w:eastAsia="仿宋" w:hAnsi="仿宋" w:cs="Times New Roman"/>
          <w:b w:val="0"/>
          <w:bCs w:val="0"/>
          <w:kern w:val="2"/>
          <w:sz w:val="24"/>
          <w:szCs w:val="24"/>
        </w:rPr>
      </w:pPr>
      <w:bookmarkStart w:id="0" w:name="_GoBack"/>
      <w:bookmarkEnd w:id="0"/>
    </w:p>
    <w:p w:rsidR="00235FBB" w:rsidRPr="00C15713" w:rsidRDefault="00235FBB" w:rsidP="00235FBB">
      <w:pPr>
        <w:numPr>
          <w:ilvl w:val="0"/>
          <w:numId w:val="1"/>
        </w:numPr>
        <w:rPr>
          <w:rFonts w:ascii="仿宋" w:eastAsia="仿宋" w:hAnsi="仿宋"/>
          <w:sz w:val="24"/>
          <w:szCs w:val="24"/>
        </w:rPr>
      </w:pPr>
      <w:r w:rsidRPr="00C15713">
        <w:rPr>
          <w:rFonts w:ascii="仿宋" w:eastAsia="仿宋" w:hAnsi="仿宋"/>
          <w:sz w:val="24"/>
          <w:szCs w:val="24"/>
        </w:rPr>
        <w:t>为规范资产评估机构（以下简称“评估机构”）评价行为，引导评估机构合理竞争，推动评估机构</w:t>
      </w:r>
      <w:proofErr w:type="gramStart"/>
      <w:r w:rsidRPr="00C15713">
        <w:rPr>
          <w:rFonts w:ascii="仿宋" w:eastAsia="仿宋" w:hAnsi="仿宋"/>
          <w:sz w:val="24"/>
          <w:szCs w:val="24"/>
        </w:rPr>
        <w:t>做优做强做</w:t>
      </w:r>
      <w:proofErr w:type="gramEnd"/>
      <w:r w:rsidRPr="00C15713">
        <w:rPr>
          <w:rFonts w:ascii="仿宋" w:eastAsia="仿宋" w:hAnsi="仿宋"/>
          <w:sz w:val="24"/>
          <w:szCs w:val="24"/>
        </w:rPr>
        <w:t>大，提升评估行业影响力，制定本办法。</w:t>
      </w:r>
    </w:p>
    <w:p w:rsidR="00235FBB" w:rsidRPr="00C15713" w:rsidRDefault="00235FBB" w:rsidP="00235FBB">
      <w:pPr>
        <w:numPr>
          <w:ilvl w:val="0"/>
          <w:numId w:val="1"/>
        </w:numPr>
        <w:rPr>
          <w:rFonts w:ascii="仿宋" w:eastAsia="仿宋" w:hAnsi="仿宋"/>
          <w:sz w:val="24"/>
          <w:szCs w:val="24"/>
        </w:rPr>
      </w:pPr>
      <w:r w:rsidRPr="00C15713">
        <w:rPr>
          <w:rFonts w:ascii="仿宋" w:eastAsia="仿宋" w:hAnsi="仿宋"/>
          <w:sz w:val="24"/>
          <w:szCs w:val="24"/>
        </w:rPr>
        <w:t>本办法所称的评估机构综合评价是根据一定的规则，在对反映评估机构执业状况的相关单项指标进行评分的基础上，按照各指标权重系数计算评估机构的综合得分，并根据得分情况公布评估机构综合评价前百家名单和有关单项指标前百家名单。</w:t>
      </w:r>
    </w:p>
    <w:p w:rsidR="00235FBB" w:rsidRPr="00C15713" w:rsidRDefault="00235FBB" w:rsidP="00235FBB">
      <w:pPr>
        <w:numPr>
          <w:ilvl w:val="0"/>
          <w:numId w:val="1"/>
        </w:numPr>
        <w:rPr>
          <w:rFonts w:ascii="仿宋" w:eastAsia="仿宋" w:hAnsi="仿宋"/>
          <w:sz w:val="24"/>
          <w:szCs w:val="24"/>
        </w:rPr>
      </w:pPr>
      <w:r w:rsidRPr="00C15713">
        <w:rPr>
          <w:rFonts w:ascii="仿宋" w:eastAsia="仿宋" w:hAnsi="仿宋"/>
          <w:sz w:val="24"/>
          <w:szCs w:val="24"/>
        </w:rPr>
        <w:t>评估机构综合评价遵循客观、科学、公开、公平、公正原则。</w:t>
      </w:r>
    </w:p>
    <w:p w:rsidR="00235FBB" w:rsidRPr="00C15713" w:rsidRDefault="00235FBB" w:rsidP="00235FBB">
      <w:pPr>
        <w:numPr>
          <w:ilvl w:val="0"/>
          <w:numId w:val="1"/>
        </w:numPr>
        <w:rPr>
          <w:rFonts w:ascii="仿宋" w:eastAsia="仿宋" w:hAnsi="仿宋"/>
          <w:sz w:val="24"/>
          <w:szCs w:val="24"/>
        </w:rPr>
      </w:pPr>
      <w:r w:rsidRPr="00C15713">
        <w:rPr>
          <w:rFonts w:ascii="仿宋" w:eastAsia="仿宋" w:hAnsi="仿宋"/>
          <w:sz w:val="24"/>
          <w:szCs w:val="24"/>
        </w:rPr>
        <w:t>中国资产评估协会（以下简称“中评协”）负责全国评估机构的综合评价工作。</w:t>
      </w:r>
    </w:p>
    <w:p w:rsidR="00235FBB" w:rsidRPr="00C15713" w:rsidRDefault="00235FBB" w:rsidP="00235FBB">
      <w:pPr>
        <w:ind w:firstLineChars="200" w:firstLine="480"/>
        <w:rPr>
          <w:rFonts w:ascii="仿宋" w:eastAsia="仿宋" w:hAnsi="仿宋"/>
          <w:sz w:val="24"/>
          <w:szCs w:val="24"/>
        </w:rPr>
      </w:pPr>
      <w:r w:rsidRPr="00C15713">
        <w:rPr>
          <w:rFonts w:ascii="仿宋" w:eastAsia="仿宋" w:hAnsi="仿宋"/>
          <w:sz w:val="24"/>
          <w:szCs w:val="24"/>
        </w:rPr>
        <w:t>（一）制定评估机构的综合评价规则，组织实施全国评估机构的综合评价工作。</w:t>
      </w:r>
    </w:p>
    <w:p w:rsidR="00235FBB" w:rsidRPr="00C15713" w:rsidRDefault="00235FBB" w:rsidP="00235FBB">
      <w:pPr>
        <w:ind w:firstLineChars="200" w:firstLine="480"/>
        <w:rPr>
          <w:rFonts w:ascii="仿宋" w:eastAsia="仿宋" w:hAnsi="仿宋"/>
          <w:sz w:val="24"/>
          <w:szCs w:val="24"/>
        </w:rPr>
      </w:pPr>
      <w:r w:rsidRPr="00C15713">
        <w:rPr>
          <w:rFonts w:ascii="仿宋" w:eastAsia="仿宋" w:hAnsi="仿宋"/>
          <w:sz w:val="24"/>
          <w:szCs w:val="24"/>
        </w:rPr>
        <w:t>（二）指导和监督各省、自治区、直辖市、计划单列市资产评估协会（以下简称“地方协会”）开展本地区评估机构的综合评价工作。</w:t>
      </w:r>
    </w:p>
    <w:p w:rsidR="00235FBB" w:rsidRPr="00C15713" w:rsidRDefault="00235FBB" w:rsidP="00235FBB">
      <w:pPr>
        <w:ind w:firstLine="585"/>
        <w:rPr>
          <w:rFonts w:ascii="仿宋" w:eastAsia="仿宋" w:hAnsi="仿宋"/>
          <w:sz w:val="24"/>
          <w:szCs w:val="24"/>
        </w:rPr>
      </w:pPr>
      <w:r w:rsidRPr="00C15713">
        <w:rPr>
          <w:rFonts w:ascii="仿宋" w:eastAsia="仿宋" w:hAnsi="仿宋"/>
          <w:sz w:val="24"/>
          <w:szCs w:val="24"/>
        </w:rPr>
        <w:t>（三）组织专家研究设定指标权重系数。</w:t>
      </w:r>
    </w:p>
    <w:p w:rsidR="00235FBB" w:rsidRPr="00C15713" w:rsidRDefault="00235FBB" w:rsidP="00235FBB">
      <w:pPr>
        <w:numPr>
          <w:ilvl w:val="0"/>
          <w:numId w:val="1"/>
        </w:numPr>
        <w:rPr>
          <w:rFonts w:ascii="仿宋" w:eastAsia="仿宋" w:hAnsi="仿宋"/>
          <w:sz w:val="24"/>
          <w:szCs w:val="24"/>
        </w:rPr>
      </w:pPr>
      <w:r w:rsidRPr="00C15713">
        <w:rPr>
          <w:rFonts w:ascii="仿宋" w:eastAsia="仿宋" w:hAnsi="仿宋"/>
          <w:sz w:val="24"/>
          <w:szCs w:val="24"/>
        </w:rPr>
        <w:t>综合评价工作每年开展一次，评价年度为上一年度，基准日为</w:t>
      </w:r>
      <w:smartTag w:uri="urn:schemas-microsoft-com:office:smarttags" w:element="chsdate">
        <w:smartTagPr>
          <w:attr w:name="IsROCDate" w:val="False"/>
          <w:attr w:name="IsLunarDate" w:val="False"/>
          <w:attr w:name="Day" w:val="31"/>
          <w:attr w:name="Month" w:val="12"/>
          <w:attr w:name="Year" w:val="2007"/>
        </w:smartTagPr>
        <w:r w:rsidRPr="00C15713">
          <w:rPr>
            <w:rFonts w:ascii="仿宋" w:eastAsia="仿宋" w:hAnsi="仿宋"/>
            <w:sz w:val="24"/>
            <w:szCs w:val="24"/>
          </w:rPr>
          <w:t>12月31日</w:t>
        </w:r>
      </w:smartTag>
      <w:r w:rsidRPr="00C15713">
        <w:rPr>
          <w:rFonts w:ascii="仿宋" w:eastAsia="仿宋" w:hAnsi="仿宋"/>
          <w:sz w:val="24"/>
          <w:szCs w:val="24"/>
        </w:rPr>
        <w:t>，每年6月按本办法规定公布评价结果。</w:t>
      </w:r>
    </w:p>
    <w:p w:rsidR="00235FBB" w:rsidRPr="00C15713" w:rsidRDefault="00235FBB" w:rsidP="00235FBB">
      <w:pPr>
        <w:numPr>
          <w:ilvl w:val="0"/>
          <w:numId w:val="1"/>
        </w:numPr>
        <w:rPr>
          <w:rFonts w:ascii="仿宋" w:eastAsia="仿宋" w:hAnsi="仿宋"/>
          <w:sz w:val="24"/>
          <w:szCs w:val="24"/>
        </w:rPr>
      </w:pPr>
      <w:r w:rsidRPr="00C15713">
        <w:rPr>
          <w:rFonts w:ascii="仿宋" w:eastAsia="仿宋" w:hAnsi="仿宋"/>
          <w:sz w:val="24"/>
          <w:szCs w:val="24"/>
        </w:rPr>
        <w:t>设立满1个会计年度的评估机构和合并新设、分立新设未满1</w:t>
      </w:r>
      <w:r w:rsidRPr="00C15713">
        <w:rPr>
          <w:rFonts w:ascii="仿宋" w:eastAsia="仿宋" w:hAnsi="仿宋"/>
          <w:sz w:val="24"/>
          <w:szCs w:val="24"/>
        </w:rPr>
        <w:lastRenderedPageBreak/>
        <w:t>个会计年度的评估机构应当参加综合评价。其中，采取总分公司经营模式的评估机构，分支机构各项指标合并入所属总公司；采取母子公司经营模式的评估机构，子公司各项指标合并入所属母公司，同时，子公司单独参加评价。</w:t>
      </w:r>
    </w:p>
    <w:p w:rsidR="00235FBB" w:rsidRPr="00C15713" w:rsidRDefault="00235FBB" w:rsidP="00235FBB">
      <w:pPr>
        <w:numPr>
          <w:ilvl w:val="0"/>
          <w:numId w:val="1"/>
        </w:numPr>
        <w:rPr>
          <w:rFonts w:ascii="仿宋" w:eastAsia="仿宋" w:hAnsi="仿宋"/>
          <w:sz w:val="24"/>
          <w:szCs w:val="24"/>
        </w:rPr>
      </w:pPr>
      <w:r w:rsidRPr="00C15713">
        <w:rPr>
          <w:rFonts w:ascii="仿宋" w:eastAsia="仿宋" w:hAnsi="仿宋"/>
          <w:sz w:val="24"/>
          <w:szCs w:val="24"/>
        </w:rPr>
        <w:t>综合评价选取评估机构的下列指标（附表1），采用平均值比较法计算单项指标得分：</w:t>
      </w:r>
    </w:p>
    <w:p w:rsidR="00235FBB" w:rsidRPr="00C15713" w:rsidRDefault="00235FBB" w:rsidP="00235FBB">
      <w:pPr>
        <w:numPr>
          <w:ilvl w:val="0"/>
          <w:numId w:val="2"/>
        </w:numPr>
        <w:rPr>
          <w:rFonts w:ascii="仿宋" w:eastAsia="仿宋" w:hAnsi="仿宋"/>
          <w:sz w:val="24"/>
          <w:szCs w:val="24"/>
        </w:rPr>
      </w:pPr>
      <w:r w:rsidRPr="00C15713">
        <w:rPr>
          <w:rFonts w:ascii="仿宋" w:eastAsia="仿宋" w:hAnsi="仿宋"/>
          <w:sz w:val="24"/>
          <w:szCs w:val="24"/>
        </w:rPr>
        <w:t>年业务收入指标</w:t>
      </w:r>
    </w:p>
    <w:p w:rsidR="00235FBB" w:rsidRPr="00C15713" w:rsidRDefault="00235FBB" w:rsidP="00235FBB">
      <w:pPr>
        <w:ind w:firstLine="600"/>
        <w:rPr>
          <w:rFonts w:ascii="仿宋" w:eastAsia="仿宋" w:hAnsi="仿宋"/>
          <w:sz w:val="24"/>
          <w:szCs w:val="24"/>
        </w:rPr>
      </w:pPr>
      <w:r w:rsidRPr="00C15713">
        <w:rPr>
          <w:rFonts w:ascii="仿宋" w:eastAsia="仿宋" w:hAnsi="仿宋"/>
          <w:sz w:val="24"/>
          <w:szCs w:val="24"/>
        </w:rPr>
        <w:t>年业务收入是指</w:t>
      </w:r>
      <w:proofErr w:type="gramStart"/>
      <w:r w:rsidRPr="00C15713">
        <w:rPr>
          <w:rFonts w:ascii="仿宋" w:eastAsia="仿宋" w:hAnsi="仿宋"/>
          <w:sz w:val="24"/>
          <w:szCs w:val="24"/>
        </w:rPr>
        <w:t>中评协行业</w:t>
      </w:r>
      <w:proofErr w:type="gramEnd"/>
      <w:r w:rsidRPr="00C15713">
        <w:rPr>
          <w:rFonts w:ascii="仿宋" w:eastAsia="仿宋" w:hAnsi="仿宋"/>
          <w:sz w:val="24"/>
          <w:szCs w:val="24"/>
        </w:rPr>
        <w:t>信息平台评价年度基准日记载的评估机构全部业务收入。年业务收入指标得分=评估机构年业务收入÷参评评估机构年业务收入前100家平均值。</w:t>
      </w:r>
    </w:p>
    <w:p w:rsidR="00235FBB" w:rsidRPr="00C15713" w:rsidRDefault="00235FBB" w:rsidP="00235FBB">
      <w:pPr>
        <w:numPr>
          <w:ilvl w:val="0"/>
          <w:numId w:val="2"/>
        </w:numPr>
        <w:rPr>
          <w:rFonts w:ascii="仿宋" w:eastAsia="仿宋" w:hAnsi="仿宋"/>
          <w:sz w:val="24"/>
          <w:szCs w:val="24"/>
        </w:rPr>
      </w:pPr>
      <w:r w:rsidRPr="00C15713">
        <w:rPr>
          <w:rFonts w:ascii="仿宋" w:eastAsia="仿宋" w:hAnsi="仿宋"/>
          <w:sz w:val="24"/>
          <w:szCs w:val="24"/>
        </w:rPr>
        <w:t>注册资产评估师数量指标</w:t>
      </w:r>
    </w:p>
    <w:p w:rsidR="00235FBB" w:rsidRPr="00C15713" w:rsidRDefault="00235FBB" w:rsidP="00235FBB">
      <w:pPr>
        <w:ind w:firstLineChars="221" w:firstLine="530"/>
        <w:rPr>
          <w:rFonts w:ascii="仿宋" w:eastAsia="仿宋" w:hAnsi="仿宋"/>
          <w:sz w:val="24"/>
          <w:szCs w:val="24"/>
        </w:rPr>
      </w:pPr>
      <w:r w:rsidRPr="00C15713">
        <w:rPr>
          <w:rFonts w:ascii="仿宋" w:eastAsia="仿宋" w:hAnsi="仿宋"/>
          <w:sz w:val="24"/>
          <w:szCs w:val="24"/>
        </w:rPr>
        <w:t>注册资产评估师数量是指评估机构在</w:t>
      </w:r>
      <w:proofErr w:type="gramStart"/>
      <w:r w:rsidRPr="00C15713">
        <w:rPr>
          <w:rFonts w:ascii="仿宋" w:eastAsia="仿宋" w:hAnsi="仿宋"/>
          <w:sz w:val="24"/>
          <w:szCs w:val="24"/>
        </w:rPr>
        <w:t>中评协行业</w:t>
      </w:r>
      <w:proofErr w:type="gramEnd"/>
      <w:r w:rsidRPr="00C15713">
        <w:rPr>
          <w:rFonts w:ascii="仿宋" w:eastAsia="仿宋" w:hAnsi="仿宋"/>
          <w:sz w:val="24"/>
          <w:szCs w:val="24"/>
        </w:rPr>
        <w:t>信息平台评价年度基准日记载的注册资产评估师数量，同时综合考虑资深会员数量、金牌会员数量、专业新锐人才数量和完成后续教育的情况。注册资产评估师数量指标得分=评估机构注册资产评估师数量÷参评评估机构注册资产评估师数量前100家平均值。其中，注册资产评估师数量=（评价年度期</w:t>
      </w:r>
      <w:proofErr w:type="gramStart"/>
      <w:r w:rsidRPr="00C15713">
        <w:rPr>
          <w:rFonts w:ascii="仿宋" w:eastAsia="仿宋" w:hAnsi="仿宋"/>
          <w:sz w:val="24"/>
          <w:szCs w:val="24"/>
        </w:rPr>
        <w:t>初注册</w:t>
      </w:r>
      <w:proofErr w:type="gramEnd"/>
      <w:r w:rsidRPr="00C15713">
        <w:rPr>
          <w:rFonts w:ascii="仿宋" w:eastAsia="仿宋" w:hAnsi="仿宋"/>
          <w:sz w:val="24"/>
          <w:szCs w:val="24"/>
        </w:rPr>
        <w:t>资产评估师数量+期末注册资产评估师数量）/2－未完成后续教育的评估师数量＋资深会员数量×3＋金牌会员数量×2＋专业新锐人才数量×2。</w:t>
      </w:r>
    </w:p>
    <w:p w:rsidR="00235FBB" w:rsidRPr="00C15713" w:rsidRDefault="00235FBB" w:rsidP="00235FBB">
      <w:pPr>
        <w:numPr>
          <w:ilvl w:val="0"/>
          <w:numId w:val="2"/>
        </w:numPr>
        <w:rPr>
          <w:rFonts w:ascii="仿宋" w:eastAsia="仿宋" w:hAnsi="仿宋"/>
          <w:sz w:val="24"/>
          <w:szCs w:val="24"/>
        </w:rPr>
      </w:pPr>
      <w:r w:rsidRPr="00C15713">
        <w:rPr>
          <w:rFonts w:ascii="仿宋" w:eastAsia="仿宋" w:hAnsi="仿宋"/>
          <w:sz w:val="24"/>
          <w:szCs w:val="24"/>
        </w:rPr>
        <w:t>注册资产</w:t>
      </w:r>
      <w:proofErr w:type="gramStart"/>
      <w:r w:rsidRPr="00C15713">
        <w:rPr>
          <w:rFonts w:ascii="仿宋" w:eastAsia="仿宋" w:hAnsi="仿宋"/>
          <w:sz w:val="24"/>
          <w:szCs w:val="24"/>
        </w:rPr>
        <w:t>评估师年人均收入</w:t>
      </w:r>
      <w:proofErr w:type="gramEnd"/>
      <w:r w:rsidRPr="00C15713">
        <w:rPr>
          <w:rFonts w:ascii="仿宋" w:eastAsia="仿宋" w:hAnsi="仿宋"/>
          <w:sz w:val="24"/>
          <w:szCs w:val="24"/>
        </w:rPr>
        <w:t>指标</w:t>
      </w:r>
    </w:p>
    <w:p w:rsidR="00235FBB" w:rsidRPr="00C15713" w:rsidRDefault="00235FBB" w:rsidP="00235FBB">
      <w:pPr>
        <w:ind w:firstLineChars="221" w:firstLine="530"/>
        <w:rPr>
          <w:rFonts w:ascii="仿宋" w:eastAsia="仿宋" w:hAnsi="仿宋"/>
          <w:sz w:val="24"/>
          <w:szCs w:val="24"/>
        </w:rPr>
      </w:pPr>
      <w:r w:rsidRPr="00C15713">
        <w:rPr>
          <w:rFonts w:ascii="仿宋" w:eastAsia="仿宋" w:hAnsi="仿宋"/>
          <w:sz w:val="24"/>
          <w:szCs w:val="24"/>
        </w:rPr>
        <w:t>注册资产</w:t>
      </w:r>
      <w:proofErr w:type="gramStart"/>
      <w:r w:rsidRPr="00C15713">
        <w:rPr>
          <w:rFonts w:ascii="仿宋" w:eastAsia="仿宋" w:hAnsi="仿宋"/>
          <w:sz w:val="24"/>
          <w:szCs w:val="24"/>
        </w:rPr>
        <w:t>评估师年人均收入</w:t>
      </w:r>
      <w:proofErr w:type="gramEnd"/>
      <w:r w:rsidRPr="00C15713">
        <w:rPr>
          <w:rFonts w:ascii="仿宋" w:eastAsia="仿宋" w:hAnsi="仿宋"/>
          <w:sz w:val="24"/>
          <w:szCs w:val="24"/>
        </w:rPr>
        <w:t>是指评估机构年业务收入与评估机构在</w:t>
      </w:r>
      <w:proofErr w:type="gramStart"/>
      <w:r w:rsidRPr="00C15713">
        <w:rPr>
          <w:rFonts w:ascii="仿宋" w:eastAsia="仿宋" w:hAnsi="仿宋"/>
          <w:sz w:val="24"/>
          <w:szCs w:val="24"/>
        </w:rPr>
        <w:t>中评协行业</w:t>
      </w:r>
      <w:proofErr w:type="gramEnd"/>
      <w:r w:rsidRPr="00C15713">
        <w:rPr>
          <w:rFonts w:ascii="仿宋" w:eastAsia="仿宋" w:hAnsi="仿宋"/>
          <w:sz w:val="24"/>
          <w:szCs w:val="24"/>
        </w:rPr>
        <w:t>信息平台评价年度期初、期末记载注册资产评估师数量的平均数的比值。注册资产</w:t>
      </w:r>
      <w:proofErr w:type="gramStart"/>
      <w:r w:rsidRPr="00C15713">
        <w:rPr>
          <w:rFonts w:ascii="仿宋" w:eastAsia="仿宋" w:hAnsi="仿宋"/>
          <w:sz w:val="24"/>
          <w:szCs w:val="24"/>
        </w:rPr>
        <w:t>评估师年人均收入</w:t>
      </w:r>
      <w:proofErr w:type="gramEnd"/>
      <w:r w:rsidRPr="00C15713">
        <w:rPr>
          <w:rFonts w:ascii="仿宋" w:eastAsia="仿宋" w:hAnsi="仿宋"/>
          <w:sz w:val="24"/>
          <w:szCs w:val="24"/>
        </w:rPr>
        <w:t>指标得分=评估机构注册资产</w:t>
      </w:r>
      <w:proofErr w:type="gramStart"/>
      <w:r w:rsidRPr="00C15713">
        <w:rPr>
          <w:rFonts w:ascii="仿宋" w:eastAsia="仿宋" w:hAnsi="仿宋"/>
          <w:sz w:val="24"/>
          <w:szCs w:val="24"/>
        </w:rPr>
        <w:t>评估师年人均收入</w:t>
      </w:r>
      <w:proofErr w:type="gramEnd"/>
      <w:r w:rsidRPr="00C15713">
        <w:rPr>
          <w:rFonts w:ascii="仿宋" w:eastAsia="仿宋" w:hAnsi="仿宋"/>
          <w:sz w:val="24"/>
          <w:szCs w:val="24"/>
        </w:rPr>
        <w:t>÷参评评估机构注册资产</w:t>
      </w:r>
      <w:proofErr w:type="gramStart"/>
      <w:r w:rsidRPr="00C15713">
        <w:rPr>
          <w:rFonts w:ascii="仿宋" w:eastAsia="仿宋" w:hAnsi="仿宋"/>
          <w:sz w:val="24"/>
          <w:szCs w:val="24"/>
        </w:rPr>
        <w:t>评估师年人均收入</w:t>
      </w:r>
      <w:proofErr w:type="gramEnd"/>
      <w:r w:rsidRPr="00C15713">
        <w:rPr>
          <w:rFonts w:ascii="仿宋" w:eastAsia="仿宋" w:hAnsi="仿宋"/>
          <w:sz w:val="24"/>
          <w:szCs w:val="24"/>
        </w:rPr>
        <w:t>前100家平均值。</w:t>
      </w:r>
    </w:p>
    <w:p w:rsidR="00235FBB" w:rsidRPr="00C15713" w:rsidRDefault="00235FBB" w:rsidP="00235FBB">
      <w:pPr>
        <w:numPr>
          <w:ilvl w:val="0"/>
          <w:numId w:val="2"/>
        </w:numPr>
        <w:rPr>
          <w:rFonts w:ascii="仿宋" w:eastAsia="仿宋" w:hAnsi="仿宋"/>
          <w:sz w:val="24"/>
          <w:szCs w:val="24"/>
        </w:rPr>
      </w:pPr>
      <w:r w:rsidRPr="00C15713">
        <w:rPr>
          <w:rFonts w:ascii="仿宋" w:eastAsia="仿宋" w:hAnsi="仿宋"/>
          <w:sz w:val="24"/>
          <w:szCs w:val="24"/>
        </w:rPr>
        <w:lastRenderedPageBreak/>
        <w:t>注册资产评估</w:t>
      </w:r>
      <w:proofErr w:type="gramStart"/>
      <w:r w:rsidRPr="00C15713">
        <w:rPr>
          <w:rFonts w:ascii="仿宋" w:eastAsia="仿宋" w:hAnsi="仿宋"/>
          <w:sz w:val="24"/>
          <w:szCs w:val="24"/>
        </w:rPr>
        <w:t>师平均</w:t>
      </w:r>
      <w:proofErr w:type="gramEnd"/>
      <w:r w:rsidRPr="00C15713">
        <w:rPr>
          <w:rFonts w:ascii="仿宋" w:eastAsia="仿宋" w:hAnsi="仿宋"/>
          <w:sz w:val="24"/>
          <w:szCs w:val="24"/>
        </w:rPr>
        <w:t>执业年限指标</w:t>
      </w:r>
    </w:p>
    <w:p w:rsidR="00235FBB" w:rsidRPr="00C15713" w:rsidRDefault="00235FBB" w:rsidP="00235FBB">
      <w:pPr>
        <w:ind w:firstLineChars="171" w:firstLine="410"/>
        <w:rPr>
          <w:rFonts w:ascii="仿宋" w:eastAsia="仿宋" w:hAnsi="仿宋"/>
          <w:sz w:val="24"/>
          <w:szCs w:val="24"/>
        </w:rPr>
      </w:pPr>
      <w:r w:rsidRPr="00C15713">
        <w:rPr>
          <w:rFonts w:ascii="仿宋" w:eastAsia="仿宋" w:hAnsi="仿宋"/>
          <w:sz w:val="24"/>
          <w:szCs w:val="24"/>
        </w:rPr>
        <w:t>注册资产评估</w:t>
      </w:r>
      <w:proofErr w:type="gramStart"/>
      <w:r w:rsidRPr="00C15713">
        <w:rPr>
          <w:rFonts w:ascii="仿宋" w:eastAsia="仿宋" w:hAnsi="仿宋"/>
          <w:sz w:val="24"/>
          <w:szCs w:val="24"/>
        </w:rPr>
        <w:t>师平均</w:t>
      </w:r>
      <w:proofErr w:type="gramEnd"/>
      <w:r w:rsidRPr="00C15713">
        <w:rPr>
          <w:rFonts w:ascii="仿宋" w:eastAsia="仿宋" w:hAnsi="仿宋"/>
          <w:sz w:val="24"/>
          <w:szCs w:val="24"/>
        </w:rPr>
        <w:t>执业年限是指评估机构在</w:t>
      </w:r>
      <w:proofErr w:type="gramStart"/>
      <w:r w:rsidRPr="00C15713">
        <w:rPr>
          <w:rFonts w:ascii="仿宋" w:eastAsia="仿宋" w:hAnsi="仿宋"/>
          <w:sz w:val="24"/>
          <w:szCs w:val="24"/>
        </w:rPr>
        <w:t>中评协行业</w:t>
      </w:r>
      <w:proofErr w:type="gramEnd"/>
      <w:r w:rsidRPr="00C15713">
        <w:rPr>
          <w:rFonts w:ascii="仿宋" w:eastAsia="仿宋" w:hAnsi="仿宋"/>
          <w:sz w:val="24"/>
          <w:szCs w:val="24"/>
        </w:rPr>
        <w:t>信息平台评价年度基准日记载的注册资产评估师的平均注册时间。注册资产评估</w:t>
      </w:r>
      <w:proofErr w:type="gramStart"/>
      <w:r w:rsidRPr="00C15713">
        <w:rPr>
          <w:rFonts w:ascii="仿宋" w:eastAsia="仿宋" w:hAnsi="仿宋"/>
          <w:sz w:val="24"/>
          <w:szCs w:val="24"/>
        </w:rPr>
        <w:t>师平均</w:t>
      </w:r>
      <w:proofErr w:type="gramEnd"/>
      <w:r w:rsidRPr="00C15713">
        <w:rPr>
          <w:rFonts w:ascii="仿宋" w:eastAsia="仿宋" w:hAnsi="仿宋"/>
          <w:sz w:val="24"/>
          <w:szCs w:val="24"/>
        </w:rPr>
        <w:t>执业年限指标得分=评估机构注册资产评估</w:t>
      </w:r>
      <w:proofErr w:type="gramStart"/>
      <w:r w:rsidRPr="00C15713">
        <w:rPr>
          <w:rFonts w:ascii="仿宋" w:eastAsia="仿宋" w:hAnsi="仿宋"/>
          <w:sz w:val="24"/>
          <w:szCs w:val="24"/>
        </w:rPr>
        <w:t>师平均</w:t>
      </w:r>
      <w:proofErr w:type="gramEnd"/>
      <w:r w:rsidRPr="00C15713">
        <w:rPr>
          <w:rFonts w:ascii="仿宋" w:eastAsia="仿宋" w:hAnsi="仿宋"/>
          <w:sz w:val="24"/>
          <w:szCs w:val="24"/>
        </w:rPr>
        <w:t>执业年限÷参评评估机构注册资产评估</w:t>
      </w:r>
      <w:proofErr w:type="gramStart"/>
      <w:r w:rsidRPr="00C15713">
        <w:rPr>
          <w:rFonts w:ascii="仿宋" w:eastAsia="仿宋" w:hAnsi="仿宋"/>
          <w:sz w:val="24"/>
          <w:szCs w:val="24"/>
        </w:rPr>
        <w:t>师平均</w:t>
      </w:r>
      <w:proofErr w:type="gramEnd"/>
      <w:r w:rsidRPr="00C15713">
        <w:rPr>
          <w:rFonts w:ascii="仿宋" w:eastAsia="仿宋" w:hAnsi="仿宋"/>
          <w:sz w:val="24"/>
          <w:szCs w:val="24"/>
        </w:rPr>
        <w:t>执业年限前100家平均值。</w:t>
      </w:r>
    </w:p>
    <w:p w:rsidR="00235FBB" w:rsidRPr="00C15713" w:rsidRDefault="00235FBB" w:rsidP="00235FBB">
      <w:pPr>
        <w:numPr>
          <w:ilvl w:val="0"/>
          <w:numId w:val="2"/>
        </w:numPr>
        <w:rPr>
          <w:rFonts w:ascii="仿宋" w:eastAsia="仿宋" w:hAnsi="仿宋"/>
          <w:sz w:val="24"/>
          <w:szCs w:val="24"/>
        </w:rPr>
      </w:pPr>
      <w:r w:rsidRPr="00C15713">
        <w:rPr>
          <w:rFonts w:ascii="仿宋" w:eastAsia="仿宋" w:hAnsi="仿宋"/>
          <w:sz w:val="24"/>
          <w:szCs w:val="24"/>
        </w:rPr>
        <w:t>人才培养指标</w:t>
      </w:r>
    </w:p>
    <w:p w:rsidR="00235FBB" w:rsidRPr="00C15713" w:rsidRDefault="00235FBB" w:rsidP="00235FBB">
      <w:pPr>
        <w:ind w:firstLine="600"/>
        <w:rPr>
          <w:rFonts w:ascii="仿宋" w:eastAsia="仿宋" w:hAnsi="仿宋"/>
          <w:sz w:val="24"/>
          <w:szCs w:val="24"/>
        </w:rPr>
      </w:pPr>
      <w:r w:rsidRPr="00C15713">
        <w:rPr>
          <w:rFonts w:ascii="仿宋" w:eastAsia="仿宋" w:hAnsi="仿宋"/>
          <w:sz w:val="24"/>
          <w:szCs w:val="24"/>
        </w:rPr>
        <w:t>人才培养是指评估机构在评价年度内人才培养方面的投入和取得的成绩。人才培养指标得分=评估机构人才培养得分÷参评评估机构人才培养得分前100家平均值。</w:t>
      </w:r>
    </w:p>
    <w:p w:rsidR="00235FBB" w:rsidRPr="00C15713" w:rsidRDefault="00235FBB" w:rsidP="00235FBB">
      <w:pPr>
        <w:numPr>
          <w:ilvl w:val="0"/>
          <w:numId w:val="2"/>
        </w:numPr>
        <w:rPr>
          <w:rFonts w:ascii="仿宋" w:eastAsia="仿宋" w:hAnsi="仿宋"/>
          <w:sz w:val="24"/>
          <w:szCs w:val="24"/>
        </w:rPr>
      </w:pPr>
      <w:r w:rsidRPr="00C15713">
        <w:rPr>
          <w:rFonts w:ascii="仿宋" w:eastAsia="仿宋" w:hAnsi="仿宋"/>
          <w:sz w:val="24"/>
          <w:szCs w:val="24"/>
        </w:rPr>
        <w:t>执业质量指标</w:t>
      </w:r>
    </w:p>
    <w:p w:rsidR="00235FBB" w:rsidRPr="00C15713" w:rsidRDefault="00235FBB" w:rsidP="00235FBB">
      <w:pPr>
        <w:ind w:firstLine="600"/>
        <w:rPr>
          <w:rFonts w:ascii="仿宋" w:eastAsia="仿宋" w:hAnsi="仿宋"/>
          <w:sz w:val="24"/>
          <w:szCs w:val="24"/>
        </w:rPr>
      </w:pPr>
      <w:r w:rsidRPr="00C15713">
        <w:rPr>
          <w:rFonts w:ascii="仿宋" w:eastAsia="仿宋" w:hAnsi="仿宋"/>
          <w:sz w:val="24"/>
          <w:szCs w:val="24"/>
        </w:rPr>
        <w:t>执业质量是指评估机构在评价年度及前4年内评估机构和注册资产评估师受到行政处罚、自律惩戒的情况。评估机构的计分按对应年度评估机构计分标准规定分值（附表</w:t>
      </w:r>
      <w:r w:rsidRPr="00C15713">
        <w:rPr>
          <w:rFonts w:ascii="仿宋" w:eastAsia="仿宋" w:hAnsi="仿宋" w:hint="eastAsia"/>
          <w:sz w:val="24"/>
          <w:szCs w:val="24"/>
        </w:rPr>
        <w:t>2</w:t>
      </w:r>
      <w:r w:rsidRPr="00C15713">
        <w:rPr>
          <w:rFonts w:ascii="仿宋" w:eastAsia="仿宋" w:hAnsi="仿宋"/>
          <w:sz w:val="24"/>
          <w:szCs w:val="24"/>
        </w:rPr>
        <w:t>）累计计算，注册资产</w:t>
      </w:r>
      <w:proofErr w:type="gramStart"/>
      <w:r w:rsidRPr="00C15713">
        <w:rPr>
          <w:rFonts w:ascii="仿宋" w:eastAsia="仿宋" w:hAnsi="仿宋"/>
          <w:sz w:val="24"/>
          <w:szCs w:val="24"/>
        </w:rPr>
        <w:t>评估师每1人次</w:t>
      </w:r>
      <w:proofErr w:type="gramEnd"/>
      <w:r w:rsidRPr="00C15713">
        <w:rPr>
          <w:rFonts w:ascii="仿宋" w:eastAsia="仿宋" w:hAnsi="仿宋"/>
          <w:sz w:val="24"/>
          <w:szCs w:val="24"/>
        </w:rPr>
        <w:t>计分为评估机构计分标准规定分值的50%累计计算。执业质量指标得分=（100-Σ对应年度受处罚或惩戒的相关分值）/参评评估机构执业质量得分前100家平均值。</w:t>
      </w:r>
    </w:p>
    <w:p w:rsidR="00235FBB" w:rsidRPr="00C15713" w:rsidRDefault="00235FBB" w:rsidP="00235FBB">
      <w:pPr>
        <w:numPr>
          <w:ilvl w:val="0"/>
          <w:numId w:val="2"/>
        </w:numPr>
        <w:rPr>
          <w:rFonts w:ascii="仿宋" w:eastAsia="仿宋" w:hAnsi="仿宋"/>
          <w:sz w:val="24"/>
          <w:szCs w:val="24"/>
        </w:rPr>
      </w:pPr>
      <w:r w:rsidRPr="00C15713">
        <w:rPr>
          <w:rFonts w:ascii="仿宋" w:eastAsia="仿宋" w:hAnsi="仿宋"/>
          <w:sz w:val="24"/>
          <w:szCs w:val="24"/>
        </w:rPr>
        <w:t>行业贡献指标</w:t>
      </w:r>
    </w:p>
    <w:p w:rsidR="00235FBB" w:rsidRPr="00C15713" w:rsidRDefault="00235FBB" w:rsidP="00235FBB">
      <w:pPr>
        <w:ind w:firstLine="600"/>
        <w:rPr>
          <w:rFonts w:ascii="仿宋" w:eastAsia="仿宋" w:hAnsi="仿宋"/>
          <w:sz w:val="24"/>
          <w:szCs w:val="24"/>
        </w:rPr>
      </w:pPr>
      <w:r w:rsidRPr="00C15713">
        <w:rPr>
          <w:rFonts w:ascii="仿宋" w:eastAsia="仿宋" w:hAnsi="仿宋"/>
          <w:sz w:val="24"/>
          <w:szCs w:val="24"/>
        </w:rPr>
        <w:t>行业贡献是指评估机构及注册资产评估师在评价年度内</w:t>
      </w:r>
      <w:proofErr w:type="gramStart"/>
      <w:r w:rsidRPr="00C15713">
        <w:rPr>
          <w:rFonts w:ascii="仿宋" w:eastAsia="仿宋" w:hAnsi="仿宋"/>
          <w:sz w:val="24"/>
          <w:szCs w:val="24"/>
        </w:rPr>
        <w:t>参加中评协和地方协会</w:t>
      </w:r>
      <w:proofErr w:type="gramEnd"/>
      <w:r w:rsidRPr="00C15713">
        <w:rPr>
          <w:rFonts w:ascii="仿宋" w:eastAsia="仿宋" w:hAnsi="仿宋"/>
          <w:sz w:val="24"/>
          <w:szCs w:val="24"/>
        </w:rPr>
        <w:t>组织的行业建设活动情况，受到表彰情况，以及</w:t>
      </w:r>
      <w:proofErr w:type="gramStart"/>
      <w:r w:rsidRPr="00C15713">
        <w:rPr>
          <w:rFonts w:ascii="仿宋" w:eastAsia="仿宋" w:hAnsi="仿宋"/>
          <w:sz w:val="24"/>
          <w:szCs w:val="24"/>
        </w:rPr>
        <w:t>在中评协和地方协会</w:t>
      </w:r>
      <w:proofErr w:type="gramEnd"/>
      <w:r w:rsidRPr="00C15713">
        <w:rPr>
          <w:rFonts w:ascii="仿宋" w:eastAsia="仿宋" w:hAnsi="仿宋"/>
          <w:sz w:val="24"/>
          <w:szCs w:val="24"/>
        </w:rPr>
        <w:t>担任理事等职务并发挥积极作用的情况。行业贡献指标得分=评估机构行业贡献得分÷参评评估机构行业贡献得分前100家平均值。</w:t>
      </w:r>
    </w:p>
    <w:p w:rsidR="00235FBB" w:rsidRPr="00C15713" w:rsidRDefault="00235FBB" w:rsidP="00235FBB">
      <w:pPr>
        <w:numPr>
          <w:ilvl w:val="0"/>
          <w:numId w:val="1"/>
        </w:numPr>
        <w:rPr>
          <w:rFonts w:ascii="仿宋" w:eastAsia="仿宋" w:hAnsi="仿宋"/>
          <w:sz w:val="24"/>
          <w:szCs w:val="24"/>
        </w:rPr>
      </w:pPr>
      <w:r w:rsidRPr="00C15713">
        <w:rPr>
          <w:rFonts w:ascii="仿宋" w:eastAsia="仿宋" w:hAnsi="仿宋"/>
          <w:sz w:val="24"/>
          <w:szCs w:val="24"/>
        </w:rPr>
        <w:t>综合评价的参评评估机构均设基础分100分，评估机构综合评价得分为100+Σ单项评价指标得分×权重系数。指标权重系数范围见附表1，</w:t>
      </w:r>
      <w:proofErr w:type="gramStart"/>
      <w:r w:rsidRPr="00C15713">
        <w:rPr>
          <w:rFonts w:ascii="仿宋" w:eastAsia="仿宋" w:hAnsi="仿宋"/>
          <w:sz w:val="24"/>
          <w:szCs w:val="24"/>
        </w:rPr>
        <w:t>中</w:t>
      </w:r>
      <w:r w:rsidRPr="00C15713">
        <w:rPr>
          <w:rFonts w:ascii="仿宋" w:eastAsia="仿宋" w:hAnsi="仿宋"/>
          <w:sz w:val="24"/>
          <w:szCs w:val="24"/>
        </w:rPr>
        <w:lastRenderedPageBreak/>
        <w:t>评协</w:t>
      </w:r>
      <w:proofErr w:type="gramEnd"/>
      <w:r w:rsidRPr="00C15713">
        <w:rPr>
          <w:rFonts w:ascii="仿宋" w:eastAsia="仿宋" w:hAnsi="仿宋"/>
          <w:sz w:val="24"/>
          <w:szCs w:val="24"/>
        </w:rPr>
        <w:t>秘书处根据行业发展的需要，每年组织专家打分确定各指标权重系数并公布。</w:t>
      </w:r>
    </w:p>
    <w:p w:rsidR="00235FBB" w:rsidRPr="00C15713" w:rsidRDefault="00235FBB" w:rsidP="00235FBB">
      <w:pPr>
        <w:ind w:left="567"/>
        <w:rPr>
          <w:rFonts w:ascii="仿宋" w:eastAsia="仿宋" w:hAnsi="仿宋"/>
          <w:sz w:val="24"/>
          <w:szCs w:val="24"/>
        </w:rPr>
      </w:pPr>
      <w:r w:rsidRPr="00C15713">
        <w:rPr>
          <w:rFonts w:ascii="仿宋" w:eastAsia="仿宋" w:hAnsi="仿宋"/>
          <w:b/>
          <w:sz w:val="24"/>
          <w:szCs w:val="24"/>
        </w:rPr>
        <w:t xml:space="preserve">第九条  </w:t>
      </w:r>
      <w:r w:rsidRPr="00C15713">
        <w:rPr>
          <w:rFonts w:ascii="仿宋" w:eastAsia="仿宋" w:hAnsi="仿宋"/>
          <w:sz w:val="24"/>
          <w:szCs w:val="24"/>
        </w:rPr>
        <w:t>综合评价得分的计算公式如下：</w:t>
      </w:r>
    </w:p>
    <w:p w:rsidR="00235FBB" w:rsidRPr="00C15713" w:rsidRDefault="00235FBB" w:rsidP="00235FBB">
      <w:pPr>
        <w:ind w:firstLineChars="221" w:firstLine="530"/>
        <w:rPr>
          <w:rFonts w:ascii="仿宋" w:eastAsia="仿宋" w:hAnsi="仿宋"/>
          <w:sz w:val="24"/>
          <w:szCs w:val="24"/>
        </w:rPr>
      </w:pPr>
      <w:r w:rsidRPr="00C15713">
        <w:rPr>
          <w:rFonts w:ascii="仿宋" w:eastAsia="仿宋" w:hAnsi="仿宋"/>
          <w:sz w:val="24"/>
          <w:szCs w:val="24"/>
        </w:rPr>
        <w:t>综合评价得分=100+年业务收入指标得分×W</w:t>
      </w:r>
      <w:r w:rsidRPr="00C15713">
        <w:rPr>
          <w:rFonts w:ascii="仿宋" w:eastAsia="仿宋" w:hAnsi="仿宋"/>
          <w:sz w:val="24"/>
          <w:szCs w:val="24"/>
          <w:vertAlign w:val="subscript"/>
        </w:rPr>
        <w:t>1</w:t>
      </w:r>
      <w:r w:rsidRPr="00C15713">
        <w:rPr>
          <w:rFonts w:ascii="仿宋" w:eastAsia="仿宋" w:hAnsi="仿宋"/>
          <w:sz w:val="24"/>
          <w:szCs w:val="24"/>
        </w:rPr>
        <w:t>+注册资产评估师数量指标得分×W</w:t>
      </w:r>
      <w:r w:rsidRPr="00C15713">
        <w:rPr>
          <w:rFonts w:ascii="仿宋" w:eastAsia="仿宋" w:hAnsi="仿宋"/>
          <w:sz w:val="24"/>
          <w:szCs w:val="24"/>
          <w:vertAlign w:val="subscript"/>
        </w:rPr>
        <w:t>2</w:t>
      </w:r>
      <w:r w:rsidRPr="00C15713">
        <w:rPr>
          <w:rFonts w:ascii="仿宋" w:eastAsia="仿宋" w:hAnsi="仿宋"/>
          <w:sz w:val="24"/>
          <w:szCs w:val="24"/>
        </w:rPr>
        <w:t>+注册资产</w:t>
      </w:r>
      <w:proofErr w:type="gramStart"/>
      <w:r w:rsidRPr="00C15713">
        <w:rPr>
          <w:rFonts w:ascii="仿宋" w:eastAsia="仿宋" w:hAnsi="仿宋"/>
          <w:sz w:val="24"/>
          <w:szCs w:val="24"/>
        </w:rPr>
        <w:t>评估师年人均收入</w:t>
      </w:r>
      <w:proofErr w:type="gramEnd"/>
      <w:r w:rsidRPr="00C15713">
        <w:rPr>
          <w:rFonts w:ascii="仿宋" w:eastAsia="仿宋" w:hAnsi="仿宋"/>
          <w:sz w:val="24"/>
          <w:szCs w:val="24"/>
        </w:rPr>
        <w:t>指标得分×W</w:t>
      </w:r>
      <w:r w:rsidRPr="00C15713">
        <w:rPr>
          <w:rFonts w:ascii="仿宋" w:eastAsia="仿宋" w:hAnsi="仿宋"/>
          <w:sz w:val="24"/>
          <w:szCs w:val="24"/>
          <w:vertAlign w:val="subscript"/>
        </w:rPr>
        <w:t>3</w:t>
      </w:r>
      <w:r w:rsidRPr="00C15713">
        <w:rPr>
          <w:rFonts w:ascii="仿宋" w:eastAsia="仿宋" w:hAnsi="仿宋"/>
          <w:sz w:val="24"/>
          <w:szCs w:val="24"/>
        </w:rPr>
        <w:t>+注册资产评估</w:t>
      </w:r>
      <w:proofErr w:type="gramStart"/>
      <w:r w:rsidRPr="00C15713">
        <w:rPr>
          <w:rFonts w:ascii="仿宋" w:eastAsia="仿宋" w:hAnsi="仿宋"/>
          <w:sz w:val="24"/>
          <w:szCs w:val="24"/>
        </w:rPr>
        <w:t>师平均</w:t>
      </w:r>
      <w:proofErr w:type="gramEnd"/>
      <w:r w:rsidRPr="00C15713">
        <w:rPr>
          <w:rFonts w:ascii="仿宋" w:eastAsia="仿宋" w:hAnsi="仿宋"/>
          <w:sz w:val="24"/>
          <w:szCs w:val="24"/>
        </w:rPr>
        <w:t>执业年限指标得分×W</w:t>
      </w:r>
      <w:r w:rsidRPr="00C15713">
        <w:rPr>
          <w:rFonts w:ascii="仿宋" w:eastAsia="仿宋" w:hAnsi="仿宋"/>
          <w:sz w:val="24"/>
          <w:szCs w:val="24"/>
          <w:vertAlign w:val="subscript"/>
        </w:rPr>
        <w:t>4</w:t>
      </w:r>
      <w:r w:rsidRPr="00C15713">
        <w:rPr>
          <w:rFonts w:ascii="仿宋" w:eastAsia="仿宋" w:hAnsi="仿宋"/>
          <w:sz w:val="24"/>
          <w:szCs w:val="24"/>
        </w:rPr>
        <w:t>+人才培养指标得分×W</w:t>
      </w:r>
      <w:r w:rsidRPr="00C15713">
        <w:rPr>
          <w:rFonts w:ascii="仿宋" w:eastAsia="仿宋" w:hAnsi="仿宋"/>
          <w:sz w:val="24"/>
          <w:szCs w:val="24"/>
          <w:vertAlign w:val="subscript"/>
        </w:rPr>
        <w:t>5</w:t>
      </w:r>
      <w:r w:rsidRPr="00C15713">
        <w:rPr>
          <w:rFonts w:ascii="仿宋" w:eastAsia="仿宋" w:hAnsi="仿宋"/>
          <w:sz w:val="24"/>
          <w:szCs w:val="24"/>
        </w:rPr>
        <w:t>+执业质量指标得分×W</w:t>
      </w:r>
      <w:r w:rsidRPr="00C15713">
        <w:rPr>
          <w:rFonts w:ascii="仿宋" w:eastAsia="仿宋" w:hAnsi="仿宋"/>
          <w:sz w:val="24"/>
          <w:szCs w:val="24"/>
          <w:vertAlign w:val="subscript"/>
        </w:rPr>
        <w:t>6</w:t>
      </w:r>
      <w:r w:rsidRPr="00C15713">
        <w:rPr>
          <w:rFonts w:ascii="仿宋" w:eastAsia="仿宋" w:hAnsi="仿宋"/>
          <w:sz w:val="24"/>
          <w:szCs w:val="24"/>
        </w:rPr>
        <w:t>+行业贡献指标得分×W</w:t>
      </w:r>
      <w:r w:rsidRPr="00C15713">
        <w:rPr>
          <w:rFonts w:ascii="仿宋" w:eastAsia="仿宋" w:hAnsi="仿宋"/>
          <w:sz w:val="24"/>
          <w:szCs w:val="24"/>
          <w:vertAlign w:val="subscript"/>
        </w:rPr>
        <w:t>7</w:t>
      </w:r>
      <w:r w:rsidRPr="00C15713">
        <w:rPr>
          <w:rFonts w:ascii="仿宋" w:eastAsia="仿宋" w:hAnsi="仿宋"/>
          <w:sz w:val="24"/>
          <w:szCs w:val="24"/>
        </w:rPr>
        <w:t>（其中，W</w:t>
      </w:r>
      <w:r w:rsidRPr="00C15713">
        <w:rPr>
          <w:rFonts w:ascii="仿宋" w:eastAsia="仿宋" w:hAnsi="仿宋"/>
          <w:sz w:val="24"/>
          <w:szCs w:val="24"/>
          <w:vertAlign w:val="subscript"/>
        </w:rPr>
        <w:t>1</w:t>
      </w:r>
      <w:r w:rsidRPr="00C15713">
        <w:rPr>
          <w:rFonts w:ascii="仿宋" w:eastAsia="仿宋" w:hAnsi="仿宋"/>
          <w:sz w:val="24"/>
          <w:szCs w:val="24"/>
        </w:rPr>
        <w:t>，W</w:t>
      </w:r>
      <w:r w:rsidRPr="00C15713">
        <w:rPr>
          <w:rFonts w:ascii="仿宋" w:eastAsia="仿宋" w:hAnsi="仿宋"/>
          <w:sz w:val="24"/>
          <w:szCs w:val="24"/>
          <w:vertAlign w:val="subscript"/>
        </w:rPr>
        <w:t>2</w:t>
      </w:r>
      <w:r w:rsidRPr="00C15713">
        <w:rPr>
          <w:rFonts w:ascii="仿宋" w:eastAsia="仿宋" w:hAnsi="仿宋"/>
          <w:sz w:val="24"/>
          <w:szCs w:val="24"/>
        </w:rPr>
        <w:t>……W</w:t>
      </w:r>
      <w:r w:rsidRPr="00C15713">
        <w:rPr>
          <w:rFonts w:ascii="仿宋" w:eastAsia="仿宋" w:hAnsi="仿宋"/>
          <w:sz w:val="24"/>
          <w:szCs w:val="24"/>
          <w:vertAlign w:val="subscript"/>
        </w:rPr>
        <w:t>7</w:t>
      </w:r>
      <w:r w:rsidRPr="00C15713">
        <w:rPr>
          <w:rFonts w:ascii="仿宋" w:eastAsia="仿宋" w:hAnsi="仿宋"/>
          <w:sz w:val="24"/>
          <w:szCs w:val="24"/>
        </w:rPr>
        <w:t>为对应指标的权重系数，合计为100）。</w:t>
      </w:r>
    </w:p>
    <w:p w:rsidR="00235FBB" w:rsidRPr="00C15713" w:rsidRDefault="00235FBB" w:rsidP="00235FBB">
      <w:pPr>
        <w:ind w:firstLine="602"/>
        <w:rPr>
          <w:rFonts w:ascii="仿宋" w:eastAsia="仿宋" w:hAnsi="仿宋"/>
          <w:sz w:val="24"/>
          <w:szCs w:val="24"/>
        </w:rPr>
      </w:pPr>
      <w:r w:rsidRPr="00C15713">
        <w:rPr>
          <w:rFonts w:ascii="仿宋" w:eastAsia="仿宋" w:hAnsi="仿宋"/>
          <w:b/>
          <w:sz w:val="24"/>
          <w:szCs w:val="24"/>
        </w:rPr>
        <w:t xml:space="preserve">第十条  </w:t>
      </w:r>
      <w:r w:rsidRPr="00C15713">
        <w:rPr>
          <w:rFonts w:ascii="仿宋" w:eastAsia="仿宋" w:hAnsi="仿宋"/>
          <w:sz w:val="24"/>
          <w:szCs w:val="24"/>
        </w:rPr>
        <w:t>综合评价按下列程序进行：</w:t>
      </w:r>
    </w:p>
    <w:p w:rsidR="00235FBB" w:rsidRPr="00C15713" w:rsidRDefault="00235FBB" w:rsidP="00235FBB">
      <w:pPr>
        <w:ind w:firstLine="600"/>
        <w:rPr>
          <w:rFonts w:ascii="仿宋" w:eastAsia="仿宋" w:hAnsi="仿宋"/>
          <w:sz w:val="24"/>
          <w:szCs w:val="24"/>
        </w:rPr>
      </w:pPr>
      <w:r w:rsidRPr="00C15713">
        <w:rPr>
          <w:rFonts w:ascii="仿宋" w:eastAsia="仿宋" w:hAnsi="仿宋"/>
          <w:sz w:val="24"/>
          <w:szCs w:val="24"/>
        </w:rPr>
        <w:t>（一）评估机构于每年3月31日之前，将综合评价所需信息报地方协会。</w:t>
      </w:r>
    </w:p>
    <w:p w:rsidR="00235FBB" w:rsidRPr="00C15713" w:rsidRDefault="00235FBB" w:rsidP="00235FBB">
      <w:pPr>
        <w:ind w:firstLine="600"/>
        <w:rPr>
          <w:rFonts w:ascii="仿宋" w:eastAsia="仿宋" w:hAnsi="仿宋"/>
          <w:sz w:val="24"/>
          <w:szCs w:val="24"/>
        </w:rPr>
      </w:pPr>
      <w:r w:rsidRPr="00C15713">
        <w:rPr>
          <w:rFonts w:ascii="仿宋" w:eastAsia="仿宋" w:hAnsi="仿宋"/>
          <w:sz w:val="24"/>
          <w:szCs w:val="24"/>
        </w:rPr>
        <w:t>（二）地方协会于每年4月30日之前，将评估机构填报的信息经核实、汇总后报中评协。</w:t>
      </w:r>
    </w:p>
    <w:p w:rsidR="00235FBB" w:rsidRPr="00C15713" w:rsidRDefault="00235FBB" w:rsidP="00235FBB">
      <w:pPr>
        <w:tabs>
          <w:tab w:val="left" w:pos="3125"/>
        </w:tabs>
        <w:ind w:firstLine="600"/>
        <w:rPr>
          <w:rFonts w:ascii="仿宋" w:eastAsia="仿宋" w:hAnsi="仿宋"/>
          <w:sz w:val="24"/>
          <w:szCs w:val="24"/>
        </w:rPr>
      </w:pPr>
      <w:r w:rsidRPr="00C15713">
        <w:rPr>
          <w:rFonts w:ascii="仿宋" w:eastAsia="仿宋" w:hAnsi="仿宋"/>
          <w:sz w:val="24"/>
          <w:szCs w:val="24"/>
        </w:rPr>
        <w:t>（三）每年6月30日之前，</w:t>
      </w:r>
      <w:proofErr w:type="gramStart"/>
      <w:r w:rsidRPr="00C15713">
        <w:rPr>
          <w:rFonts w:ascii="仿宋" w:eastAsia="仿宋" w:hAnsi="仿宋"/>
          <w:sz w:val="24"/>
          <w:szCs w:val="24"/>
        </w:rPr>
        <w:t>中评协</w:t>
      </w:r>
      <w:proofErr w:type="gramEnd"/>
      <w:r w:rsidRPr="00C15713">
        <w:rPr>
          <w:rFonts w:ascii="仿宋" w:eastAsia="仿宋" w:hAnsi="仿宋"/>
          <w:sz w:val="24"/>
          <w:szCs w:val="24"/>
        </w:rPr>
        <w:t>将评估机构综合评价前百家名单和有关单项指标前百家名单在</w:t>
      </w:r>
      <w:proofErr w:type="gramStart"/>
      <w:r w:rsidRPr="00C15713">
        <w:rPr>
          <w:rFonts w:ascii="仿宋" w:eastAsia="仿宋" w:hAnsi="仿宋"/>
          <w:sz w:val="24"/>
          <w:szCs w:val="24"/>
        </w:rPr>
        <w:t>中评协</w:t>
      </w:r>
      <w:proofErr w:type="gramEnd"/>
      <w:r w:rsidRPr="00C15713">
        <w:rPr>
          <w:rFonts w:ascii="仿宋" w:eastAsia="仿宋" w:hAnsi="仿宋"/>
          <w:sz w:val="24"/>
          <w:szCs w:val="24"/>
        </w:rPr>
        <w:t>网站予以公示，公示期10天。在公示期内，参评评估机构及相关方面可以</w:t>
      </w:r>
      <w:proofErr w:type="gramStart"/>
      <w:r w:rsidRPr="00C15713">
        <w:rPr>
          <w:rFonts w:ascii="仿宋" w:eastAsia="仿宋" w:hAnsi="仿宋"/>
          <w:sz w:val="24"/>
          <w:szCs w:val="24"/>
        </w:rPr>
        <w:t>向中评协和地方协会</w:t>
      </w:r>
      <w:proofErr w:type="gramEnd"/>
      <w:r w:rsidRPr="00C15713">
        <w:rPr>
          <w:rFonts w:ascii="仿宋" w:eastAsia="仿宋" w:hAnsi="仿宋"/>
          <w:sz w:val="24"/>
          <w:szCs w:val="24"/>
        </w:rPr>
        <w:t>反映情况。</w:t>
      </w:r>
    </w:p>
    <w:p w:rsidR="00235FBB" w:rsidRPr="00C15713" w:rsidRDefault="00235FBB" w:rsidP="00235FBB">
      <w:pPr>
        <w:tabs>
          <w:tab w:val="left" w:pos="3125"/>
        </w:tabs>
        <w:ind w:firstLine="600"/>
        <w:rPr>
          <w:rFonts w:ascii="仿宋" w:eastAsia="仿宋" w:hAnsi="仿宋"/>
          <w:sz w:val="24"/>
          <w:szCs w:val="24"/>
        </w:rPr>
      </w:pPr>
      <w:r w:rsidRPr="00C15713">
        <w:rPr>
          <w:rFonts w:ascii="仿宋" w:eastAsia="仿宋" w:hAnsi="仿宋"/>
          <w:sz w:val="24"/>
          <w:szCs w:val="24"/>
        </w:rPr>
        <w:t>（四）公示期满且无异议，或对提出的异议进行核实并修正相关信息后，</w:t>
      </w:r>
      <w:proofErr w:type="gramStart"/>
      <w:r w:rsidRPr="00C15713">
        <w:rPr>
          <w:rFonts w:ascii="仿宋" w:eastAsia="仿宋" w:hAnsi="仿宋"/>
          <w:sz w:val="24"/>
          <w:szCs w:val="24"/>
        </w:rPr>
        <w:t>中评协</w:t>
      </w:r>
      <w:proofErr w:type="gramEnd"/>
      <w:r w:rsidRPr="00C15713">
        <w:rPr>
          <w:rFonts w:ascii="仿宋" w:eastAsia="仿宋" w:hAnsi="仿宋"/>
          <w:sz w:val="24"/>
          <w:szCs w:val="24"/>
        </w:rPr>
        <w:t>将在</w:t>
      </w:r>
      <w:proofErr w:type="gramStart"/>
      <w:r w:rsidRPr="00C15713">
        <w:rPr>
          <w:rFonts w:ascii="仿宋" w:eastAsia="仿宋" w:hAnsi="仿宋"/>
          <w:sz w:val="24"/>
          <w:szCs w:val="24"/>
        </w:rPr>
        <w:t>中评协</w:t>
      </w:r>
      <w:proofErr w:type="gramEnd"/>
      <w:r w:rsidRPr="00C15713">
        <w:rPr>
          <w:rFonts w:ascii="仿宋" w:eastAsia="仿宋" w:hAnsi="仿宋"/>
          <w:sz w:val="24"/>
          <w:szCs w:val="24"/>
        </w:rPr>
        <w:t>网站和有关媒体上正式公告评估机构综合评价前百家名单和评估机构年业务收入、关联业务收入等有关单项指标前百家名单。</w:t>
      </w:r>
    </w:p>
    <w:p w:rsidR="00235FBB" w:rsidRPr="00C15713" w:rsidRDefault="00235FBB" w:rsidP="00235FBB">
      <w:pPr>
        <w:ind w:firstLine="602"/>
        <w:rPr>
          <w:rFonts w:ascii="仿宋" w:eastAsia="仿宋" w:hAnsi="仿宋"/>
          <w:b/>
          <w:sz w:val="24"/>
          <w:szCs w:val="24"/>
        </w:rPr>
      </w:pPr>
      <w:r w:rsidRPr="00C15713">
        <w:rPr>
          <w:rFonts w:ascii="仿宋" w:eastAsia="仿宋" w:hAnsi="仿宋"/>
          <w:b/>
          <w:sz w:val="24"/>
          <w:szCs w:val="24"/>
        </w:rPr>
        <w:t xml:space="preserve">第十一条  </w:t>
      </w:r>
      <w:proofErr w:type="gramStart"/>
      <w:r w:rsidRPr="00C15713">
        <w:rPr>
          <w:rFonts w:ascii="仿宋" w:eastAsia="仿宋" w:hAnsi="仿宋"/>
          <w:sz w:val="24"/>
          <w:szCs w:val="24"/>
        </w:rPr>
        <w:t>中评协</w:t>
      </w:r>
      <w:proofErr w:type="gramEnd"/>
      <w:r w:rsidRPr="00C15713">
        <w:rPr>
          <w:rFonts w:ascii="仿宋" w:eastAsia="仿宋" w:hAnsi="仿宋"/>
          <w:sz w:val="24"/>
          <w:szCs w:val="24"/>
        </w:rPr>
        <w:t>对不按规定及时上报参评信息的评估机构，视情节轻重予以行业自律惩戒；对填报不实信息的评估机构，一经查实，取消当年参评资格，并计入诚信档案。</w:t>
      </w:r>
    </w:p>
    <w:p w:rsidR="00235FBB" w:rsidRPr="00C15713" w:rsidRDefault="00235FBB" w:rsidP="00235FBB">
      <w:pPr>
        <w:ind w:firstLine="602"/>
        <w:rPr>
          <w:rFonts w:ascii="仿宋" w:eastAsia="仿宋" w:hAnsi="仿宋"/>
          <w:sz w:val="24"/>
          <w:szCs w:val="24"/>
        </w:rPr>
      </w:pPr>
      <w:r w:rsidRPr="00C15713">
        <w:rPr>
          <w:rFonts w:ascii="仿宋" w:eastAsia="仿宋" w:hAnsi="仿宋"/>
          <w:b/>
          <w:sz w:val="24"/>
          <w:szCs w:val="24"/>
        </w:rPr>
        <w:t xml:space="preserve">第十二条  </w:t>
      </w:r>
      <w:r w:rsidRPr="00C15713">
        <w:rPr>
          <w:rFonts w:ascii="仿宋" w:eastAsia="仿宋" w:hAnsi="仿宋"/>
          <w:sz w:val="24"/>
          <w:szCs w:val="24"/>
        </w:rPr>
        <w:t>各地</w:t>
      </w:r>
      <w:proofErr w:type="gramStart"/>
      <w:r w:rsidRPr="00C15713">
        <w:rPr>
          <w:rFonts w:ascii="仿宋" w:eastAsia="仿宋" w:hAnsi="仿宋"/>
          <w:sz w:val="24"/>
          <w:szCs w:val="24"/>
        </w:rPr>
        <w:t>方协会</w:t>
      </w:r>
      <w:proofErr w:type="gramEnd"/>
      <w:r w:rsidRPr="00C15713">
        <w:rPr>
          <w:rFonts w:ascii="仿宋" w:eastAsia="仿宋" w:hAnsi="仿宋"/>
          <w:sz w:val="24"/>
          <w:szCs w:val="24"/>
        </w:rPr>
        <w:t>应对参评评估机构上报材料进行认真核实和汇总，做到客观公正。地方协会不能按时上报评估机构参评信息等情况，应向</w:t>
      </w:r>
      <w:proofErr w:type="gramStart"/>
      <w:r w:rsidRPr="00C15713">
        <w:rPr>
          <w:rFonts w:ascii="仿宋" w:eastAsia="仿宋" w:hAnsi="仿宋"/>
          <w:sz w:val="24"/>
          <w:szCs w:val="24"/>
        </w:rPr>
        <w:t>中评协</w:t>
      </w:r>
      <w:proofErr w:type="gramEnd"/>
      <w:r w:rsidRPr="00C15713">
        <w:rPr>
          <w:rFonts w:ascii="仿宋" w:eastAsia="仿宋" w:hAnsi="仿宋"/>
          <w:sz w:val="24"/>
          <w:szCs w:val="24"/>
        </w:rPr>
        <w:t>提交书面说明。</w:t>
      </w:r>
    </w:p>
    <w:p w:rsidR="00235FBB" w:rsidRPr="00C15713" w:rsidRDefault="00235FBB" w:rsidP="00235FBB">
      <w:pPr>
        <w:ind w:firstLine="602"/>
        <w:rPr>
          <w:rFonts w:ascii="仿宋" w:eastAsia="仿宋" w:hAnsi="仿宋"/>
          <w:sz w:val="24"/>
          <w:szCs w:val="24"/>
        </w:rPr>
      </w:pPr>
      <w:r w:rsidRPr="00C15713">
        <w:rPr>
          <w:rFonts w:ascii="仿宋" w:eastAsia="仿宋" w:hAnsi="仿宋"/>
          <w:b/>
          <w:sz w:val="24"/>
          <w:szCs w:val="24"/>
        </w:rPr>
        <w:lastRenderedPageBreak/>
        <w:t xml:space="preserve">第十三条  </w:t>
      </w:r>
      <w:proofErr w:type="gramStart"/>
      <w:r w:rsidRPr="00C15713">
        <w:rPr>
          <w:rFonts w:ascii="仿宋" w:eastAsia="仿宋" w:hAnsi="仿宋"/>
          <w:sz w:val="24"/>
          <w:szCs w:val="24"/>
        </w:rPr>
        <w:t>中评协</w:t>
      </w:r>
      <w:proofErr w:type="gramEnd"/>
      <w:r w:rsidRPr="00C15713">
        <w:rPr>
          <w:rFonts w:ascii="仿宋" w:eastAsia="仿宋" w:hAnsi="仿宋"/>
          <w:sz w:val="24"/>
          <w:szCs w:val="24"/>
        </w:rPr>
        <w:t>授权地方协会参照本办法评价体系，对本地区评估机构进行综合评价、排名，同时报</w:t>
      </w:r>
      <w:proofErr w:type="gramStart"/>
      <w:r w:rsidRPr="00C15713">
        <w:rPr>
          <w:rFonts w:ascii="仿宋" w:eastAsia="仿宋" w:hAnsi="仿宋"/>
          <w:sz w:val="24"/>
          <w:szCs w:val="24"/>
        </w:rPr>
        <w:t>中评协</w:t>
      </w:r>
      <w:proofErr w:type="gramEnd"/>
      <w:r w:rsidRPr="00C15713">
        <w:rPr>
          <w:rFonts w:ascii="仿宋" w:eastAsia="仿宋" w:hAnsi="仿宋"/>
          <w:sz w:val="24"/>
          <w:szCs w:val="24"/>
        </w:rPr>
        <w:t>备案。</w:t>
      </w:r>
    </w:p>
    <w:p w:rsidR="00235FBB" w:rsidRPr="00C15713" w:rsidRDefault="00235FBB" w:rsidP="00235FBB">
      <w:pPr>
        <w:ind w:left="567"/>
        <w:rPr>
          <w:rFonts w:ascii="仿宋" w:eastAsia="仿宋" w:hAnsi="仿宋"/>
          <w:sz w:val="24"/>
          <w:szCs w:val="24"/>
        </w:rPr>
      </w:pPr>
      <w:r w:rsidRPr="00C15713">
        <w:rPr>
          <w:rFonts w:ascii="仿宋" w:eastAsia="仿宋" w:hAnsi="仿宋"/>
          <w:b/>
          <w:sz w:val="24"/>
          <w:szCs w:val="24"/>
        </w:rPr>
        <w:t xml:space="preserve">第十四条  </w:t>
      </w:r>
      <w:r w:rsidRPr="00C15713">
        <w:rPr>
          <w:rFonts w:ascii="仿宋" w:eastAsia="仿宋" w:hAnsi="仿宋"/>
          <w:sz w:val="24"/>
          <w:szCs w:val="24"/>
        </w:rPr>
        <w:t>本办法自发布之日起施行。</w:t>
      </w:r>
    </w:p>
    <w:p w:rsidR="00235FBB" w:rsidRPr="00C15713" w:rsidRDefault="00235FBB" w:rsidP="00235FBB">
      <w:pPr>
        <w:rPr>
          <w:rFonts w:ascii="仿宋" w:eastAsia="仿宋" w:hAnsi="仿宋"/>
          <w:b/>
          <w:sz w:val="24"/>
          <w:szCs w:val="24"/>
        </w:rPr>
      </w:pPr>
      <w:r w:rsidRPr="00C15713">
        <w:rPr>
          <w:rFonts w:ascii="仿宋" w:eastAsia="仿宋" w:hAnsi="仿宋"/>
          <w:b/>
          <w:sz w:val="24"/>
          <w:szCs w:val="24"/>
        </w:rPr>
        <w:br w:type="page"/>
      </w:r>
      <w:r w:rsidRPr="00C15713">
        <w:rPr>
          <w:rFonts w:ascii="仿宋" w:eastAsia="仿宋" w:hAnsi="仿宋"/>
          <w:b/>
          <w:sz w:val="24"/>
          <w:szCs w:val="24"/>
        </w:rPr>
        <w:lastRenderedPageBreak/>
        <w:t>附表1</w:t>
      </w:r>
    </w:p>
    <w:p w:rsidR="00235FBB" w:rsidRPr="00C15713" w:rsidRDefault="00235FBB" w:rsidP="00235FBB">
      <w:pPr>
        <w:tabs>
          <w:tab w:val="left" w:pos="3731"/>
        </w:tabs>
        <w:jc w:val="center"/>
        <w:rPr>
          <w:rFonts w:ascii="仿宋" w:eastAsia="仿宋" w:hAnsi="仿宋" w:hint="eastAsia"/>
          <w:b/>
          <w:sz w:val="24"/>
          <w:szCs w:val="24"/>
        </w:rPr>
      </w:pPr>
      <w:r w:rsidRPr="00C15713">
        <w:rPr>
          <w:rFonts w:ascii="仿宋" w:eastAsia="仿宋" w:hAnsi="仿宋"/>
          <w:b/>
          <w:sz w:val="24"/>
          <w:szCs w:val="24"/>
        </w:rPr>
        <w:t>综合评价指标及权重系数表</w:t>
      </w:r>
    </w:p>
    <w:p w:rsidR="00235FBB" w:rsidRPr="00C15713" w:rsidRDefault="00235FBB" w:rsidP="00235FBB">
      <w:pPr>
        <w:tabs>
          <w:tab w:val="left" w:pos="3731"/>
        </w:tabs>
        <w:jc w:val="center"/>
        <w:rPr>
          <w:rFonts w:ascii="仿宋" w:eastAsia="仿宋" w:hAnsi="仿宋"/>
          <w:b/>
          <w:sz w:val="24"/>
          <w:szCs w:val="24"/>
        </w:rPr>
      </w:pPr>
    </w:p>
    <w:tbl>
      <w:tblPr>
        <w:tblpPr w:leftFromText="180" w:rightFromText="180" w:vertAnchor="text" w:tblpXSpec="center" w:tblpY="1"/>
        <w:tblOverlap w:val="neve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103"/>
        <w:gridCol w:w="2126"/>
      </w:tblGrid>
      <w:tr w:rsidR="00235FBB" w:rsidRPr="00C15713" w:rsidTr="006E23B8">
        <w:trPr>
          <w:trHeight w:val="285"/>
        </w:trPr>
        <w:tc>
          <w:tcPr>
            <w:tcW w:w="959" w:type="dxa"/>
            <w:shd w:val="clear" w:color="auto" w:fill="auto"/>
            <w:noWrap/>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序号</w:t>
            </w:r>
          </w:p>
        </w:tc>
        <w:tc>
          <w:tcPr>
            <w:tcW w:w="5103" w:type="dxa"/>
            <w:shd w:val="clear" w:color="auto" w:fill="auto"/>
            <w:noWrap/>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评价指标</w:t>
            </w:r>
          </w:p>
        </w:tc>
        <w:tc>
          <w:tcPr>
            <w:tcW w:w="2126" w:type="dxa"/>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权重系数范围</w:t>
            </w:r>
          </w:p>
        </w:tc>
      </w:tr>
      <w:tr w:rsidR="00235FBB" w:rsidRPr="00C15713" w:rsidTr="006E23B8">
        <w:trPr>
          <w:trHeight w:val="285"/>
        </w:trPr>
        <w:tc>
          <w:tcPr>
            <w:tcW w:w="959" w:type="dxa"/>
            <w:shd w:val="clear" w:color="auto" w:fill="auto"/>
            <w:noWrap/>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1</w:t>
            </w:r>
          </w:p>
        </w:tc>
        <w:tc>
          <w:tcPr>
            <w:tcW w:w="5103" w:type="dxa"/>
            <w:shd w:val="clear" w:color="auto" w:fill="auto"/>
            <w:vAlign w:val="center"/>
          </w:tcPr>
          <w:p w:rsidR="00235FBB" w:rsidRPr="00C15713" w:rsidRDefault="00235FBB" w:rsidP="006E23B8">
            <w:pPr>
              <w:widowControl/>
              <w:rPr>
                <w:rFonts w:ascii="仿宋" w:eastAsia="仿宋" w:hAnsi="仿宋"/>
                <w:kern w:val="0"/>
                <w:sz w:val="24"/>
                <w:szCs w:val="24"/>
              </w:rPr>
            </w:pPr>
            <w:r w:rsidRPr="00C15713">
              <w:rPr>
                <w:rFonts w:ascii="仿宋" w:eastAsia="仿宋" w:hAnsi="仿宋"/>
                <w:kern w:val="0"/>
                <w:sz w:val="24"/>
                <w:szCs w:val="24"/>
              </w:rPr>
              <w:t>年业务收入指标</w:t>
            </w:r>
          </w:p>
        </w:tc>
        <w:tc>
          <w:tcPr>
            <w:tcW w:w="2126" w:type="dxa"/>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25-40</w:t>
            </w:r>
          </w:p>
        </w:tc>
      </w:tr>
      <w:tr w:rsidR="00235FBB" w:rsidRPr="00C15713" w:rsidTr="006E23B8">
        <w:trPr>
          <w:trHeight w:val="285"/>
        </w:trPr>
        <w:tc>
          <w:tcPr>
            <w:tcW w:w="959" w:type="dxa"/>
            <w:shd w:val="clear" w:color="auto" w:fill="auto"/>
            <w:noWrap/>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2</w:t>
            </w:r>
          </w:p>
        </w:tc>
        <w:tc>
          <w:tcPr>
            <w:tcW w:w="5103" w:type="dxa"/>
            <w:shd w:val="clear" w:color="auto" w:fill="auto"/>
            <w:vAlign w:val="center"/>
          </w:tcPr>
          <w:p w:rsidR="00235FBB" w:rsidRPr="00C15713" w:rsidRDefault="00235FBB" w:rsidP="006E23B8">
            <w:pPr>
              <w:widowControl/>
              <w:rPr>
                <w:rFonts w:ascii="仿宋" w:eastAsia="仿宋" w:hAnsi="仿宋"/>
                <w:kern w:val="0"/>
                <w:sz w:val="24"/>
                <w:szCs w:val="24"/>
              </w:rPr>
            </w:pPr>
            <w:r w:rsidRPr="00C15713">
              <w:rPr>
                <w:rFonts w:ascii="仿宋" w:eastAsia="仿宋" w:hAnsi="仿宋"/>
                <w:kern w:val="0"/>
                <w:sz w:val="24"/>
                <w:szCs w:val="24"/>
              </w:rPr>
              <w:t>注册资产评估师数量指标</w:t>
            </w:r>
          </w:p>
        </w:tc>
        <w:tc>
          <w:tcPr>
            <w:tcW w:w="2126" w:type="dxa"/>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10-25</w:t>
            </w:r>
          </w:p>
        </w:tc>
      </w:tr>
      <w:tr w:rsidR="00235FBB" w:rsidRPr="00C15713" w:rsidTr="006E23B8">
        <w:trPr>
          <w:trHeight w:val="285"/>
        </w:trPr>
        <w:tc>
          <w:tcPr>
            <w:tcW w:w="959" w:type="dxa"/>
            <w:shd w:val="clear" w:color="auto" w:fill="auto"/>
            <w:noWrap/>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3</w:t>
            </w:r>
          </w:p>
        </w:tc>
        <w:tc>
          <w:tcPr>
            <w:tcW w:w="5103" w:type="dxa"/>
            <w:shd w:val="clear" w:color="auto" w:fill="auto"/>
            <w:vAlign w:val="center"/>
          </w:tcPr>
          <w:p w:rsidR="00235FBB" w:rsidRPr="00C15713" w:rsidRDefault="00235FBB" w:rsidP="006E23B8">
            <w:pPr>
              <w:widowControl/>
              <w:rPr>
                <w:rFonts w:ascii="仿宋" w:eastAsia="仿宋" w:hAnsi="仿宋"/>
                <w:kern w:val="0"/>
                <w:sz w:val="24"/>
                <w:szCs w:val="24"/>
              </w:rPr>
            </w:pPr>
            <w:r w:rsidRPr="00C15713">
              <w:rPr>
                <w:rFonts w:ascii="仿宋" w:eastAsia="仿宋" w:hAnsi="仿宋"/>
                <w:kern w:val="0"/>
                <w:sz w:val="24"/>
                <w:szCs w:val="24"/>
              </w:rPr>
              <w:t>注册资产</w:t>
            </w:r>
            <w:proofErr w:type="gramStart"/>
            <w:r w:rsidRPr="00C15713">
              <w:rPr>
                <w:rFonts w:ascii="仿宋" w:eastAsia="仿宋" w:hAnsi="仿宋"/>
                <w:kern w:val="0"/>
                <w:sz w:val="24"/>
                <w:szCs w:val="24"/>
              </w:rPr>
              <w:t>评估师年人均收入</w:t>
            </w:r>
            <w:proofErr w:type="gramEnd"/>
            <w:r w:rsidRPr="00C15713">
              <w:rPr>
                <w:rFonts w:ascii="仿宋" w:eastAsia="仿宋" w:hAnsi="仿宋"/>
                <w:kern w:val="0"/>
                <w:sz w:val="24"/>
                <w:szCs w:val="24"/>
              </w:rPr>
              <w:t>指标</w:t>
            </w:r>
          </w:p>
        </w:tc>
        <w:tc>
          <w:tcPr>
            <w:tcW w:w="2126" w:type="dxa"/>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5-15</w:t>
            </w:r>
          </w:p>
        </w:tc>
      </w:tr>
      <w:tr w:rsidR="00235FBB" w:rsidRPr="00C15713" w:rsidTr="006E23B8">
        <w:trPr>
          <w:trHeight w:val="285"/>
        </w:trPr>
        <w:tc>
          <w:tcPr>
            <w:tcW w:w="959" w:type="dxa"/>
            <w:shd w:val="clear" w:color="auto" w:fill="auto"/>
            <w:noWrap/>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4</w:t>
            </w:r>
          </w:p>
        </w:tc>
        <w:tc>
          <w:tcPr>
            <w:tcW w:w="5103" w:type="dxa"/>
            <w:shd w:val="clear" w:color="auto" w:fill="auto"/>
            <w:vAlign w:val="center"/>
          </w:tcPr>
          <w:p w:rsidR="00235FBB" w:rsidRPr="00C15713" w:rsidRDefault="00235FBB" w:rsidP="006E23B8">
            <w:pPr>
              <w:widowControl/>
              <w:rPr>
                <w:rFonts w:ascii="仿宋" w:eastAsia="仿宋" w:hAnsi="仿宋"/>
                <w:kern w:val="0"/>
                <w:sz w:val="24"/>
                <w:szCs w:val="24"/>
              </w:rPr>
            </w:pPr>
            <w:r w:rsidRPr="00C15713">
              <w:rPr>
                <w:rFonts w:ascii="仿宋" w:eastAsia="仿宋" w:hAnsi="仿宋"/>
                <w:kern w:val="0"/>
                <w:sz w:val="24"/>
                <w:szCs w:val="24"/>
              </w:rPr>
              <w:t>注册资产评估</w:t>
            </w:r>
            <w:proofErr w:type="gramStart"/>
            <w:r w:rsidRPr="00C15713">
              <w:rPr>
                <w:rFonts w:ascii="仿宋" w:eastAsia="仿宋" w:hAnsi="仿宋"/>
                <w:kern w:val="0"/>
                <w:sz w:val="24"/>
                <w:szCs w:val="24"/>
              </w:rPr>
              <w:t>师平均</w:t>
            </w:r>
            <w:proofErr w:type="gramEnd"/>
            <w:r w:rsidRPr="00C15713">
              <w:rPr>
                <w:rFonts w:ascii="仿宋" w:eastAsia="仿宋" w:hAnsi="仿宋"/>
                <w:kern w:val="0"/>
                <w:sz w:val="24"/>
                <w:szCs w:val="24"/>
              </w:rPr>
              <w:t>执业年限指标</w:t>
            </w:r>
          </w:p>
        </w:tc>
        <w:tc>
          <w:tcPr>
            <w:tcW w:w="2126" w:type="dxa"/>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2-5</w:t>
            </w:r>
          </w:p>
        </w:tc>
      </w:tr>
      <w:tr w:rsidR="00235FBB" w:rsidRPr="00C15713" w:rsidTr="006E23B8">
        <w:trPr>
          <w:trHeight w:val="285"/>
        </w:trPr>
        <w:tc>
          <w:tcPr>
            <w:tcW w:w="959" w:type="dxa"/>
            <w:shd w:val="clear" w:color="auto" w:fill="auto"/>
            <w:noWrap/>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5</w:t>
            </w:r>
          </w:p>
        </w:tc>
        <w:tc>
          <w:tcPr>
            <w:tcW w:w="5103" w:type="dxa"/>
            <w:shd w:val="clear" w:color="auto" w:fill="auto"/>
            <w:vAlign w:val="center"/>
          </w:tcPr>
          <w:p w:rsidR="00235FBB" w:rsidRPr="00C15713" w:rsidRDefault="00235FBB" w:rsidP="006E23B8">
            <w:pPr>
              <w:widowControl/>
              <w:rPr>
                <w:rFonts w:ascii="仿宋" w:eastAsia="仿宋" w:hAnsi="仿宋"/>
                <w:kern w:val="0"/>
                <w:sz w:val="24"/>
                <w:szCs w:val="24"/>
              </w:rPr>
            </w:pPr>
            <w:r w:rsidRPr="00C15713">
              <w:rPr>
                <w:rFonts w:ascii="仿宋" w:eastAsia="仿宋" w:hAnsi="仿宋"/>
                <w:kern w:val="0"/>
                <w:sz w:val="24"/>
                <w:szCs w:val="24"/>
              </w:rPr>
              <w:t>人才培养指标</w:t>
            </w:r>
          </w:p>
        </w:tc>
        <w:tc>
          <w:tcPr>
            <w:tcW w:w="2126" w:type="dxa"/>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2-5</w:t>
            </w:r>
          </w:p>
        </w:tc>
      </w:tr>
      <w:tr w:rsidR="00235FBB" w:rsidRPr="00C15713" w:rsidTr="006E23B8">
        <w:trPr>
          <w:trHeight w:val="285"/>
        </w:trPr>
        <w:tc>
          <w:tcPr>
            <w:tcW w:w="959" w:type="dxa"/>
            <w:shd w:val="clear" w:color="auto" w:fill="auto"/>
            <w:noWrap/>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6</w:t>
            </w:r>
          </w:p>
        </w:tc>
        <w:tc>
          <w:tcPr>
            <w:tcW w:w="5103" w:type="dxa"/>
            <w:shd w:val="clear" w:color="auto" w:fill="auto"/>
            <w:vAlign w:val="center"/>
          </w:tcPr>
          <w:p w:rsidR="00235FBB" w:rsidRPr="00C15713" w:rsidRDefault="00235FBB" w:rsidP="006E23B8">
            <w:pPr>
              <w:widowControl/>
              <w:rPr>
                <w:rFonts w:ascii="仿宋" w:eastAsia="仿宋" w:hAnsi="仿宋"/>
                <w:kern w:val="0"/>
                <w:sz w:val="24"/>
                <w:szCs w:val="24"/>
              </w:rPr>
            </w:pPr>
            <w:r w:rsidRPr="00C15713">
              <w:rPr>
                <w:rFonts w:ascii="仿宋" w:eastAsia="仿宋" w:hAnsi="仿宋"/>
                <w:kern w:val="0"/>
                <w:sz w:val="24"/>
                <w:szCs w:val="24"/>
              </w:rPr>
              <w:t>执业质量指标</w:t>
            </w:r>
          </w:p>
        </w:tc>
        <w:tc>
          <w:tcPr>
            <w:tcW w:w="2126" w:type="dxa"/>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25-40</w:t>
            </w:r>
          </w:p>
        </w:tc>
      </w:tr>
      <w:tr w:rsidR="00235FBB" w:rsidRPr="00C15713" w:rsidTr="006E23B8">
        <w:trPr>
          <w:trHeight w:val="285"/>
        </w:trPr>
        <w:tc>
          <w:tcPr>
            <w:tcW w:w="959" w:type="dxa"/>
            <w:shd w:val="clear" w:color="auto" w:fill="auto"/>
            <w:noWrap/>
            <w:vAlign w:val="center"/>
          </w:tcPr>
          <w:p w:rsidR="00235FBB" w:rsidRPr="00C15713" w:rsidRDefault="00235FBB" w:rsidP="006E23B8">
            <w:pPr>
              <w:widowControl/>
              <w:jc w:val="center"/>
              <w:rPr>
                <w:rFonts w:ascii="仿宋" w:eastAsia="仿宋" w:hAnsi="仿宋"/>
                <w:kern w:val="0"/>
                <w:sz w:val="24"/>
                <w:szCs w:val="24"/>
              </w:rPr>
            </w:pPr>
            <w:r w:rsidRPr="00C15713">
              <w:rPr>
                <w:rFonts w:ascii="仿宋" w:eastAsia="仿宋" w:hAnsi="仿宋"/>
                <w:kern w:val="0"/>
                <w:sz w:val="24"/>
                <w:szCs w:val="24"/>
              </w:rPr>
              <w:t>7</w:t>
            </w:r>
          </w:p>
        </w:tc>
        <w:tc>
          <w:tcPr>
            <w:tcW w:w="5103" w:type="dxa"/>
            <w:shd w:val="clear" w:color="auto" w:fill="auto"/>
            <w:vAlign w:val="center"/>
          </w:tcPr>
          <w:p w:rsidR="00235FBB" w:rsidRPr="00C15713" w:rsidRDefault="00235FBB" w:rsidP="006E23B8">
            <w:pPr>
              <w:widowControl/>
              <w:rPr>
                <w:rFonts w:ascii="仿宋" w:eastAsia="仿宋" w:hAnsi="仿宋"/>
                <w:kern w:val="0"/>
                <w:sz w:val="24"/>
                <w:szCs w:val="24"/>
              </w:rPr>
            </w:pPr>
            <w:r w:rsidRPr="00C15713">
              <w:rPr>
                <w:rFonts w:ascii="仿宋" w:eastAsia="仿宋" w:hAnsi="仿宋"/>
                <w:kern w:val="0"/>
                <w:sz w:val="24"/>
                <w:szCs w:val="24"/>
              </w:rPr>
              <w:t>行业贡献指标</w:t>
            </w:r>
          </w:p>
        </w:tc>
        <w:tc>
          <w:tcPr>
            <w:tcW w:w="2126" w:type="dxa"/>
            <w:vAlign w:val="center"/>
          </w:tcPr>
          <w:p w:rsidR="00235FBB" w:rsidRPr="00C15713" w:rsidRDefault="00235FBB" w:rsidP="006E23B8">
            <w:pPr>
              <w:widowControl/>
              <w:ind w:right="120"/>
              <w:jc w:val="center"/>
              <w:rPr>
                <w:rFonts w:ascii="仿宋" w:eastAsia="仿宋" w:hAnsi="仿宋"/>
                <w:kern w:val="0"/>
                <w:sz w:val="24"/>
                <w:szCs w:val="24"/>
              </w:rPr>
            </w:pPr>
            <w:r w:rsidRPr="00C15713">
              <w:rPr>
                <w:rFonts w:ascii="仿宋" w:eastAsia="仿宋" w:hAnsi="仿宋"/>
                <w:kern w:val="0"/>
                <w:sz w:val="24"/>
                <w:szCs w:val="24"/>
              </w:rPr>
              <w:t xml:space="preserve"> 5-15</w:t>
            </w:r>
          </w:p>
        </w:tc>
      </w:tr>
    </w:tbl>
    <w:p w:rsidR="00235FBB" w:rsidRPr="00C15713" w:rsidRDefault="00235FBB" w:rsidP="00235FBB">
      <w:pPr>
        <w:rPr>
          <w:rFonts w:ascii="仿宋" w:eastAsia="仿宋" w:hAnsi="仿宋"/>
          <w:sz w:val="24"/>
          <w:szCs w:val="24"/>
        </w:rPr>
      </w:pPr>
      <w:r w:rsidRPr="00C15713">
        <w:rPr>
          <w:rFonts w:ascii="仿宋" w:eastAsia="仿宋" w:hAnsi="仿宋"/>
          <w:sz w:val="24"/>
          <w:szCs w:val="24"/>
        </w:rPr>
        <w:br w:type="page"/>
      </w:r>
      <w:r w:rsidRPr="00C15713">
        <w:rPr>
          <w:rFonts w:ascii="仿宋" w:eastAsia="仿宋" w:hAnsi="仿宋"/>
          <w:b/>
          <w:sz w:val="24"/>
          <w:szCs w:val="24"/>
        </w:rPr>
        <w:lastRenderedPageBreak/>
        <w:t>附表</w:t>
      </w:r>
      <w:r w:rsidRPr="00C15713">
        <w:rPr>
          <w:rFonts w:ascii="仿宋" w:eastAsia="仿宋" w:hAnsi="仿宋" w:hint="eastAsia"/>
          <w:b/>
          <w:sz w:val="24"/>
          <w:szCs w:val="24"/>
        </w:rPr>
        <w:t>2</w:t>
      </w:r>
    </w:p>
    <w:p w:rsidR="00235FBB" w:rsidRPr="00C15713" w:rsidRDefault="00235FBB" w:rsidP="00235FBB">
      <w:pPr>
        <w:tabs>
          <w:tab w:val="left" w:pos="3731"/>
        </w:tabs>
        <w:jc w:val="center"/>
        <w:rPr>
          <w:rFonts w:ascii="仿宋" w:eastAsia="仿宋" w:hAnsi="仿宋" w:hint="eastAsia"/>
          <w:b/>
          <w:sz w:val="24"/>
          <w:szCs w:val="24"/>
        </w:rPr>
      </w:pPr>
      <w:r w:rsidRPr="00C15713">
        <w:rPr>
          <w:rFonts w:ascii="仿宋" w:eastAsia="仿宋" w:hAnsi="仿宋"/>
          <w:b/>
          <w:sz w:val="24"/>
          <w:szCs w:val="24"/>
        </w:rPr>
        <w:t>执业质量减分标准</w:t>
      </w:r>
    </w:p>
    <w:p w:rsidR="00235FBB" w:rsidRPr="00C15713" w:rsidRDefault="00235FBB" w:rsidP="00235FBB">
      <w:pPr>
        <w:tabs>
          <w:tab w:val="left" w:pos="3731"/>
        </w:tabs>
        <w:jc w:val="center"/>
        <w:rPr>
          <w:rFonts w:ascii="仿宋" w:eastAsia="仿宋" w:hAnsi="仿宋"/>
          <w:b/>
          <w:sz w:val="24"/>
          <w:szCs w:val="24"/>
        </w:rPr>
      </w:pP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576"/>
        <w:gridCol w:w="1134"/>
        <w:gridCol w:w="1134"/>
        <w:gridCol w:w="1134"/>
        <w:gridCol w:w="1134"/>
        <w:gridCol w:w="937"/>
      </w:tblGrid>
      <w:tr w:rsidR="00235FBB" w:rsidRPr="00C15713" w:rsidTr="006E23B8">
        <w:trPr>
          <w:jc w:val="center"/>
        </w:trPr>
        <w:tc>
          <w:tcPr>
            <w:tcW w:w="857" w:type="dxa"/>
            <w:vMerge w:val="restart"/>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类</w:t>
            </w:r>
          </w:p>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别</w:t>
            </w:r>
          </w:p>
        </w:tc>
        <w:tc>
          <w:tcPr>
            <w:tcW w:w="2576" w:type="dxa"/>
            <w:vMerge w:val="restart"/>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项目</w:t>
            </w:r>
          </w:p>
        </w:tc>
        <w:tc>
          <w:tcPr>
            <w:tcW w:w="5473" w:type="dxa"/>
            <w:gridSpan w:val="5"/>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受处罚或惩戒的年度及对应减分值</w:t>
            </w:r>
          </w:p>
        </w:tc>
      </w:tr>
      <w:tr w:rsidR="00235FBB" w:rsidRPr="00C15713" w:rsidTr="006E23B8">
        <w:trPr>
          <w:jc w:val="center"/>
        </w:trPr>
        <w:tc>
          <w:tcPr>
            <w:tcW w:w="857" w:type="dxa"/>
            <w:vMerge/>
            <w:vAlign w:val="center"/>
          </w:tcPr>
          <w:p w:rsidR="00235FBB" w:rsidRPr="00C15713" w:rsidDel="004B617C" w:rsidRDefault="00235FBB" w:rsidP="006E23B8">
            <w:pPr>
              <w:jc w:val="center"/>
              <w:rPr>
                <w:rFonts w:ascii="仿宋" w:eastAsia="仿宋" w:hAnsi="仿宋"/>
                <w:sz w:val="24"/>
                <w:szCs w:val="24"/>
              </w:rPr>
            </w:pPr>
          </w:p>
        </w:tc>
        <w:tc>
          <w:tcPr>
            <w:tcW w:w="2576" w:type="dxa"/>
            <w:vMerge/>
            <w:vAlign w:val="center"/>
          </w:tcPr>
          <w:p w:rsidR="00235FBB" w:rsidRPr="00C15713" w:rsidRDefault="00235FBB" w:rsidP="006E23B8">
            <w:pPr>
              <w:jc w:val="center"/>
              <w:rPr>
                <w:rFonts w:ascii="仿宋" w:eastAsia="仿宋" w:hAnsi="仿宋"/>
                <w:sz w:val="24"/>
                <w:szCs w:val="24"/>
              </w:rPr>
            </w:pPr>
          </w:p>
        </w:tc>
        <w:tc>
          <w:tcPr>
            <w:tcW w:w="1134" w:type="dxa"/>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前4年</w:t>
            </w:r>
          </w:p>
        </w:tc>
        <w:tc>
          <w:tcPr>
            <w:tcW w:w="1134" w:type="dxa"/>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前3年</w:t>
            </w:r>
          </w:p>
        </w:tc>
        <w:tc>
          <w:tcPr>
            <w:tcW w:w="1134" w:type="dxa"/>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前2年</w:t>
            </w:r>
          </w:p>
        </w:tc>
        <w:tc>
          <w:tcPr>
            <w:tcW w:w="1134" w:type="dxa"/>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前1年</w:t>
            </w:r>
          </w:p>
        </w:tc>
        <w:tc>
          <w:tcPr>
            <w:tcW w:w="937" w:type="dxa"/>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评价年度</w:t>
            </w:r>
          </w:p>
        </w:tc>
      </w:tr>
      <w:tr w:rsidR="00235FBB" w:rsidRPr="00C15713" w:rsidTr="006E23B8">
        <w:trPr>
          <w:jc w:val="center"/>
        </w:trPr>
        <w:tc>
          <w:tcPr>
            <w:tcW w:w="857" w:type="dxa"/>
            <w:vMerge w:val="restart"/>
            <w:textDirection w:val="tbRlV"/>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行政处罚</w:t>
            </w:r>
          </w:p>
        </w:tc>
        <w:tc>
          <w:tcPr>
            <w:tcW w:w="2576" w:type="dxa"/>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警告</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3</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6</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10</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13</w:t>
            </w:r>
          </w:p>
        </w:tc>
        <w:tc>
          <w:tcPr>
            <w:tcW w:w="937"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16</w:t>
            </w:r>
          </w:p>
        </w:tc>
      </w:tr>
      <w:tr w:rsidR="00235FBB" w:rsidRPr="00C15713" w:rsidTr="006E23B8">
        <w:trPr>
          <w:jc w:val="center"/>
        </w:trPr>
        <w:tc>
          <w:tcPr>
            <w:tcW w:w="857" w:type="dxa"/>
            <w:vMerge/>
            <w:vAlign w:val="center"/>
          </w:tcPr>
          <w:p w:rsidR="00235FBB" w:rsidRPr="00C15713" w:rsidRDefault="00235FBB" w:rsidP="006E23B8">
            <w:pPr>
              <w:ind w:firstLine="480"/>
              <w:jc w:val="center"/>
              <w:rPr>
                <w:rFonts w:ascii="仿宋" w:eastAsia="仿宋" w:hAnsi="仿宋"/>
                <w:sz w:val="24"/>
                <w:szCs w:val="24"/>
              </w:rPr>
            </w:pPr>
          </w:p>
        </w:tc>
        <w:tc>
          <w:tcPr>
            <w:tcW w:w="2576" w:type="dxa"/>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罚款</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4</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8</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12</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16</w:t>
            </w:r>
          </w:p>
        </w:tc>
        <w:tc>
          <w:tcPr>
            <w:tcW w:w="937"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20</w:t>
            </w:r>
          </w:p>
        </w:tc>
      </w:tr>
      <w:tr w:rsidR="00235FBB" w:rsidRPr="00C15713" w:rsidTr="006E23B8">
        <w:trPr>
          <w:jc w:val="center"/>
        </w:trPr>
        <w:tc>
          <w:tcPr>
            <w:tcW w:w="857" w:type="dxa"/>
            <w:vMerge/>
            <w:vAlign w:val="center"/>
          </w:tcPr>
          <w:p w:rsidR="00235FBB" w:rsidRPr="00C15713" w:rsidRDefault="00235FBB" w:rsidP="006E23B8">
            <w:pPr>
              <w:ind w:firstLine="480"/>
              <w:jc w:val="center"/>
              <w:rPr>
                <w:rFonts w:ascii="仿宋" w:eastAsia="仿宋" w:hAnsi="仿宋"/>
                <w:sz w:val="24"/>
                <w:szCs w:val="24"/>
              </w:rPr>
            </w:pPr>
          </w:p>
        </w:tc>
        <w:tc>
          <w:tcPr>
            <w:tcW w:w="2576" w:type="dxa"/>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没收非法所得</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6</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12</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18</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24</w:t>
            </w:r>
          </w:p>
        </w:tc>
        <w:tc>
          <w:tcPr>
            <w:tcW w:w="937"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30</w:t>
            </w:r>
          </w:p>
        </w:tc>
      </w:tr>
      <w:tr w:rsidR="00235FBB" w:rsidRPr="00C15713" w:rsidTr="006E23B8">
        <w:trPr>
          <w:jc w:val="center"/>
        </w:trPr>
        <w:tc>
          <w:tcPr>
            <w:tcW w:w="857" w:type="dxa"/>
            <w:vMerge/>
            <w:vAlign w:val="center"/>
          </w:tcPr>
          <w:p w:rsidR="00235FBB" w:rsidRPr="00C15713" w:rsidRDefault="00235FBB" w:rsidP="006E23B8">
            <w:pPr>
              <w:ind w:firstLine="480"/>
              <w:jc w:val="center"/>
              <w:rPr>
                <w:rFonts w:ascii="仿宋" w:eastAsia="仿宋" w:hAnsi="仿宋"/>
                <w:sz w:val="24"/>
                <w:szCs w:val="24"/>
              </w:rPr>
            </w:pPr>
          </w:p>
        </w:tc>
        <w:tc>
          <w:tcPr>
            <w:tcW w:w="2576" w:type="dxa"/>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暂停执业</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8</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16</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24</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32</w:t>
            </w:r>
          </w:p>
        </w:tc>
        <w:tc>
          <w:tcPr>
            <w:tcW w:w="937"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40</w:t>
            </w:r>
          </w:p>
        </w:tc>
      </w:tr>
      <w:tr w:rsidR="00235FBB" w:rsidRPr="00C15713" w:rsidTr="006E23B8">
        <w:trPr>
          <w:trHeight w:val="267"/>
          <w:jc w:val="center"/>
        </w:trPr>
        <w:tc>
          <w:tcPr>
            <w:tcW w:w="857" w:type="dxa"/>
            <w:vMerge w:val="restart"/>
            <w:textDirection w:val="tbRlV"/>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自律惩戒</w:t>
            </w:r>
          </w:p>
        </w:tc>
        <w:tc>
          <w:tcPr>
            <w:tcW w:w="2576" w:type="dxa"/>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警告</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2</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3</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5</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6</w:t>
            </w:r>
          </w:p>
        </w:tc>
        <w:tc>
          <w:tcPr>
            <w:tcW w:w="937"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8</w:t>
            </w:r>
          </w:p>
        </w:tc>
      </w:tr>
      <w:tr w:rsidR="00235FBB" w:rsidRPr="00C15713" w:rsidTr="006E23B8">
        <w:trPr>
          <w:jc w:val="center"/>
        </w:trPr>
        <w:tc>
          <w:tcPr>
            <w:tcW w:w="857" w:type="dxa"/>
            <w:vMerge/>
            <w:textDirection w:val="tbRlV"/>
            <w:vAlign w:val="center"/>
          </w:tcPr>
          <w:p w:rsidR="00235FBB" w:rsidRPr="00C15713" w:rsidRDefault="00235FBB" w:rsidP="006E23B8">
            <w:pPr>
              <w:ind w:firstLine="480"/>
              <w:jc w:val="center"/>
              <w:rPr>
                <w:rFonts w:ascii="仿宋" w:eastAsia="仿宋" w:hAnsi="仿宋"/>
                <w:sz w:val="24"/>
                <w:szCs w:val="24"/>
              </w:rPr>
            </w:pPr>
          </w:p>
        </w:tc>
        <w:tc>
          <w:tcPr>
            <w:tcW w:w="2576" w:type="dxa"/>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限期整改</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2</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5</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7</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10</w:t>
            </w:r>
          </w:p>
        </w:tc>
        <w:tc>
          <w:tcPr>
            <w:tcW w:w="937"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12</w:t>
            </w:r>
          </w:p>
        </w:tc>
      </w:tr>
      <w:tr w:rsidR="00235FBB" w:rsidRPr="00C15713" w:rsidTr="006E23B8">
        <w:trPr>
          <w:jc w:val="center"/>
        </w:trPr>
        <w:tc>
          <w:tcPr>
            <w:tcW w:w="857" w:type="dxa"/>
            <w:vMerge/>
            <w:vAlign w:val="center"/>
          </w:tcPr>
          <w:p w:rsidR="00235FBB" w:rsidRPr="00C15713" w:rsidRDefault="00235FBB" w:rsidP="006E23B8">
            <w:pPr>
              <w:ind w:firstLine="480"/>
              <w:jc w:val="center"/>
              <w:rPr>
                <w:rFonts w:ascii="仿宋" w:eastAsia="仿宋" w:hAnsi="仿宋"/>
                <w:sz w:val="24"/>
                <w:szCs w:val="24"/>
              </w:rPr>
            </w:pPr>
          </w:p>
        </w:tc>
        <w:tc>
          <w:tcPr>
            <w:tcW w:w="2576" w:type="dxa"/>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行业内通报批评</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4</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8</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12</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16</w:t>
            </w:r>
          </w:p>
        </w:tc>
        <w:tc>
          <w:tcPr>
            <w:tcW w:w="937"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20</w:t>
            </w:r>
          </w:p>
        </w:tc>
      </w:tr>
      <w:tr w:rsidR="00235FBB" w:rsidRPr="00C15713" w:rsidTr="006E23B8">
        <w:trPr>
          <w:trHeight w:val="360"/>
          <w:jc w:val="center"/>
        </w:trPr>
        <w:tc>
          <w:tcPr>
            <w:tcW w:w="857" w:type="dxa"/>
            <w:vMerge/>
            <w:vAlign w:val="center"/>
          </w:tcPr>
          <w:p w:rsidR="00235FBB" w:rsidRPr="00C15713" w:rsidRDefault="00235FBB" w:rsidP="006E23B8">
            <w:pPr>
              <w:ind w:firstLine="480"/>
              <w:jc w:val="center"/>
              <w:rPr>
                <w:rFonts w:ascii="仿宋" w:eastAsia="仿宋" w:hAnsi="仿宋"/>
                <w:sz w:val="24"/>
                <w:szCs w:val="24"/>
              </w:rPr>
            </w:pPr>
          </w:p>
        </w:tc>
        <w:tc>
          <w:tcPr>
            <w:tcW w:w="2576" w:type="dxa"/>
            <w:vAlign w:val="center"/>
          </w:tcPr>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公开谴责</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6</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12</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18</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24</w:t>
            </w:r>
          </w:p>
        </w:tc>
        <w:tc>
          <w:tcPr>
            <w:tcW w:w="937"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30</w:t>
            </w:r>
          </w:p>
        </w:tc>
      </w:tr>
      <w:tr w:rsidR="00235FBB" w:rsidRPr="00C15713" w:rsidTr="006E23B8">
        <w:trPr>
          <w:trHeight w:val="360"/>
          <w:jc w:val="center"/>
        </w:trPr>
        <w:tc>
          <w:tcPr>
            <w:tcW w:w="857" w:type="dxa"/>
            <w:vMerge/>
            <w:vAlign w:val="center"/>
          </w:tcPr>
          <w:p w:rsidR="00235FBB" w:rsidRPr="00C15713" w:rsidRDefault="00235FBB" w:rsidP="006E23B8">
            <w:pPr>
              <w:ind w:firstLine="480"/>
              <w:jc w:val="center"/>
              <w:rPr>
                <w:rFonts w:ascii="仿宋" w:eastAsia="仿宋" w:hAnsi="仿宋"/>
                <w:sz w:val="24"/>
                <w:szCs w:val="24"/>
              </w:rPr>
            </w:pPr>
          </w:p>
        </w:tc>
        <w:tc>
          <w:tcPr>
            <w:tcW w:w="2576" w:type="dxa"/>
            <w:vAlign w:val="center"/>
          </w:tcPr>
          <w:p w:rsidR="00235FBB" w:rsidRPr="00C15713" w:rsidRDefault="00235FBB" w:rsidP="006E23B8">
            <w:pPr>
              <w:jc w:val="center"/>
              <w:rPr>
                <w:rFonts w:ascii="仿宋" w:eastAsia="仿宋" w:hAnsi="仿宋" w:hint="eastAsia"/>
                <w:sz w:val="24"/>
                <w:szCs w:val="24"/>
              </w:rPr>
            </w:pPr>
            <w:r w:rsidRPr="00C15713">
              <w:rPr>
                <w:rFonts w:ascii="仿宋" w:eastAsia="仿宋" w:hAnsi="仿宋"/>
                <w:sz w:val="24"/>
                <w:szCs w:val="24"/>
              </w:rPr>
              <w:t>吊销注册资产</w:t>
            </w:r>
          </w:p>
          <w:p w:rsidR="00235FBB" w:rsidRPr="00C15713" w:rsidRDefault="00235FBB" w:rsidP="006E23B8">
            <w:pPr>
              <w:jc w:val="center"/>
              <w:rPr>
                <w:rFonts w:ascii="仿宋" w:eastAsia="仿宋" w:hAnsi="仿宋"/>
                <w:sz w:val="24"/>
                <w:szCs w:val="24"/>
              </w:rPr>
            </w:pPr>
            <w:r w:rsidRPr="00C15713">
              <w:rPr>
                <w:rFonts w:ascii="仿宋" w:eastAsia="仿宋" w:hAnsi="仿宋"/>
                <w:sz w:val="24"/>
                <w:szCs w:val="24"/>
              </w:rPr>
              <w:t>评估师证书</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8</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16</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24</w:t>
            </w:r>
          </w:p>
        </w:tc>
        <w:tc>
          <w:tcPr>
            <w:tcW w:w="1134"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32</w:t>
            </w:r>
          </w:p>
        </w:tc>
        <w:tc>
          <w:tcPr>
            <w:tcW w:w="937" w:type="dxa"/>
            <w:vAlign w:val="center"/>
          </w:tcPr>
          <w:p w:rsidR="00235FBB" w:rsidRPr="00C15713" w:rsidRDefault="00235FBB" w:rsidP="006E23B8">
            <w:pPr>
              <w:jc w:val="center"/>
              <w:rPr>
                <w:rFonts w:ascii="仿宋" w:eastAsia="仿宋" w:hAnsi="仿宋"/>
                <w:color w:val="000000"/>
                <w:sz w:val="24"/>
                <w:szCs w:val="24"/>
              </w:rPr>
            </w:pPr>
            <w:r w:rsidRPr="00C15713">
              <w:rPr>
                <w:rFonts w:ascii="仿宋" w:eastAsia="仿宋" w:hAnsi="仿宋"/>
                <w:color w:val="000000"/>
                <w:sz w:val="24"/>
                <w:szCs w:val="24"/>
              </w:rPr>
              <w:t>40</w:t>
            </w:r>
          </w:p>
        </w:tc>
      </w:tr>
    </w:tbl>
    <w:p w:rsidR="00235FBB" w:rsidRPr="00C15713" w:rsidRDefault="00235FBB" w:rsidP="00235FBB">
      <w:pPr>
        <w:jc w:val="left"/>
        <w:rPr>
          <w:rFonts w:ascii="仿宋" w:eastAsia="仿宋" w:hAnsi="仿宋"/>
          <w:sz w:val="24"/>
          <w:szCs w:val="24"/>
        </w:rPr>
      </w:pPr>
      <w:r w:rsidRPr="00C15713">
        <w:rPr>
          <w:rFonts w:ascii="仿宋" w:eastAsia="仿宋" w:hAnsi="仿宋"/>
          <w:sz w:val="24"/>
          <w:szCs w:val="24"/>
        </w:rPr>
        <w:t>注：注册资产评估师在以前年度所受处罚应扣减的分值计入其基准日所在评估机构。</w:t>
      </w:r>
    </w:p>
    <w:p w:rsidR="00554B5D" w:rsidRPr="00235FBB" w:rsidRDefault="00235FBB"/>
    <w:sectPr w:rsidR="00554B5D" w:rsidRPr="00235F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13AC5"/>
    <w:multiLevelType w:val="hybridMultilevel"/>
    <w:tmpl w:val="AF08441E"/>
    <w:lvl w:ilvl="0" w:tplc="A3C65A8A">
      <w:start w:val="1"/>
      <w:numFmt w:val="chineseCountingThousand"/>
      <w:lvlText w:val="第%1条"/>
      <w:lvlJc w:val="left"/>
      <w:pPr>
        <w:tabs>
          <w:tab w:val="num" w:pos="601"/>
        </w:tabs>
        <w:ind w:left="0" w:firstLine="567"/>
      </w:pPr>
      <w:rPr>
        <w:rFonts w:hint="default"/>
        <w:b/>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776D3B"/>
    <w:multiLevelType w:val="hybridMultilevel"/>
    <w:tmpl w:val="9DECD5C2"/>
    <w:lvl w:ilvl="0" w:tplc="A5C4F602">
      <w:start w:val="1"/>
      <w:numFmt w:val="japaneseCounting"/>
      <w:lvlText w:val="（%1）"/>
      <w:lvlJc w:val="left"/>
      <w:pPr>
        <w:tabs>
          <w:tab w:val="num" w:pos="1680"/>
        </w:tabs>
        <w:ind w:left="16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BB"/>
    <w:rsid w:val="00235FBB"/>
    <w:rsid w:val="00EA7C3E"/>
    <w:rsid w:val="00F8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BB"/>
    <w:pPr>
      <w:widowControl w:val="0"/>
      <w:jc w:val="both"/>
    </w:pPr>
    <w:rPr>
      <w:rFonts w:ascii="Calibri" w:eastAsia="宋体" w:hAnsi="Calibri" w:cs="Times New Roman"/>
    </w:rPr>
  </w:style>
  <w:style w:type="paragraph" w:styleId="1">
    <w:name w:val="heading 1"/>
    <w:basedOn w:val="a"/>
    <w:link w:val="1Char"/>
    <w:uiPriority w:val="9"/>
    <w:qFormat/>
    <w:rsid w:val="00235FB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35FBB"/>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BB"/>
    <w:pPr>
      <w:widowControl w:val="0"/>
      <w:jc w:val="both"/>
    </w:pPr>
    <w:rPr>
      <w:rFonts w:ascii="Calibri" w:eastAsia="宋体" w:hAnsi="Calibri" w:cs="Times New Roman"/>
    </w:rPr>
  </w:style>
  <w:style w:type="paragraph" w:styleId="1">
    <w:name w:val="heading 1"/>
    <w:basedOn w:val="a"/>
    <w:link w:val="1Char"/>
    <w:uiPriority w:val="9"/>
    <w:qFormat/>
    <w:rsid w:val="00235FB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35FB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425</Words>
  <Characters>2426</Characters>
  <Application>Microsoft Office Word</Application>
  <DocSecurity>0</DocSecurity>
  <Lines>20</Lines>
  <Paragraphs>5</Paragraphs>
  <ScaleCrop>false</ScaleCrop>
  <Company>Lenovo (Beijing) Limited</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郑芳洁</dc:creator>
  <cp:keywords/>
  <dc:description/>
  <cp:lastModifiedBy>郑芳洁</cp:lastModifiedBy>
  <cp:revision>1</cp:revision>
  <dcterms:created xsi:type="dcterms:W3CDTF">2014-04-19T07:27:00Z</dcterms:created>
  <dcterms:modified xsi:type="dcterms:W3CDTF">2014-04-19T07:27:00Z</dcterms:modified>
</cp:coreProperties>
</file>