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hint="eastAsia" w:ascii="方正小标宋_GBK" w:hAnsi="方正小标宋_GBK" w:eastAsia="方正小标宋_GBK" w:cs="方正小标宋_GBK"/>
          <w:bCs/>
          <w:sz w:val="44"/>
          <w:szCs w:val="44"/>
        </w:rPr>
      </w:pPr>
      <w:bookmarkStart w:id="0" w:name="_GoBack"/>
      <w:bookmarkEnd w:id="0"/>
      <w:r>
        <w:rPr>
          <w:rFonts w:hint="eastAsia" w:ascii="方正小标宋_GBK" w:hAnsi="方正小标宋_GBK" w:eastAsia="方正小标宋_GBK" w:cs="方正小标宋_GBK"/>
          <w:bCs/>
          <w:sz w:val="44"/>
          <w:szCs w:val="44"/>
        </w:rPr>
        <w:t>银行办理非金融企业外债签约（变更）</w:t>
      </w:r>
    </w:p>
    <w:p>
      <w:pPr>
        <w:spacing w:line="72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登记业务实施细则</w:t>
      </w:r>
    </w:p>
    <w:p>
      <w:pPr>
        <w:widowControl/>
        <w:spacing w:line="560" w:lineRule="exact"/>
        <w:ind w:firstLine="643" w:firstLineChars="200"/>
        <w:rPr>
          <w:rFonts w:hint="eastAsia" w:eastAsia="仿宋_GB2312"/>
          <w:b/>
          <w:bCs/>
          <w:sz w:val="32"/>
          <w:szCs w:val="32"/>
        </w:rPr>
      </w:pPr>
      <w:r>
        <w:rPr>
          <w:rFonts w:hint="eastAsia" w:hAnsi="Calibri" w:eastAsia="仿宋_GB2312"/>
          <w:b/>
          <w:bCs/>
          <w:sz w:val="32"/>
          <w:szCs w:val="32"/>
        </w:rPr>
        <w:t xml:space="preserve"> </w:t>
      </w:r>
    </w:p>
    <w:p>
      <w:pPr>
        <w:widowControl/>
        <w:ind w:firstLine="643" w:firstLineChars="200"/>
        <w:rPr>
          <w:rFonts w:eastAsia="仿宋_GB2312"/>
          <w:bCs/>
          <w:sz w:val="32"/>
          <w:szCs w:val="32"/>
        </w:rPr>
      </w:pPr>
      <w:r>
        <w:rPr>
          <w:rFonts w:hint="eastAsia" w:ascii="仿宋_GB2312" w:hAnsi="Calibri" w:eastAsia="仿宋_GB2312" w:cs="仿宋_GB2312"/>
          <w:b/>
          <w:bCs/>
          <w:sz w:val="32"/>
          <w:szCs w:val="32"/>
        </w:rPr>
        <w:t>第一条</w:t>
      </w:r>
      <w:r>
        <w:rPr>
          <w:rFonts w:eastAsia="仿宋_GB2312"/>
          <w:b/>
          <w:bCs/>
          <w:sz w:val="32"/>
          <w:szCs w:val="32"/>
        </w:rPr>
        <w:t xml:space="preserve">  </w:t>
      </w:r>
      <w:r>
        <w:rPr>
          <w:rFonts w:hint="eastAsia" w:ascii="仿宋_GB2312" w:hAnsi="Calibri" w:eastAsia="仿宋_GB2312" w:cs="仿宋_GB2312"/>
          <w:bCs/>
          <w:sz w:val="32"/>
          <w:szCs w:val="32"/>
        </w:rPr>
        <w:t>为便利银行办理非金融企业外债签约（变更）登记，根据服务实体经济、有效防范风险的原则，制订本实施细则。</w:t>
      </w:r>
    </w:p>
    <w:p>
      <w:pPr>
        <w:ind w:firstLine="622"/>
        <w:rPr>
          <w:rFonts w:hint="eastAsia" w:ascii="仿宋_GB2312" w:eastAsia="仿宋_GB2312" w:cs="仿宋_GB2312"/>
          <w:b/>
          <w:bCs/>
          <w:sz w:val="32"/>
          <w:szCs w:val="32"/>
        </w:rPr>
      </w:pPr>
      <w:r>
        <w:rPr>
          <w:rFonts w:hint="eastAsia" w:ascii="仿宋_GB2312" w:hAnsi="Calibri" w:eastAsia="仿宋_GB2312" w:cs="仿宋_GB2312"/>
          <w:b/>
          <w:bCs/>
          <w:sz w:val="32"/>
          <w:szCs w:val="32"/>
        </w:rPr>
        <w:t>第二条</w:t>
      </w:r>
      <w:r>
        <w:rPr>
          <w:rFonts w:eastAsia="仿宋_GB2312"/>
          <w:b/>
          <w:bCs/>
          <w:sz w:val="32"/>
          <w:szCs w:val="32"/>
        </w:rPr>
        <w:t xml:space="preserve">  </w:t>
      </w:r>
      <w:r>
        <w:rPr>
          <w:rFonts w:hint="eastAsia" w:ascii="仿宋_GB2312" w:hAnsi="Calibri" w:eastAsia="仿宋_GB2312" w:cs="仿宋_GB2312"/>
          <w:bCs/>
          <w:sz w:val="32"/>
          <w:szCs w:val="32"/>
        </w:rPr>
        <w:t>本实施细则所指非金融企业是指</w:t>
      </w:r>
      <w:r>
        <w:rPr>
          <w:rFonts w:hint="eastAsia" w:ascii="仿宋_GB2312" w:hAnsi="Calibri" w:eastAsia="仿宋_GB2312" w:cs="仿宋_GB2312"/>
          <w:kern w:val="0"/>
          <w:sz w:val="32"/>
          <w:szCs w:val="32"/>
        </w:rPr>
        <w:t>选择全口径跨境融资宏观审慎模式借用外债的非金融企业债务人（房地产企业、地方政府融资平台、融资租赁公司、融资担保公司、商业保理公司、地方资产管理公司、小额贷款公司、典当行除外），不含选择其他方式借用外债的非金融企业债务人。</w:t>
      </w:r>
    </w:p>
    <w:p>
      <w:pPr>
        <w:ind w:firstLine="622"/>
        <w:rPr>
          <w:rFonts w:hint="eastAsia" w:ascii="仿宋_GB2312" w:eastAsia="仿宋_GB2312" w:cs="仿宋_GB2312"/>
          <w:b/>
          <w:kern w:val="0"/>
          <w:sz w:val="32"/>
          <w:szCs w:val="32"/>
        </w:rPr>
      </w:pPr>
      <w:r>
        <w:rPr>
          <w:rFonts w:hint="eastAsia" w:ascii="仿宋_GB2312" w:eastAsia="仿宋_GB2312" w:cs="仿宋_GB2312"/>
          <w:b/>
          <w:bCs/>
          <w:sz w:val="32"/>
          <w:szCs w:val="32"/>
        </w:rPr>
        <w:t>第三条</w:t>
      </w:r>
      <w:r>
        <w:rPr>
          <w:rFonts w:eastAsia="仿宋_GB2312"/>
          <w:b/>
          <w:bCs/>
          <w:sz w:val="32"/>
          <w:szCs w:val="32"/>
        </w:rPr>
        <w:t xml:space="preserve">  </w:t>
      </w:r>
      <w:r>
        <w:rPr>
          <w:rFonts w:hint="eastAsia" w:ascii="仿宋_GB2312" w:eastAsia="仿宋_GB2312" w:cs="仿宋_GB2312"/>
          <w:kern w:val="0"/>
          <w:sz w:val="32"/>
          <w:szCs w:val="32"/>
        </w:rPr>
        <w:t>非金融企业债务人跨境融资风险加权余额不得超过其跨境融资风险加权余额上限。跨境融资风险加权余额与跨境融资风险加权余额上限，按照《中国人民银行关于全口径跨境融资宏观审慎管理有关事宜的通知》（银发〔</w:t>
      </w:r>
      <w:r>
        <w:rPr>
          <w:rFonts w:eastAsia="仿宋_GB2312"/>
          <w:kern w:val="0"/>
          <w:sz w:val="32"/>
          <w:szCs w:val="32"/>
        </w:rPr>
        <w:t>2017</w:t>
      </w:r>
      <w:r>
        <w:rPr>
          <w:rFonts w:hint="eastAsia" w:ascii="仿宋_GB2312" w:eastAsia="仿宋_GB2312" w:cs="仿宋_GB2312"/>
          <w:kern w:val="0"/>
          <w:sz w:val="32"/>
          <w:szCs w:val="32"/>
        </w:rPr>
        <w:t>〕</w:t>
      </w:r>
      <w:r>
        <w:rPr>
          <w:rFonts w:eastAsia="仿宋_GB2312"/>
          <w:kern w:val="0"/>
          <w:sz w:val="32"/>
          <w:szCs w:val="32"/>
        </w:rPr>
        <w:t>9</w:t>
      </w:r>
      <w:r>
        <w:rPr>
          <w:rFonts w:hint="eastAsia" w:ascii="仿宋_GB2312" w:eastAsia="仿宋_GB2312" w:cs="仿宋_GB2312"/>
          <w:kern w:val="0"/>
          <w:sz w:val="32"/>
          <w:szCs w:val="32"/>
        </w:rPr>
        <w:t>号）规定的计算公式计算，宏观审慎调节参数等指标按现行文件规定执行。</w:t>
      </w:r>
    </w:p>
    <w:p>
      <w:pPr>
        <w:ind w:firstLine="622"/>
        <w:rPr>
          <w:rFonts w:eastAsia="华文中宋"/>
          <w:sz w:val="32"/>
          <w:szCs w:val="32"/>
        </w:rPr>
      </w:pPr>
      <w:r>
        <w:rPr>
          <w:rFonts w:hint="eastAsia" w:ascii="仿宋_GB2312" w:eastAsia="仿宋_GB2312" w:cs="仿宋_GB2312"/>
          <w:b/>
          <w:kern w:val="0"/>
          <w:sz w:val="32"/>
          <w:szCs w:val="32"/>
        </w:rPr>
        <w:t>第四条</w:t>
      </w:r>
      <w:r>
        <w:rPr>
          <w:rFonts w:eastAsia="仿宋_GB2312"/>
          <w:b/>
          <w:kern w:val="0"/>
          <w:sz w:val="32"/>
          <w:szCs w:val="32"/>
        </w:rPr>
        <w:t xml:space="preserve">  </w:t>
      </w:r>
      <w:r>
        <w:rPr>
          <w:rFonts w:hint="eastAsia" w:ascii="仿宋_GB2312" w:eastAsia="仿宋_GB2312" w:cs="仿宋_GB2312"/>
          <w:kern w:val="0"/>
          <w:sz w:val="32"/>
          <w:szCs w:val="32"/>
        </w:rPr>
        <w:t>非金融企业债务人可在外债提款前持以下材料到安徽省分局辖内银行办理外债签约登记手续：</w:t>
      </w:r>
    </w:p>
    <w:p>
      <w:pPr>
        <w:ind w:firstLine="640" w:firstLineChars="200"/>
        <w:rPr>
          <w:rFonts w:eastAsia="仿宋_GB2312"/>
          <w:sz w:val="32"/>
          <w:szCs w:val="32"/>
        </w:rPr>
      </w:pPr>
      <w:r>
        <w:rPr>
          <w:rFonts w:hint="eastAsia" w:ascii="仿宋_GB2312" w:eastAsia="仿宋_GB2312" w:cs="仿宋_GB2312"/>
          <w:sz w:val="32"/>
          <w:szCs w:val="32"/>
        </w:rPr>
        <w:t>（一）《非金融企业外债登记申请表（宏观审慎模式）》（必要时附书面说明）。</w:t>
      </w:r>
    </w:p>
    <w:p>
      <w:pPr>
        <w:ind w:firstLine="640" w:firstLineChars="200"/>
        <w:rPr>
          <w:rFonts w:eastAsia="仿宋_GB2312"/>
          <w:sz w:val="32"/>
          <w:szCs w:val="32"/>
        </w:rPr>
      </w:pPr>
      <w:r>
        <w:rPr>
          <w:rFonts w:hint="eastAsia" w:ascii="仿宋_GB2312" w:eastAsia="仿宋_GB2312" w:cs="仿宋_GB2312"/>
          <w:sz w:val="32"/>
          <w:szCs w:val="32"/>
        </w:rPr>
        <w:t>（二）加盖公章的外债合同主要条款复印件（境外发行债券的，需提供认购协议或全球债券证书等证明材料）。</w:t>
      </w:r>
    </w:p>
    <w:p>
      <w:pPr>
        <w:ind w:firstLine="640" w:firstLineChars="200"/>
        <w:rPr>
          <w:rFonts w:eastAsia="仿宋_GB2312"/>
          <w:sz w:val="32"/>
          <w:szCs w:val="32"/>
        </w:rPr>
      </w:pPr>
      <w:r>
        <w:rPr>
          <w:rFonts w:hint="eastAsia" w:ascii="仿宋_GB2312" w:eastAsia="仿宋_GB2312" w:cs="仿宋_GB2312"/>
          <w:sz w:val="32"/>
          <w:szCs w:val="32"/>
        </w:rPr>
        <w:t>（三）上年度或最近一期经审计的财务报告。</w:t>
      </w:r>
      <w:r>
        <w:rPr>
          <w:rFonts w:eastAsia="仿宋_GB2312"/>
          <w:sz w:val="32"/>
          <w:szCs w:val="32"/>
        </w:rPr>
        <w:t xml:space="preserve"> </w:t>
      </w:r>
    </w:p>
    <w:p>
      <w:pPr>
        <w:ind w:firstLine="640" w:firstLineChars="200"/>
        <w:rPr>
          <w:rFonts w:eastAsia="仿宋_GB2312"/>
          <w:sz w:val="32"/>
          <w:szCs w:val="32"/>
        </w:rPr>
      </w:pPr>
      <w:r>
        <w:rPr>
          <w:rFonts w:hint="eastAsia" w:ascii="仿宋_GB2312" w:eastAsia="仿宋_GB2312" w:cs="仿宋_GB2312"/>
          <w:sz w:val="32"/>
          <w:szCs w:val="32"/>
        </w:rPr>
        <w:t>（四）营业执照。</w:t>
      </w:r>
    </w:p>
    <w:p>
      <w:pPr>
        <w:ind w:firstLine="640" w:firstLineChars="200"/>
        <w:rPr>
          <w:rFonts w:eastAsia="仿宋_GB2312"/>
          <w:kern w:val="0"/>
          <w:sz w:val="32"/>
          <w:szCs w:val="32"/>
        </w:rPr>
      </w:pPr>
      <w:r>
        <w:rPr>
          <w:rFonts w:hint="eastAsia" w:ascii="仿宋_GB2312" w:eastAsia="仿宋_GB2312" w:cs="仿宋_GB2312"/>
          <w:sz w:val="32"/>
          <w:szCs w:val="32"/>
        </w:rPr>
        <w:t>因当事各方、币种、金额、期限、利率、借款用途和适用法律等外债合同主要条款发生变化，</w:t>
      </w:r>
      <w:r>
        <w:rPr>
          <w:rFonts w:hint="eastAsia" w:ascii="仿宋_GB2312" w:hAnsi="Calibri" w:eastAsia="仿宋_GB2312" w:cs="仿宋_GB2312"/>
          <w:kern w:val="0"/>
          <w:sz w:val="32"/>
          <w:szCs w:val="32"/>
        </w:rPr>
        <w:t>非金融企业债务人可持以下材料到安徽省分局辖内银行办理外债变更登记手续：</w:t>
      </w:r>
    </w:p>
    <w:p>
      <w:pPr>
        <w:ind w:firstLine="640" w:firstLineChars="200"/>
        <w:rPr>
          <w:rFonts w:eastAsia="仿宋_GB2312"/>
          <w:sz w:val="32"/>
          <w:szCs w:val="32"/>
        </w:rPr>
      </w:pPr>
      <w:r>
        <w:rPr>
          <w:rFonts w:hint="eastAsia" w:ascii="仿宋_GB2312" w:hAnsi="Calibri" w:eastAsia="仿宋_GB2312" w:cs="仿宋_GB2312"/>
          <w:kern w:val="0"/>
          <w:sz w:val="32"/>
          <w:szCs w:val="32"/>
        </w:rPr>
        <w:t>（一）</w:t>
      </w:r>
      <w:r>
        <w:rPr>
          <w:rFonts w:hint="eastAsia" w:ascii="仿宋_GB2312" w:eastAsia="仿宋_GB2312" w:cs="仿宋_GB2312"/>
          <w:sz w:val="32"/>
          <w:szCs w:val="32"/>
        </w:rPr>
        <w:t>《非金融企业外债登记申请表（宏观审慎模式）》（必要时附书面说明）。</w:t>
      </w:r>
    </w:p>
    <w:p>
      <w:pPr>
        <w:ind w:firstLine="622"/>
        <w:rPr>
          <w:rFonts w:hint="eastAsia" w:ascii="仿宋_GB2312" w:eastAsia="仿宋_GB2312" w:cs="仿宋_GB2312"/>
          <w:sz w:val="32"/>
          <w:szCs w:val="32"/>
        </w:rPr>
      </w:pPr>
      <w:r>
        <w:rPr>
          <w:rFonts w:hint="eastAsia" w:ascii="仿宋_GB2312" w:eastAsia="仿宋_GB2312" w:cs="仿宋_GB2312"/>
          <w:sz w:val="32"/>
          <w:szCs w:val="32"/>
        </w:rPr>
        <w:t>（二）原《境内机构外债签约情况表》。</w:t>
      </w:r>
    </w:p>
    <w:p>
      <w:pPr>
        <w:ind w:firstLine="622"/>
        <w:rPr>
          <w:rFonts w:eastAsia="仿宋_GB2312"/>
          <w:kern w:val="0"/>
          <w:sz w:val="32"/>
          <w:szCs w:val="32"/>
        </w:rPr>
      </w:pPr>
      <w:r>
        <w:rPr>
          <w:rFonts w:hint="eastAsia" w:ascii="仿宋_GB2312" w:eastAsia="仿宋_GB2312" w:cs="仿宋_GB2312"/>
          <w:sz w:val="32"/>
          <w:szCs w:val="32"/>
        </w:rPr>
        <w:t>（三）变更事项的真实性证明材料。</w:t>
      </w:r>
    </w:p>
    <w:p>
      <w:pPr>
        <w:widowControl/>
        <w:ind w:firstLine="643" w:firstLineChars="200"/>
        <w:rPr>
          <w:rFonts w:eastAsia="仿宋_GB2312"/>
          <w:kern w:val="0"/>
          <w:sz w:val="32"/>
          <w:szCs w:val="32"/>
        </w:rPr>
      </w:pPr>
      <w:r>
        <w:rPr>
          <w:rFonts w:hint="eastAsia" w:ascii="仿宋_GB2312" w:hAnsi="Calibri" w:eastAsia="仿宋_GB2312" w:cs="仿宋_GB2312"/>
          <w:b/>
          <w:kern w:val="0"/>
          <w:sz w:val="32"/>
          <w:szCs w:val="32"/>
        </w:rPr>
        <w:t>第五条</w:t>
      </w:r>
      <w:r>
        <w:rPr>
          <w:rFonts w:eastAsia="仿宋_GB2312"/>
          <w:b/>
          <w:kern w:val="0"/>
          <w:sz w:val="32"/>
          <w:szCs w:val="32"/>
        </w:rPr>
        <w:t xml:space="preserve">  </w:t>
      </w:r>
      <w:r>
        <w:rPr>
          <w:rFonts w:hint="eastAsia" w:ascii="仿宋_GB2312" w:hAnsi="Calibri" w:eastAsia="仿宋_GB2312" w:cs="仿宋_GB2312"/>
          <w:kern w:val="0"/>
          <w:sz w:val="32"/>
          <w:szCs w:val="32"/>
        </w:rPr>
        <w:t>银行办理外债登记前，应勤勉尽责，遵循“了解你的客户”原则，审核非金融企业债务人主体资格，不得为房地产企业、地方政府融资平台等办理外债登记。同时核实非金融企业债务人实际情况、申请信息与系统信息是否一致，不一致的需核实原因，待相关信息一致后再办理新的登记业务。</w:t>
      </w:r>
    </w:p>
    <w:p>
      <w:pPr>
        <w:widowControl/>
        <w:ind w:firstLine="640" w:firstLineChars="200"/>
        <w:rPr>
          <w:rFonts w:eastAsia="仿宋_GB2312"/>
          <w:kern w:val="0"/>
          <w:sz w:val="32"/>
          <w:szCs w:val="32"/>
        </w:rPr>
      </w:pPr>
      <w:r>
        <w:rPr>
          <w:rFonts w:hint="eastAsia" w:ascii="仿宋_GB2312" w:hAnsi="Calibri" w:eastAsia="仿宋_GB2312" w:cs="仿宋_GB2312"/>
          <w:kern w:val="0"/>
          <w:sz w:val="32"/>
          <w:szCs w:val="32"/>
        </w:rPr>
        <w:t>银行为非金融企业债务人办理变更登记涉及提前还款的，须重新区分期限风险转换因子计算风险加权余额。</w:t>
      </w:r>
    </w:p>
    <w:p>
      <w:pPr>
        <w:ind w:firstLine="643" w:firstLineChars="200"/>
        <w:rPr>
          <w:rFonts w:eastAsia="仿宋_GB2312"/>
          <w:kern w:val="0"/>
          <w:sz w:val="32"/>
          <w:szCs w:val="32"/>
        </w:rPr>
      </w:pPr>
      <w:r>
        <w:rPr>
          <w:rFonts w:hint="eastAsia" w:ascii="仿宋_GB2312" w:hAnsi="Calibri" w:eastAsia="仿宋_GB2312" w:cs="仿宋_GB2312"/>
          <w:b/>
          <w:kern w:val="0"/>
          <w:sz w:val="32"/>
          <w:szCs w:val="32"/>
        </w:rPr>
        <w:t>第六条</w:t>
      </w:r>
      <w:r>
        <w:rPr>
          <w:rFonts w:eastAsia="仿宋_GB2312"/>
          <w:b/>
          <w:kern w:val="0"/>
          <w:sz w:val="32"/>
          <w:szCs w:val="32"/>
        </w:rPr>
        <w:t xml:space="preserve">  </w:t>
      </w:r>
      <w:r>
        <w:rPr>
          <w:rFonts w:hint="eastAsia" w:ascii="仿宋_GB2312" w:hAnsi="Calibri" w:eastAsia="仿宋_GB2312" w:cs="仿宋_GB2312"/>
          <w:kern w:val="0"/>
          <w:sz w:val="32"/>
          <w:szCs w:val="32"/>
        </w:rPr>
        <w:t>银行应通过资本项目信息系统办理外债签约登记，打印《境内机构外债签约情况表》和《业务登记凭证》并加盖银行业务印章后交给申请人。</w:t>
      </w:r>
    </w:p>
    <w:p>
      <w:pPr>
        <w:ind w:firstLine="643" w:firstLineChars="200"/>
        <w:rPr>
          <w:rFonts w:eastAsia="仿宋_GB2312"/>
          <w:kern w:val="0"/>
          <w:sz w:val="32"/>
          <w:szCs w:val="32"/>
        </w:rPr>
      </w:pPr>
      <w:r>
        <w:rPr>
          <w:rFonts w:hint="eastAsia" w:ascii="仿宋_GB2312" w:hAnsi="Calibri" w:eastAsia="仿宋_GB2312" w:cs="仿宋_GB2312"/>
          <w:b/>
          <w:kern w:val="0"/>
          <w:sz w:val="32"/>
          <w:szCs w:val="32"/>
        </w:rPr>
        <w:t>第七条</w:t>
      </w:r>
      <w:r>
        <w:rPr>
          <w:rFonts w:eastAsia="仿宋_GB2312"/>
          <w:b/>
          <w:kern w:val="0"/>
          <w:sz w:val="32"/>
          <w:szCs w:val="32"/>
        </w:rPr>
        <w:t xml:space="preserve">  </w:t>
      </w:r>
      <w:r>
        <w:rPr>
          <w:rFonts w:hint="eastAsia" w:ascii="仿宋_GB2312" w:hAnsi="Calibri" w:eastAsia="仿宋_GB2312" w:cs="仿宋_GB2312"/>
          <w:kern w:val="0"/>
          <w:sz w:val="32"/>
          <w:szCs w:val="32"/>
        </w:rPr>
        <w:t>对于境内非金融企业债务人向离岸银行借用的离岸贷款，视同外债管理，占用境内借款人的跨境融资风险加权余额上限。</w:t>
      </w:r>
    </w:p>
    <w:p>
      <w:pPr>
        <w:ind w:firstLine="643" w:firstLineChars="200"/>
        <w:rPr>
          <w:rFonts w:eastAsia="仿宋_GB2312"/>
          <w:kern w:val="0"/>
          <w:sz w:val="32"/>
          <w:szCs w:val="32"/>
        </w:rPr>
      </w:pPr>
      <w:r>
        <w:rPr>
          <w:rFonts w:hint="eastAsia" w:ascii="仿宋_GB2312" w:hAnsi="Calibri" w:eastAsia="仿宋_GB2312" w:cs="仿宋_GB2312"/>
          <w:b/>
          <w:kern w:val="0"/>
          <w:sz w:val="32"/>
          <w:szCs w:val="32"/>
        </w:rPr>
        <w:t>第八条</w:t>
      </w:r>
      <w:r>
        <w:rPr>
          <w:rFonts w:eastAsia="仿宋_GB2312"/>
          <w:b/>
          <w:kern w:val="0"/>
          <w:sz w:val="32"/>
          <w:szCs w:val="32"/>
        </w:rPr>
        <w:t xml:space="preserve">  </w:t>
      </w:r>
      <w:r>
        <w:rPr>
          <w:rFonts w:hint="eastAsia" w:ascii="仿宋_GB2312" w:hAnsi="Calibri" w:eastAsia="仿宋_GB2312" w:cs="仿宋_GB2312"/>
          <w:kern w:val="0"/>
          <w:sz w:val="32"/>
          <w:szCs w:val="32"/>
        </w:rPr>
        <w:t>除另有规定外，境内非金融企业涉及真实跨境贸易产生的贸易信贷（包括应付和预收）和从境外金融机构获取的贸易融资，不纳入跨境融资风险加权余额计算，无需按照本实施细则办理外债登记。</w:t>
      </w:r>
    </w:p>
    <w:p>
      <w:pPr>
        <w:ind w:firstLine="643" w:firstLineChars="200"/>
        <w:rPr>
          <w:rFonts w:eastAsia="仿宋_GB2312"/>
          <w:kern w:val="0"/>
          <w:sz w:val="32"/>
          <w:szCs w:val="32"/>
        </w:rPr>
      </w:pPr>
      <w:r>
        <w:rPr>
          <w:rFonts w:hint="eastAsia" w:ascii="仿宋_GB2312" w:hAnsi="Calibri" w:eastAsia="仿宋_GB2312" w:cs="仿宋_GB2312"/>
          <w:b/>
          <w:kern w:val="0"/>
          <w:sz w:val="32"/>
          <w:szCs w:val="32"/>
        </w:rPr>
        <w:t>第九条</w:t>
      </w:r>
      <w:r>
        <w:rPr>
          <w:rFonts w:eastAsia="仿宋_GB2312"/>
          <w:b/>
          <w:kern w:val="0"/>
          <w:sz w:val="32"/>
          <w:szCs w:val="32"/>
        </w:rPr>
        <w:t xml:space="preserve">  </w:t>
      </w:r>
      <w:r>
        <w:rPr>
          <w:rFonts w:hint="eastAsia" w:ascii="仿宋_GB2312" w:hAnsi="Calibri" w:eastAsia="仿宋_GB2312" w:cs="仿宋_GB2312"/>
          <w:kern w:val="0"/>
          <w:sz w:val="32"/>
          <w:szCs w:val="32"/>
        </w:rPr>
        <w:t>非金融企业债务人借用外债，原则上应将所涉资金调回境内使用。</w:t>
      </w:r>
    </w:p>
    <w:p>
      <w:pPr>
        <w:ind w:firstLine="643" w:firstLineChars="200"/>
        <w:rPr>
          <w:rFonts w:eastAsia="仿宋_GB2312"/>
          <w:kern w:val="0"/>
          <w:sz w:val="32"/>
          <w:szCs w:val="32"/>
        </w:rPr>
      </w:pPr>
      <w:r>
        <w:rPr>
          <w:rFonts w:hint="eastAsia" w:ascii="仿宋_GB2312" w:hAnsi="Calibri" w:eastAsia="仿宋_GB2312" w:cs="仿宋_GB2312"/>
          <w:b/>
          <w:sz w:val="32"/>
          <w:szCs w:val="32"/>
        </w:rPr>
        <w:t>第十条</w:t>
      </w:r>
      <w:r>
        <w:rPr>
          <w:rFonts w:eastAsia="仿宋_GB2312"/>
          <w:b/>
          <w:sz w:val="32"/>
          <w:szCs w:val="32"/>
        </w:rPr>
        <w:t xml:space="preserve">  </w:t>
      </w:r>
      <w:r>
        <w:rPr>
          <w:rFonts w:hint="eastAsia" w:ascii="仿宋_GB2312" w:hAnsi="Calibri" w:eastAsia="仿宋_GB2312" w:cs="仿宋_GB2312"/>
          <w:kern w:val="0"/>
          <w:sz w:val="32"/>
          <w:szCs w:val="32"/>
        </w:rPr>
        <w:t>非金融企业债务人可自行与境内银行等金融机构或境外债权银行签订以锁定外债还本付息风险为目的，与汇率或利率相关的保值交易合同，并办理交割。签订保值交易合同、办理保值交易合同交割时，非金融企业债务人的交易对手方、办理交割款项汇出的银行等，应当确认该笔交易具备合法、清晰的实盘背景。</w:t>
      </w:r>
    </w:p>
    <w:p>
      <w:pPr>
        <w:ind w:firstLine="640" w:firstLineChars="200"/>
        <w:rPr>
          <w:rFonts w:eastAsia="仿宋_GB2312"/>
          <w:kern w:val="0"/>
          <w:sz w:val="32"/>
          <w:szCs w:val="32"/>
        </w:rPr>
      </w:pPr>
      <w:r>
        <w:rPr>
          <w:rFonts w:hint="eastAsia" w:ascii="仿宋_GB2312" w:eastAsia="仿宋_GB2312" w:cs="仿宋_GB2312"/>
          <w:kern w:val="0"/>
          <w:sz w:val="32"/>
          <w:szCs w:val="32"/>
        </w:rPr>
        <w:t>（</w:t>
      </w:r>
      <w:r>
        <w:rPr>
          <w:rFonts w:eastAsia="仿宋_GB2312"/>
          <w:kern w:val="0"/>
          <w:sz w:val="32"/>
          <w:szCs w:val="32"/>
        </w:rPr>
        <w:t>1</w:t>
      </w:r>
      <w:r>
        <w:rPr>
          <w:rFonts w:hint="eastAsia" w:ascii="仿宋_GB2312" w:eastAsia="仿宋_GB2312" w:cs="仿宋_GB2312"/>
          <w:kern w:val="0"/>
          <w:sz w:val="32"/>
          <w:szCs w:val="32"/>
        </w:rPr>
        <w:t>）非金融企业债务人获得的保值交易外汇收入，可直接到银行办理结汇或存入外债专用账户保留（国际收支申报时，无需填写相应外债业务编号）。</w:t>
      </w:r>
    </w:p>
    <w:p>
      <w:pPr>
        <w:ind w:firstLine="640" w:firstLineChars="200"/>
        <w:rPr>
          <w:rFonts w:eastAsia="仿宋_GB2312"/>
          <w:kern w:val="0"/>
          <w:sz w:val="32"/>
          <w:szCs w:val="32"/>
        </w:rPr>
      </w:pPr>
      <w:r>
        <w:rPr>
          <w:rFonts w:hint="eastAsia" w:ascii="仿宋_GB2312" w:eastAsia="仿宋_GB2312" w:cs="仿宋_GB2312"/>
          <w:kern w:val="0"/>
          <w:sz w:val="32"/>
          <w:szCs w:val="32"/>
        </w:rPr>
        <w:t>（</w:t>
      </w:r>
      <w:r>
        <w:rPr>
          <w:rFonts w:eastAsia="仿宋_GB2312"/>
          <w:kern w:val="0"/>
          <w:sz w:val="32"/>
          <w:szCs w:val="32"/>
        </w:rPr>
        <w:t>2</w:t>
      </w:r>
      <w:r>
        <w:rPr>
          <w:rFonts w:hint="eastAsia" w:ascii="仿宋_GB2312" w:eastAsia="仿宋_GB2312" w:cs="仿宋_GB2312"/>
          <w:kern w:val="0"/>
          <w:sz w:val="32"/>
          <w:szCs w:val="32"/>
        </w:rPr>
        <w:t>）非金融企业债务人可直接到银行购汇或使用自有外汇办理交割。</w:t>
      </w:r>
    </w:p>
    <w:p>
      <w:pPr>
        <w:ind w:firstLine="643" w:firstLineChars="200"/>
        <w:rPr>
          <w:rFonts w:eastAsia="仿宋_GB2312"/>
          <w:kern w:val="0"/>
          <w:sz w:val="32"/>
          <w:szCs w:val="32"/>
        </w:rPr>
      </w:pPr>
      <w:r>
        <w:rPr>
          <w:rFonts w:hint="eastAsia" w:ascii="仿宋_GB2312" w:hAnsi="Calibri" w:eastAsia="仿宋_GB2312" w:cs="仿宋_GB2312"/>
          <w:b/>
          <w:kern w:val="0"/>
          <w:sz w:val="32"/>
          <w:szCs w:val="32"/>
        </w:rPr>
        <w:t>第十一条</w:t>
      </w:r>
      <w:r>
        <w:rPr>
          <w:rFonts w:eastAsia="仿宋_GB2312"/>
          <w:b/>
          <w:kern w:val="0"/>
          <w:sz w:val="32"/>
          <w:szCs w:val="32"/>
        </w:rPr>
        <w:t xml:space="preserve">  </w:t>
      </w:r>
      <w:r>
        <w:rPr>
          <w:rFonts w:hint="eastAsia" w:ascii="仿宋_GB2312" w:hAnsi="Calibri" w:eastAsia="仿宋_GB2312" w:cs="仿宋_GB2312"/>
          <w:kern w:val="0"/>
          <w:sz w:val="32"/>
          <w:szCs w:val="32"/>
        </w:rPr>
        <w:t>非金融企业债务人购汇偿还外债，应遵循实需原则。</w:t>
      </w:r>
    </w:p>
    <w:p>
      <w:pPr>
        <w:ind w:firstLine="643" w:firstLineChars="200"/>
        <w:rPr>
          <w:rFonts w:eastAsia="仿宋_GB2312"/>
          <w:kern w:val="0"/>
          <w:sz w:val="32"/>
          <w:szCs w:val="32"/>
        </w:rPr>
      </w:pPr>
      <w:r>
        <w:rPr>
          <w:rFonts w:hint="eastAsia" w:ascii="仿宋_GB2312" w:hAnsi="Calibri" w:eastAsia="仿宋_GB2312" w:cs="仿宋_GB2312"/>
          <w:b/>
          <w:kern w:val="0"/>
          <w:sz w:val="32"/>
          <w:szCs w:val="32"/>
        </w:rPr>
        <w:t>第十二条</w:t>
      </w:r>
      <w:r>
        <w:rPr>
          <w:rFonts w:eastAsia="仿宋_GB2312"/>
          <w:b/>
          <w:kern w:val="0"/>
          <w:sz w:val="32"/>
          <w:szCs w:val="32"/>
        </w:rPr>
        <w:t xml:space="preserve">  </w:t>
      </w:r>
      <w:r>
        <w:rPr>
          <w:rFonts w:hint="eastAsia" w:ascii="仿宋_GB2312" w:hAnsi="Calibri" w:eastAsia="仿宋_GB2312" w:cs="仿宋_GB2312"/>
          <w:kern w:val="0"/>
          <w:sz w:val="32"/>
          <w:szCs w:val="32"/>
        </w:rPr>
        <w:t>银行所在地外汇局负责对辖内银行办理的外债签约（变更）登记进行统计监测和业务核查。如有疑问或发生</w:t>
      </w:r>
      <w:r>
        <w:rPr>
          <w:rFonts w:hint="eastAsia" w:ascii="仿宋_GB2312" w:hAnsi="Calibri" w:eastAsia="仿宋_GB2312" w:cs="仿宋_GB2312"/>
          <w:bCs/>
          <w:sz w:val="32"/>
          <w:szCs w:val="32"/>
        </w:rPr>
        <w:t>重大事项和异常情况的，银行应及时向外汇局报告。</w:t>
      </w:r>
    </w:p>
    <w:p>
      <w:pPr>
        <w:autoSpaceDE w:val="0"/>
        <w:autoSpaceDN w:val="0"/>
        <w:ind w:firstLine="643" w:firstLineChars="200"/>
        <w:rPr>
          <w:rFonts w:eastAsia="仿宋_GB2312"/>
          <w:sz w:val="32"/>
          <w:szCs w:val="32"/>
        </w:rPr>
      </w:pPr>
      <w:r>
        <w:rPr>
          <w:rFonts w:hint="eastAsia" w:ascii="仿宋_GB2312" w:eastAsia="仿宋_GB2312" w:cs="仿宋_GB2312"/>
          <w:b/>
          <w:sz w:val="32"/>
          <w:szCs w:val="32"/>
        </w:rPr>
        <w:t>第十三条</w:t>
      </w:r>
      <w:r>
        <w:rPr>
          <w:rFonts w:eastAsia="仿宋_GB2312"/>
          <w:b/>
          <w:sz w:val="32"/>
          <w:szCs w:val="32"/>
        </w:rPr>
        <w:t xml:space="preserve"> </w:t>
      </w:r>
      <w:r>
        <w:rPr>
          <w:rFonts w:eastAsia="仿宋_GB2312"/>
          <w:sz w:val="32"/>
          <w:szCs w:val="32"/>
        </w:rPr>
        <w:t xml:space="preserve"> </w:t>
      </w:r>
      <w:r>
        <w:rPr>
          <w:rFonts w:hint="eastAsia" w:ascii="仿宋_GB2312" w:eastAsia="仿宋_GB2312" w:cs="仿宋_GB2312"/>
          <w:sz w:val="32"/>
          <w:szCs w:val="32"/>
        </w:rPr>
        <w:t>其它未明确事项，适用现行相关外汇管理规定。</w:t>
      </w:r>
    </w:p>
    <w:p>
      <w:pPr>
        <w:autoSpaceDE w:val="0"/>
        <w:autoSpaceDN w:val="0"/>
        <w:ind w:firstLine="643" w:firstLineChars="200"/>
        <w:rPr>
          <w:rFonts w:eastAsia="仿宋_GB2312"/>
          <w:sz w:val="32"/>
          <w:szCs w:val="32"/>
        </w:rPr>
      </w:pPr>
      <w:r>
        <w:rPr>
          <w:rFonts w:hint="eastAsia" w:ascii="仿宋_GB2312" w:eastAsia="仿宋_GB2312" w:cs="仿宋_GB2312"/>
          <w:b/>
          <w:sz w:val="32"/>
          <w:szCs w:val="32"/>
        </w:rPr>
        <w:t>第十四条</w:t>
      </w:r>
      <w:r>
        <w:rPr>
          <w:rFonts w:eastAsia="仿宋_GB2312"/>
          <w:sz w:val="32"/>
          <w:szCs w:val="32"/>
        </w:rPr>
        <w:t xml:space="preserve">  </w:t>
      </w:r>
      <w:r>
        <w:rPr>
          <w:rFonts w:hint="eastAsia" w:ascii="仿宋_GB2312" w:eastAsia="仿宋_GB2312" w:cs="仿宋_GB2312"/>
          <w:sz w:val="32"/>
          <w:szCs w:val="32"/>
        </w:rPr>
        <w:t>本实施细则自发布之日起实施，由国家外汇管理局安徽省分局负责解释。</w:t>
      </w:r>
    </w:p>
    <w:p>
      <w:pPr>
        <w:widowControl/>
        <w:jc w:val="left"/>
        <w:rPr>
          <w:b/>
          <w:sz w:val="28"/>
          <w:szCs w:val="28"/>
        </w:rPr>
      </w:pPr>
      <w:r>
        <w:rPr>
          <w:rFonts w:eastAsia="黑体"/>
          <w:kern w:val="0"/>
          <w:sz w:val="32"/>
          <w:szCs w:val="32"/>
        </w:rPr>
        <w:br w:type="page"/>
      </w:r>
      <w:r>
        <w:rPr>
          <w:rFonts w:hint="eastAsia" w:ascii="黑体" w:hAnsi="宋体" w:eastAsia="黑体" w:cs="黑体"/>
          <w:kern w:val="0"/>
          <w:sz w:val="32"/>
          <w:szCs w:val="32"/>
        </w:rPr>
        <w:t>附</w:t>
      </w:r>
    </w:p>
    <w:p>
      <w:pPr>
        <w:widowControl/>
        <w:spacing w:line="72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sz w:val="44"/>
          <w:szCs w:val="44"/>
        </w:rPr>
        <w:t>非金融企业外债登记申请表（宏观审慎模式）</w:t>
      </w:r>
    </w:p>
    <w:p>
      <w:pPr>
        <w:ind w:firstLine="6195" w:firstLineChars="2950"/>
        <w:rPr>
          <w:szCs w:val="21"/>
        </w:rPr>
      </w:pPr>
      <w:r>
        <w:rPr>
          <w:szCs w:val="21"/>
        </w:rPr>
        <w:t xml:space="preserve"> </w:t>
      </w:r>
    </w:p>
    <w:tbl>
      <w:tblPr>
        <w:tblW w:w="8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701"/>
        <w:gridCol w:w="1108"/>
        <w:gridCol w:w="28"/>
        <w:gridCol w:w="10"/>
        <w:gridCol w:w="410"/>
        <w:gridCol w:w="948"/>
        <w:gridCol w:w="629"/>
        <w:gridCol w:w="58"/>
        <w:gridCol w:w="75"/>
        <w:gridCol w:w="15"/>
        <w:gridCol w:w="15"/>
        <w:gridCol w:w="100"/>
        <w:gridCol w:w="948"/>
        <w:gridCol w:w="619"/>
        <w:gridCol w:w="13"/>
        <w:gridCol w:w="11"/>
        <w:gridCol w:w="65"/>
        <w:gridCol w:w="25"/>
        <w:gridCol w:w="900"/>
        <w:gridCol w:w="1794"/>
      </w:tblGrid>
      <w:tr>
        <w:trPr>
          <w:cantSplit/>
          <w:trHeight w:val="541" w:hRule="atLeast"/>
          <w:jc w:val="center"/>
        </w:trPr>
        <w:tc>
          <w:tcPr>
            <w:tcW w:w="8472" w:type="dxa"/>
            <w:gridSpan w:val="20"/>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b/>
                <w:sz w:val="24"/>
                <w:szCs w:val="24"/>
              </w:rPr>
            </w:pPr>
            <w:r>
              <w:rPr>
                <w:rFonts w:hint="eastAsia" w:ascii="宋体" w:hAnsi="宋体" w:cs="宋体"/>
                <w:b/>
                <w:sz w:val="24"/>
                <w:szCs w:val="24"/>
              </w:rPr>
              <w:t>一、基本信息</w:t>
            </w:r>
          </w:p>
        </w:tc>
      </w:tr>
      <w:tr>
        <w:trPr>
          <w:cantSplit/>
          <w:trHeight w:val="541" w:hRule="atLeast"/>
          <w:jc w:val="center"/>
        </w:trPr>
        <w:tc>
          <w:tcPr>
            <w:tcW w:w="8472" w:type="dxa"/>
            <w:gridSpan w:val="20"/>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sz w:val="24"/>
                <w:szCs w:val="24"/>
              </w:rPr>
            </w:pPr>
            <w:r>
              <w:rPr>
                <w:rFonts w:hint="eastAsia" w:ascii="宋体" w:hAnsi="宋体" w:cs="宋体"/>
                <w:sz w:val="24"/>
                <w:szCs w:val="24"/>
              </w:rPr>
              <w:t>外债编号（变更登记时填写）：</w:t>
            </w:r>
          </w:p>
        </w:tc>
      </w:tr>
      <w:tr>
        <w:trPr>
          <w:cantSplit/>
          <w:trHeight w:val="541" w:hRule="atLeast"/>
          <w:jc w:val="center"/>
        </w:trPr>
        <w:tc>
          <w:tcPr>
            <w:tcW w:w="8472" w:type="dxa"/>
            <w:gridSpan w:val="20"/>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b/>
                <w:sz w:val="24"/>
                <w:szCs w:val="24"/>
              </w:rPr>
            </w:pPr>
            <w:r>
              <w:rPr>
                <w:rFonts w:hint="eastAsia" w:ascii="宋体" w:hAnsi="宋体" w:cs="宋体"/>
                <w:b/>
                <w:sz w:val="24"/>
                <w:szCs w:val="24"/>
              </w:rPr>
              <w:t>债务人基本信息</w:t>
            </w:r>
          </w:p>
        </w:tc>
      </w:tr>
      <w:tr>
        <w:trPr>
          <w:cantSplit/>
          <w:trHeight w:val="541" w:hRule="atLeast"/>
          <w:jc w:val="center"/>
        </w:trPr>
        <w:tc>
          <w:tcPr>
            <w:tcW w:w="1837"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sz w:val="24"/>
                <w:szCs w:val="24"/>
              </w:rPr>
            </w:pPr>
            <w:r>
              <w:rPr>
                <w:rFonts w:hint="eastAsia" w:ascii="宋体" w:hAnsi="宋体" w:cs="宋体"/>
                <w:sz w:val="24"/>
                <w:szCs w:val="24"/>
              </w:rPr>
              <w:t>统一社会信用代码</w:t>
            </w:r>
          </w:p>
        </w:tc>
        <w:tc>
          <w:tcPr>
            <w:tcW w:w="6635" w:type="dxa"/>
            <w:gridSpan w:val="17"/>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p>
        </w:tc>
      </w:tr>
      <w:tr>
        <w:trPr>
          <w:cantSplit/>
          <w:trHeight w:val="556" w:hRule="atLeast"/>
          <w:jc w:val="center"/>
        </w:trPr>
        <w:tc>
          <w:tcPr>
            <w:tcW w:w="1837"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sz w:val="24"/>
                <w:szCs w:val="24"/>
              </w:rPr>
            </w:pPr>
            <w:r>
              <w:rPr>
                <w:rFonts w:hint="eastAsia" w:ascii="宋体" w:hAnsi="宋体" w:cs="宋体"/>
                <w:sz w:val="24"/>
                <w:szCs w:val="24"/>
              </w:rPr>
              <w:t>债务人名称</w:t>
            </w:r>
          </w:p>
        </w:tc>
        <w:tc>
          <w:tcPr>
            <w:tcW w:w="1997" w:type="dxa"/>
            <w:gridSpan w:val="4"/>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p>
        </w:tc>
        <w:tc>
          <w:tcPr>
            <w:tcW w:w="1854" w:type="dxa"/>
            <w:gridSpan w:val="9"/>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r>
              <w:rPr>
                <w:rFonts w:hint="eastAsia" w:ascii="宋体" w:hAnsi="宋体" w:cs="宋体"/>
                <w:sz w:val="24"/>
                <w:szCs w:val="24"/>
              </w:rPr>
              <w:t>债务人类型</w:t>
            </w:r>
          </w:p>
        </w:tc>
        <w:tc>
          <w:tcPr>
            <w:tcW w:w="2784" w:type="dxa"/>
            <w:gridSpan w:val="4"/>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r>
      <w:tr>
        <w:trPr>
          <w:cantSplit/>
          <w:trHeight w:val="556" w:hRule="atLeast"/>
          <w:jc w:val="center"/>
        </w:trPr>
        <w:tc>
          <w:tcPr>
            <w:tcW w:w="8472" w:type="dxa"/>
            <w:gridSpan w:val="20"/>
            <w:tcBorders>
              <w:top w:val="single" w:color="000000" w:sz="4" w:space="0"/>
              <w:left w:val="single" w:color="000000" w:sz="4" w:space="0"/>
              <w:bottom w:val="single" w:color="000000" w:sz="4" w:space="0"/>
              <w:right w:val="single" w:color="000000" w:sz="4" w:space="0"/>
            </w:tcBorders>
            <w:vAlign w:val="center"/>
          </w:tcPr>
          <w:p>
            <w:pPr>
              <w:keepNext/>
              <w:keepLines/>
              <w:spacing w:line="320" w:lineRule="exact"/>
              <w:jc w:val="left"/>
              <w:outlineLvl w:val="0"/>
              <w:rPr>
                <w:sz w:val="24"/>
                <w:szCs w:val="24"/>
              </w:rPr>
            </w:pPr>
            <w:r>
              <w:rPr>
                <w:rFonts w:hint="eastAsia" w:ascii="宋体" w:hAnsi="宋体" w:cs="宋体"/>
                <w:b/>
                <w:sz w:val="24"/>
                <w:szCs w:val="24"/>
              </w:rPr>
              <w:t>债权人基本信息</w:t>
            </w:r>
          </w:p>
        </w:tc>
      </w:tr>
      <w:tr>
        <w:trPr>
          <w:cantSplit/>
          <w:trHeight w:val="556" w:hRule="atLeast"/>
          <w:jc w:val="center"/>
        </w:trPr>
        <w:tc>
          <w:tcPr>
            <w:tcW w:w="1837" w:type="dxa"/>
            <w:gridSpan w:val="3"/>
            <w:tcBorders>
              <w:top w:val="single" w:color="000000" w:sz="4" w:space="0"/>
              <w:left w:val="single" w:color="000000" w:sz="4" w:space="0"/>
              <w:bottom w:val="single" w:color="000000" w:sz="4" w:space="0"/>
              <w:right w:val="single" w:color="000000" w:sz="4" w:space="0"/>
            </w:tcBorders>
            <w:vAlign w:val="center"/>
          </w:tcPr>
          <w:p>
            <w:pPr>
              <w:keepNext/>
              <w:keepLines/>
              <w:spacing w:line="320" w:lineRule="exact"/>
              <w:jc w:val="center"/>
              <w:outlineLvl w:val="0"/>
              <w:rPr>
                <w:sz w:val="24"/>
                <w:szCs w:val="24"/>
              </w:rPr>
            </w:pPr>
            <w:r>
              <w:rPr>
                <w:rFonts w:hint="eastAsia" w:ascii="宋体" w:hAnsi="宋体" w:cs="宋体"/>
                <w:sz w:val="24"/>
                <w:szCs w:val="24"/>
              </w:rPr>
              <w:t>债权人名称</w:t>
            </w:r>
          </w:p>
        </w:tc>
        <w:tc>
          <w:tcPr>
            <w:tcW w:w="2055" w:type="dxa"/>
            <w:gridSpan w:val="5"/>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c>
          <w:tcPr>
            <w:tcW w:w="1785" w:type="dxa"/>
            <w:gridSpan w:val="7"/>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r>
              <w:rPr>
                <w:rFonts w:hint="eastAsia" w:ascii="宋体" w:hAnsi="宋体" w:cs="宋体"/>
                <w:sz w:val="24"/>
                <w:szCs w:val="24"/>
              </w:rPr>
              <w:t>债权人类型</w:t>
            </w:r>
          </w:p>
        </w:tc>
        <w:tc>
          <w:tcPr>
            <w:tcW w:w="2795" w:type="dxa"/>
            <w:gridSpan w:val="5"/>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r>
      <w:tr>
        <w:trPr>
          <w:cantSplit/>
          <w:trHeight w:val="556" w:hRule="atLeast"/>
          <w:jc w:val="center"/>
        </w:trPr>
        <w:tc>
          <w:tcPr>
            <w:tcW w:w="1837"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sz w:val="24"/>
                <w:szCs w:val="24"/>
              </w:rPr>
            </w:pPr>
            <w:r>
              <w:rPr>
                <w:rFonts w:hint="eastAsia" w:ascii="宋体" w:hAnsi="宋体" w:cs="宋体"/>
                <w:sz w:val="24"/>
                <w:szCs w:val="24"/>
              </w:rPr>
              <w:t>债权人总部所在国家（地区）</w:t>
            </w:r>
          </w:p>
        </w:tc>
        <w:tc>
          <w:tcPr>
            <w:tcW w:w="2055" w:type="dxa"/>
            <w:gridSpan w:val="5"/>
            <w:tcBorders>
              <w:top w:val="single" w:color="000000" w:sz="4" w:space="0"/>
              <w:left w:val="nil"/>
              <w:bottom w:val="single" w:color="000000" w:sz="4" w:space="0"/>
              <w:right w:val="single" w:color="auto" w:sz="4" w:space="0"/>
            </w:tcBorders>
            <w:vAlign w:val="center"/>
          </w:tcPr>
          <w:p>
            <w:pPr>
              <w:keepNext/>
              <w:keepLines/>
              <w:spacing w:line="320" w:lineRule="exact"/>
              <w:jc w:val="center"/>
              <w:outlineLvl w:val="0"/>
              <w:rPr>
                <w:sz w:val="24"/>
                <w:szCs w:val="24"/>
              </w:rPr>
            </w:pPr>
          </w:p>
        </w:tc>
        <w:tc>
          <w:tcPr>
            <w:tcW w:w="1785" w:type="dxa"/>
            <w:gridSpan w:val="7"/>
            <w:tcBorders>
              <w:top w:val="single" w:color="000000" w:sz="4" w:space="0"/>
              <w:left w:val="nil"/>
              <w:bottom w:val="single" w:color="000000" w:sz="4" w:space="0"/>
              <w:right w:val="single" w:color="auto" w:sz="4" w:space="0"/>
            </w:tcBorders>
            <w:vAlign w:val="center"/>
          </w:tcPr>
          <w:p>
            <w:pPr>
              <w:keepNext/>
              <w:keepLines/>
              <w:spacing w:line="320" w:lineRule="exact"/>
              <w:outlineLvl w:val="0"/>
              <w:rPr>
                <w:sz w:val="24"/>
                <w:szCs w:val="24"/>
              </w:rPr>
            </w:pPr>
            <w:r>
              <w:rPr>
                <w:rFonts w:hint="eastAsia" w:ascii="宋体" w:hAnsi="宋体" w:cs="宋体"/>
                <w:sz w:val="24"/>
                <w:szCs w:val="24"/>
              </w:rPr>
              <w:t>债权人经营地所在国家（地区）</w:t>
            </w:r>
          </w:p>
        </w:tc>
        <w:tc>
          <w:tcPr>
            <w:tcW w:w="2795" w:type="dxa"/>
            <w:gridSpan w:val="5"/>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r>
      <w:tr>
        <w:trPr>
          <w:cantSplit/>
          <w:trHeight w:val="704" w:hRule="atLeast"/>
          <w:jc w:val="center"/>
        </w:trPr>
        <w:tc>
          <w:tcPr>
            <w:tcW w:w="8472" w:type="dxa"/>
            <w:gridSpan w:val="20"/>
            <w:tcBorders>
              <w:top w:val="single" w:color="000000" w:sz="4" w:space="0"/>
              <w:left w:val="single" w:color="000000" w:sz="4" w:space="0"/>
              <w:bottom w:val="single" w:color="000000" w:sz="4" w:space="0"/>
              <w:right w:val="single" w:color="000000" w:sz="4" w:space="0"/>
            </w:tcBorders>
            <w:vAlign w:val="center"/>
          </w:tcPr>
          <w:p>
            <w:pPr>
              <w:spacing w:line="320" w:lineRule="exact"/>
              <w:rPr>
                <w:b/>
                <w:sz w:val="24"/>
                <w:szCs w:val="24"/>
              </w:rPr>
            </w:pPr>
            <w:r>
              <w:rPr>
                <w:rFonts w:hint="eastAsia" w:ascii="宋体" w:hAnsi="宋体" w:cs="宋体"/>
                <w:b/>
                <w:sz w:val="24"/>
                <w:szCs w:val="24"/>
              </w:rPr>
              <w:t>二、本笔跨境融资信息</w:t>
            </w:r>
          </w:p>
        </w:tc>
      </w:tr>
      <w:tr>
        <w:trPr>
          <w:cantSplit/>
          <w:trHeight w:val="704" w:hRule="atLeast"/>
          <w:jc w:val="center"/>
        </w:trPr>
        <w:tc>
          <w:tcPr>
            <w:tcW w:w="1837" w:type="dxa"/>
            <w:gridSpan w:val="3"/>
            <w:tcBorders>
              <w:top w:val="single" w:color="000000" w:sz="4" w:space="0"/>
              <w:left w:val="single" w:color="000000" w:sz="4" w:space="0"/>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签约币种</w:t>
            </w:r>
          </w:p>
        </w:tc>
        <w:tc>
          <w:tcPr>
            <w:tcW w:w="2130" w:type="dxa"/>
            <w:gridSpan w:val="6"/>
            <w:tcBorders>
              <w:top w:val="single" w:color="000000" w:sz="4" w:space="0"/>
              <w:left w:val="nil"/>
              <w:bottom w:val="single" w:color="000000" w:sz="4" w:space="0"/>
              <w:right w:val="single" w:color="auto" w:sz="4" w:space="0"/>
            </w:tcBorders>
            <w:vAlign w:val="center"/>
          </w:tcPr>
          <w:p>
            <w:pPr>
              <w:spacing w:line="320" w:lineRule="exact"/>
              <w:jc w:val="center"/>
              <w:rPr>
                <w:sz w:val="24"/>
                <w:szCs w:val="24"/>
              </w:rPr>
            </w:pPr>
          </w:p>
        </w:tc>
        <w:tc>
          <w:tcPr>
            <w:tcW w:w="1697" w:type="dxa"/>
            <w:gridSpan w:val="5"/>
            <w:tcBorders>
              <w:top w:val="single" w:color="000000" w:sz="4" w:space="0"/>
              <w:left w:val="nil"/>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本笔跨境融资签约额</w:t>
            </w:r>
          </w:p>
        </w:tc>
        <w:tc>
          <w:tcPr>
            <w:tcW w:w="2808" w:type="dxa"/>
            <w:gridSpan w:val="6"/>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p>
        </w:tc>
      </w:tr>
      <w:tr>
        <w:trPr>
          <w:cantSplit/>
          <w:trHeight w:val="704" w:hRule="atLeast"/>
          <w:jc w:val="center"/>
        </w:trPr>
        <w:tc>
          <w:tcPr>
            <w:tcW w:w="1837" w:type="dxa"/>
            <w:gridSpan w:val="3"/>
            <w:tcBorders>
              <w:top w:val="single" w:color="000000" w:sz="4" w:space="0"/>
              <w:left w:val="single" w:color="000000" w:sz="4" w:space="0"/>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债务类型</w:t>
            </w:r>
          </w:p>
        </w:tc>
        <w:tc>
          <w:tcPr>
            <w:tcW w:w="2130" w:type="dxa"/>
            <w:gridSpan w:val="6"/>
            <w:tcBorders>
              <w:top w:val="single" w:color="000000" w:sz="4" w:space="0"/>
              <w:left w:val="nil"/>
              <w:bottom w:val="single" w:color="000000" w:sz="4" w:space="0"/>
              <w:right w:val="single" w:color="auto" w:sz="4" w:space="0"/>
            </w:tcBorders>
            <w:vAlign w:val="center"/>
          </w:tcPr>
          <w:p>
            <w:pPr>
              <w:spacing w:line="320" w:lineRule="exact"/>
              <w:jc w:val="center"/>
              <w:rPr>
                <w:sz w:val="24"/>
                <w:szCs w:val="24"/>
              </w:rPr>
            </w:pPr>
          </w:p>
        </w:tc>
        <w:tc>
          <w:tcPr>
            <w:tcW w:w="1697" w:type="dxa"/>
            <w:gridSpan w:val="5"/>
            <w:tcBorders>
              <w:top w:val="single" w:color="000000" w:sz="4" w:space="0"/>
              <w:left w:val="nil"/>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签约日</w:t>
            </w:r>
          </w:p>
        </w:tc>
        <w:tc>
          <w:tcPr>
            <w:tcW w:w="2808" w:type="dxa"/>
            <w:gridSpan w:val="6"/>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p>
        </w:tc>
      </w:tr>
      <w:tr>
        <w:trPr>
          <w:cantSplit/>
          <w:trHeight w:val="704" w:hRule="atLeast"/>
          <w:jc w:val="center"/>
        </w:trPr>
        <w:tc>
          <w:tcPr>
            <w:tcW w:w="1837" w:type="dxa"/>
            <w:gridSpan w:val="3"/>
            <w:tcBorders>
              <w:top w:val="single" w:color="000000" w:sz="4" w:space="0"/>
              <w:left w:val="single" w:color="000000" w:sz="4" w:space="0"/>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起息日</w:t>
            </w:r>
          </w:p>
        </w:tc>
        <w:tc>
          <w:tcPr>
            <w:tcW w:w="2130" w:type="dxa"/>
            <w:gridSpan w:val="6"/>
            <w:tcBorders>
              <w:top w:val="single" w:color="000000" w:sz="4" w:space="0"/>
              <w:left w:val="nil"/>
              <w:bottom w:val="single" w:color="000000" w:sz="4" w:space="0"/>
              <w:right w:val="single" w:color="auto" w:sz="4" w:space="0"/>
            </w:tcBorders>
            <w:vAlign w:val="center"/>
          </w:tcPr>
          <w:p>
            <w:pPr>
              <w:spacing w:line="320" w:lineRule="exact"/>
              <w:jc w:val="center"/>
              <w:rPr>
                <w:sz w:val="24"/>
                <w:szCs w:val="24"/>
              </w:rPr>
            </w:pPr>
          </w:p>
        </w:tc>
        <w:tc>
          <w:tcPr>
            <w:tcW w:w="1697" w:type="dxa"/>
            <w:gridSpan w:val="5"/>
            <w:tcBorders>
              <w:top w:val="single" w:color="000000" w:sz="4" w:space="0"/>
              <w:left w:val="nil"/>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到期日</w:t>
            </w:r>
          </w:p>
        </w:tc>
        <w:tc>
          <w:tcPr>
            <w:tcW w:w="2808" w:type="dxa"/>
            <w:gridSpan w:val="6"/>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p>
        </w:tc>
      </w:tr>
      <w:tr>
        <w:trPr>
          <w:cantSplit/>
          <w:trHeight w:val="704" w:hRule="atLeast"/>
          <w:jc w:val="center"/>
        </w:trPr>
        <w:tc>
          <w:tcPr>
            <w:tcW w:w="1837" w:type="dxa"/>
            <w:gridSpan w:val="3"/>
            <w:tcBorders>
              <w:top w:val="single" w:color="000000" w:sz="4" w:space="0"/>
              <w:left w:val="single" w:color="000000" w:sz="4" w:space="0"/>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本笔跨境融资年利率</w:t>
            </w:r>
          </w:p>
        </w:tc>
        <w:tc>
          <w:tcPr>
            <w:tcW w:w="2130" w:type="dxa"/>
            <w:gridSpan w:val="6"/>
            <w:tcBorders>
              <w:top w:val="single" w:color="000000" w:sz="4" w:space="0"/>
              <w:left w:val="nil"/>
              <w:bottom w:val="single" w:color="000000" w:sz="4" w:space="0"/>
              <w:right w:val="single" w:color="auto" w:sz="4" w:space="0"/>
            </w:tcBorders>
            <w:vAlign w:val="center"/>
          </w:tcPr>
          <w:p>
            <w:pPr>
              <w:spacing w:line="320" w:lineRule="exact"/>
              <w:jc w:val="center"/>
              <w:rPr>
                <w:sz w:val="24"/>
                <w:szCs w:val="24"/>
              </w:rPr>
            </w:pPr>
          </w:p>
        </w:tc>
        <w:tc>
          <w:tcPr>
            <w:tcW w:w="1697" w:type="dxa"/>
            <w:gridSpan w:val="5"/>
            <w:tcBorders>
              <w:top w:val="single" w:color="000000" w:sz="4" w:space="0"/>
              <w:left w:val="nil"/>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是否浮动利率</w:t>
            </w:r>
          </w:p>
        </w:tc>
        <w:tc>
          <w:tcPr>
            <w:tcW w:w="2808" w:type="dxa"/>
            <w:gridSpan w:val="6"/>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r>
              <w:rPr>
                <w:spacing w:val="-9"/>
                <w:sz w:val="18"/>
                <w:szCs w:val="18"/>
              </w:rPr>
              <w:t>□</w:t>
            </w:r>
            <w:r>
              <w:rPr>
                <w:sz w:val="24"/>
                <w:szCs w:val="24"/>
              </w:rPr>
              <w:t xml:space="preserve"> </w:t>
            </w:r>
            <w:r>
              <w:rPr>
                <w:rFonts w:hint="eastAsia" w:ascii="宋体" w:hAnsi="宋体" w:cs="宋体"/>
                <w:sz w:val="24"/>
                <w:szCs w:val="24"/>
              </w:rPr>
              <w:t>是</w:t>
            </w:r>
            <w:r>
              <w:rPr>
                <w:sz w:val="24"/>
                <w:szCs w:val="24"/>
              </w:rPr>
              <w:t xml:space="preserve">  </w:t>
            </w:r>
            <w:r>
              <w:rPr>
                <w:spacing w:val="-9"/>
                <w:sz w:val="18"/>
                <w:szCs w:val="18"/>
              </w:rPr>
              <w:t>□</w:t>
            </w:r>
            <w:r>
              <w:rPr>
                <w:rFonts w:hint="eastAsia" w:ascii="宋体" w:hAnsi="宋体" w:cs="宋体"/>
                <w:sz w:val="24"/>
                <w:szCs w:val="24"/>
              </w:rPr>
              <w:t>否</w:t>
            </w:r>
          </w:p>
        </w:tc>
      </w:tr>
      <w:tr>
        <w:trPr>
          <w:cantSplit/>
          <w:trHeight w:val="704" w:hRule="atLeast"/>
          <w:jc w:val="center"/>
        </w:trPr>
        <w:tc>
          <w:tcPr>
            <w:tcW w:w="1837" w:type="dxa"/>
            <w:gridSpan w:val="3"/>
            <w:tcBorders>
              <w:top w:val="single" w:color="000000" w:sz="4" w:space="0"/>
              <w:left w:val="single" w:color="000000" w:sz="4" w:space="0"/>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是否循环类贷款</w:t>
            </w:r>
          </w:p>
        </w:tc>
        <w:tc>
          <w:tcPr>
            <w:tcW w:w="2130" w:type="dxa"/>
            <w:gridSpan w:val="6"/>
            <w:tcBorders>
              <w:top w:val="single" w:color="000000" w:sz="4" w:space="0"/>
              <w:left w:val="nil"/>
              <w:bottom w:val="single" w:color="000000" w:sz="4" w:space="0"/>
              <w:right w:val="single" w:color="auto" w:sz="4" w:space="0"/>
            </w:tcBorders>
            <w:vAlign w:val="center"/>
          </w:tcPr>
          <w:p>
            <w:pPr>
              <w:spacing w:line="320" w:lineRule="exact"/>
              <w:jc w:val="center"/>
              <w:rPr>
                <w:spacing w:val="-9"/>
                <w:sz w:val="18"/>
                <w:szCs w:val="18"/>
              </w:rPr>
            </w:pPr>
            <w:r>
              <w:rPr>
                <w:spacing w:val="-9"/>
                <w:sz w:val="18"/>
                <w:szCs w:val="18"/>
              </w:rPr>
              <w:t>□</w:t>
            </w:r>
            <w:r>
              <w:rPr>
                <w:sz w:val="24"/>
                <w:szCs w:val="24"/>
              </w:rPr>
              <w:t xml:space="preserve"> </w:t>
            </w:r>
            <w:r>
              <w:rPr>
                <w:rFonts w:hint="eastAsia" w:ascii="宋体" w:hAnsi="宋体" w:cs="宋体"/>
                <w:sz w:val="24"/>
                <w:szCs w:val="24"/>
              </w:rPr>
              <w:t>是</w:t>
            </w:r>
            <w:r>
              <w:rPr>
                <w:sz w:val="24"/>
                <w:szCs w:val="24"/>
              </w:rPr>
              <w:t xml:space="preserve">  </w:t>
            </w:r>
            <w:r>
              <w:rPr>
                <w:spacing w:val="-9"/>
                <w:sz w:val="18"/>
                <w:szCs w:val="18"/>
              </w:rPr>
              <w:t>□</w:t>
            </w:r>
            <w:r>
              <w:rPr>
                <w:rFonts w:hint="eastAsia" w:ascii="宋体" w:hAnsi="宋体" w:cs="宋体"/>
                <w:sz w:val="24"/>
                <w:szCs w:val="24"/>
              </w:rPr>
              <w:t>否</w:t>
            </w:r>
          </w:p>
        </w:tc>
        <w:tc>
          <w:tcPr>
            <w:tcW w:w="1697" w:type="dxa"/>
            <w:gridSpan w:val="5"/>
            <w:tcBorders>
              <w:top w:val="single" w:color="000000" w:sz="4" w:space="0"/>
              <w:left w:val="nil"/>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是否存在提前还款条款</w:t>
            </w:r>
          </w:p>
        </w:tc>
        <w:tc>
          <w:tcPr>
            <w:tcW w:w="2808" w:type="dxa"/>
            <w:gridSpan w:val="6"/>
            <w:tcBorders>
              <w:top w:val="single" w:color="000000" w:sz="4" w:space="0"/>
              <w:left w:val="nil"/>
              <w:bottom w:val="single" w:color="000000" w:sz="4" w:space="0"/>
              <w:right w:val="single" w:color="000000" w:sz="4" w:space="0"/>
            </w:tcBorders>
            <w:vAlign w:val="center"/>
          </w:tcPr>
          <w:p>
            <w:pPr>
              <w:spacing w:line="320" w:lineRule="exact"/>
              <w:jc w:val="center"/>
              <w:rPr>
                <w:spacing w:val="-9"/>
                <w:sz w:val="18"/>
                <w:szCs w:val="18"/>
              </w:rPr>
            </w:pPr>
            <w:r>
              <w:rPr>
                <w:spacing w:val="-9"/>
                <w:sz w:val="18"/>
                <w:szCs w:val="18"/>
              </w:rPr>
              <w:t>□</w:t>
            </w:r>
            <w:r>
              <w:rPr>
                <w:sz w:val="24"/>
                <w:szCs w:val="24"/>
              </w:rPr>
              <w:t xml:space="preserve"> </w:t>
            </w:r>
            <w:r>
              <w:rPr>
                <w:rFonts w:hint="eastAsia" w:ascii="宋体" w:hAnsi="宋体" w:cs="宋体"/>
                <w:sz w:val="24"/>
                <w:szCs w:val="24"/>
              </w:rPr>
              <w:t>是</w:t>
            </w:r>
            <w:r>
              <w:rPr>
                <w:sz w:val="24"/>
                <w:szCs w:val="24"/>
              </w:rPr>
              <w:t xml:space="preserve">  </w:t>
            </w:r>
            <w:r>
              <w:rPr>
                <w:spacing w:val="-9"/>
                <w:sz w:val="18"/>
                <w:szCs w:val="18"/>
              </w:rPr>
              <w:t>□</w:t>
            </w:r>
            <w:r>
              <w:rPr>
                <w:rFonts w:hint="eastAsia" w:ascii="宋体" w:hAnsi="宋体" w:cs="宋体"/>
                <w:sz w:val="24"/>
                <w:szCs w:val="24"/>
              </w:rPr>
              <w:t>否</w:t>
            </w:r>
          </w:p>
        </w:tc>
      </w:tr>
      <w:tr>
        <w:trPr>
          <w:cantSplit/>
          <w:trHeight w:val="704" w:hRule="atLeast"/>
          <w:jc w:val="center"/>
        </w:trPr>
        <w:tc>
          <w:tcPr>
            <w:tcW w:w="1837" w:type="dxa"/>
            <w:gridSpan w:val="3"/>
            <w:tcBorders>
              <w:top w:val="single" w:color="000000" w:sz="4" w:space="0"/>
              <w:left w:val="single" w:color="000000" w:sz="4" w:space="0"/>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是否有利息本金化条款</w:t>
            </w:r>
          </w:p>
        </w:tc>
        <w:tc>
          <w:tcPr>
            <w:tcW w:w="2130" w:type="dxa"/>
            <w:gridSpan w:val="6"/>
            <w:tcBorders>
              <w:top w:val="single" w:color="000000" w:sz="4" w:space="0"/>
              <w:left w:val="nil"/>
              <w:bottom w:val="single" w:color="000000" w:sz="4" w:space="0"/>
              <w:right w:val="single" w:color="auto" w:sz="4" w:space="0"/>
            </w:tcBorders>
            <w:vAlign w:val="center"/>
          </w:tcPr>
          <w:p>
            <w:pPr>
              <w:spacing w:line="320" w:lineRule="exact"/>
              <w:jc w:val="center"/>
              <w:rPr>
                <w:sz w:val="24"/>
                <w:szCs w:val="24"/>
              </w:rPr>
            </w:pPr>
            <w:r>
              <w:rPr>
                <w:spacing w:val="-9"/>
                <w:sz w:val="18"/>
                <w:szCs w:val="18"/>
              </w:rPr>
              <w:t>□</w:t>
            </w:r>
            <w:r>
              <w:rPr>
                <w:sz w:val="24"/>
                <w:szCs w:val="24"/>
              </w:rPr>
              <w:t xml:space="preserve"> </w:t>
            </w:r>
            <w:r>
              <w:rPr>
                <w:rFonts w:hint="eastAsia" w:ascii="宋体" w:hAnsi="宋体" w:cs="宋体"/>
                <w:sz w:val="24"/>
                <w:szCs w:val="24"/>
              </w:rPr>
              <w:t>是</w:t>
            </w:r>
            <w:r>
              <w:rPr>
                <w:sz w:val="24"/>
                <w:szCs w:val="24"/>
              </w:rPr>
              <w:t xml:space="preserve">  </w:t>
            </w:r>
            <w:r>
              <w:rPr>
                <w:spacing w:val="-9"/>
                <w:sz w:val="18"/>
                <w:szCs w:val="18"/>
              </w:rPr>
              <w:t>□</w:t>
            </w:r>
            <w:r>
              <w:rPr>
                <w:rFonts w:hint="eastAsia" w:ascii="宋体" w:hAnsi="宋体" w:cs="宋体"/>
                <w:sz w:val="24"/>
                <w:szCs w:val="24"/>
              </w:rPr>
              <w:t>否</w:t>
            </w:r>
          </w:p>
        </w:tc>
        <w:tc>
          <w:tcPr>
            <w:tcW w:w="1697" w:type="dxa"/>
            <w:gridSpan w:val="5"/>
            <w:tcBorders>
              <w:top w:val="single" w:color="000000" w:sz="4" w:space="0"/>
              <w:left w:val="nil"/>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是否有交叉违约条款</w:t>
            </w:r>
          </w:p>
        </w:tc>
        <w:tc>
          <w:tcPr>
            <w:tcW w:w="2808" w:type="dxa"/>
            <w:gridSpan w:val="6"/>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r>
              <w:rPr>
                <w:spacing w:val="-9"/>
                <w:sz w:val="18"/>
                <w:szCs w:val="18"/>
              </w:rPr>
              <w:t>□</w:t>
            </w:r>
            <w:r>
              <w:rPr>
                <w:sz w:val="24"/>
                <w:szCs w:val="24"/>
              </w:rPr>
              <w:t xml:space="preserve"> </w:t>
            </w:r>
            <w:r>
              <w:rPr>
                <w:rFonts w:hint="eastAsia" w:ascii="宋体" w:hAnsi="宋体" w:cs="宋体"/>
                <w:sz w:val="24"/>
                <w:szCs w:val="24"/>
              </w:rPr>
              <w:t>是</w:t>
            </w:r>
            <w:r>
              <w:rPr>
                <w:sz w:val="24"/>
                <w:szCs w:val="24"/>
              </w:rPr>
              <w:t xml:space="preserve"> </w:t>
            </w:r>
            <w:r>
              <w:rPr>
                <w:spacing w:val="-9"/>
                <w:sz w:val="18"/>
                <w:szCs w:val="18"/>
              </w:rPr>
              <w:t>□</w:t>
            </w:r>
            <w:r>
              <w:rPr>
                <w:rFonts w:hint="eastAsia" w:ascii="宋体" w:hAnsi="宋体" w:cs="宋体"/>
                <w:sz w:val="24"/>
                <w:szCs w:val="24"/>
              </w:rPr>
              <w:t>否</w:t>
            </w:r>
          </w:p>
        </w:tc>
      </w:tr>
      <w:tr>
        <w:trPr>
          <w:cantSplit/>
          <w:trHeight w:val="704" w:hRule="atLeast"/>
          <w:jc w:val="center"/>
        </w:trPr>
        <w:tc>
          <w:tcPr>
            <w:tcW w:w="1837" w:type="dxa"/>
            <w:gridSpan w:val="3"/>
            <w:tcBorders>
              <w:top w:val="single" w:color="000000" w:sz="4" w:space="0"/>
              <w:left w:val="single" w:color="000000" w:sz="4" w:space="0"/>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是否存在加速到期条款</w:t>
            </w:r>
          </w:p>
        </w:tc>
        <w:tc>
          <w:tcPr>
            <w:tcW w:w="2130" w:type="dxa"/>
            <w:gridSpan w:val="6"/>
            <w:tcBorders>
              <w:top w:val="single" w:color="000000" w:sz="4" w:space="0"/>
              <w:left w:val="nil"/>
              <w:bottom w:val="single" w:color="000000" w:sz="4" w:space="0"/>
              <w:right w:val="single" w:color="auto" w:sz="4" w:space="0"/>
            </w:tcBorders>
            <w:vAlign w:val="center"/>
          </w:tcPr>
          <w:p>
            <w:pPr>
              <w:spacing w:line="320" w:lineRule="exact"/>
              <w:jc w:val="center"/>
              <w:rPr>
                <w:sz w:val="24"/>
                <w:szCs w:val="24"/>
              </w:rPr>
            </w:pPr>
            <w:r>
              <w:rPr>
                <w:spacing w:val="-9"/>
                <w:sz w:val="18"/>
                <w:szCs w:val="18"/>
              </w:rPr>
              <w:t>□</w:t>
            </w:r>
            <w:r>
              <w:rPr>
                <w:sz w:val="24"/>
                <w:szCs w:val="24"/>
              </w:rPr>
              <w:t xml:space="preserve"> </w:t>
            </w:r>
            <w:r>
              <w:rPr>
                <w:rFonts w:hint="eastAsia" w:ascii="宋体" w:hAnsi="宋体" w:cs="宋体"/>
                <w:sz w:val="24"/>
                <w:szCs w:val="24"/>
              </w:rPr>
              <w:t>是</w:t>
            </w:r>
            <w:r>
              <w:rPr>
                <w:sz w:val="24"/>
                <w:szCs w:val="24"/>
              </w:rPr>
              <w:t xml:space="preserve">  </w:t>
            </w:r>
            <w:r>
              <w:rPr>
                <w:spacing w:val="-9"/>
                <w:sz w:val="18"/>
                <w:szCs w:val="18"/>
              </w:rPr>
              <w:t>□</w:t>
            </w:r>
            <w:r>
              <w:rPr>
                <w:rFonts w:hint="eastAsia" w:ascii="宋体" w:hAnsi="宋体" w:cs="宋体"/>
                <w:sz w:val="24"/>
                <w:szCs w:val="24"/>
              </w:rPr>
              <w:t>否</w:t>
            </w:r>
          </w:p>
        </w:tc>
        <w:tc>
          <w:tcPr>
            <w:tcW w:w="1697" w:type="dxa"/>
            <w:gridSpan w:val="5"/>
            <w:tcBorders>
              <w:top w:val="single" w:color="000000" w:sz="4" w:space="0"/>
              <w:left w:val="nil"/>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是否外保内贷履约</w:t>
            </w:r>
          </w:p>
        </w:tc>
        <w:tc>
          <w:tcPr>
            <w:tcW w:w="2808" w:type="dxa"/>
            <w:gridSpan w:val="6"/>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r>
              <w:rPr>
                <w:spacing w:val="-9"/>
                <w:sz w:val="18"/>
                <w:szCs w:val="18"/>
              </w:rPr>
              <w:t>□</w:t>
            </w:r>
            <w:r>
              <w:rPr>
                <w:sz w:val="24"/>
                <w:szCs w:val="24"/>
              </w:rPr>
              <w:t xml:space="preserve"> </w:t>
            </w:r>
            <w:r>
              <w:rPr>
                <w:rFonts w:hint="eastAsia" w:ascii="宋体" w:hAnsi="宋体" w:cs="宋体"/>
                <w:sz w:val="24"/>
                <w:szCs w:val="24"/>
              </w:rPr>
              <w:t>是</w:t>
            </w:r>
            <w:r>
              <w:rPr>
                <w:sz w:val="24"/>
                <w:szCs w:val="24"/>
              </w:rPr>
              <w:t xml:space="preserve"> </w:t>
            </w:r>
            <w:r>
              <w:rPr>
                <w:spacing w:val="-9"/>
                <w:sz w:val="18"/>
                <w:szCs w:val="18"/>
              </w:rPr>
              <w:t>□</w:t>
            </w:r>
            <w:r>
              <w:rPr>
                <w:rFonts w:hint="eastAsia" w:ascii="宋体" w:hAnsi="宋体" w:cs="宋体"/>
                <w:sz w:val="24"/>
                <w:szCs w:val="24"/>
              </w:rPr>
              <w:t>否</w:t>
            </w:r>
          </w:p>
        </w:tc>
      </w:tr>
      <w:tr>
        <w:trPr>
          <w:cantSplit/>
          <w:trHeight w:val="704" w:hRule="atLeast"/>
          <w:jc w:val="center"/>
        </w:trPr>
        <w:tc>
          <w:tcPr>
            <w:tcW w:w="1837" w:type="dxa"/>
            <w:gridSpan w:val="3"/>
            <w:tcBorders>
              <w:top w:val="single" w:color="000000" w:sz="4" w:space="0"/>
              <w:left w:val="single" w:color="000000" w:sz="4" w:space="0"/>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是否为境内银行离岸部贷款</w:t>
            </w:r>
          </w:p>
        </w:tc>
        <w:tc>
          <w:tcPr>
            <w:tcW w:w="6635" w:type="dxa"/>
            <w:gridSpan w:val="17"/>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r>
              <w:rPr>
                <w:spacing w:val="-9"/>
                <w:sz w:val="18"/>
                <w:szCs w:val="18"/>
              </w:rPr>
              <w:t>□</w:t>
            </w:r>
            <w:r>
              <w:rPr>
                <w:sz w:val="24"/>
                <w:szCs w:val="24"/>
              </w:rPr>
              <w:t xml:space="preserve"> </w:t>
            </w:r>
            <w:r>
              <w:rPr>
                <w:rFonts w:hint="eastAsia" w:ascii="宋体" w:hAnsi="宋体" w:cs="宋体"/>
                <w:sz w:val="24"/>
                <w:szCs w:val="24"/>
              </w:rPr>
              <w:t>是</w:t>
            </w:r>
            <w:r>
              <w:rPr>
                <w:sz w:val="24"/>
                <w:szCs w:val="24"/>
              </w:rPr>
              <w:t xml:space="preserve">  </w:t>
            </w:r>
            <w:r>
              <w:rPr>
                <w:spacing w:val="-9"/>
                <w:sz w:val="18"/>
                <w:szCs w:val="18"/>
              </w:rPr>
              <w:t>□</w:t>
            </w:r>
            <w:r>
              <w:rPr>
                <w:rFonts w:hint="eastAsia" w:ascii="宋体" w:hAnsi="宋体" w:cs="宋体"/>
                <w:sz w:val="24"/>
                <w:szCs w:val="24"/>
              </w:rPr>
              <w:t>否</w:t>
            </w:r>
          </w:p>
        </w:tc>
      </w:tr>
      <w:tr>
        <w:trPr>
          <w:cantSplit/>
          <w:trHeight w:val="704" w:hRule="atLeast"/>
          <w:jc w:val="center"/>
        </w:trPr>
        <w:tc>
          <w:tcPr>
            <w:tcW w:w="1837" w:type="dxa"/>
            <w:gridSpan w:val="3"/>
            <w:tcBorders>
              <w:top w:val="single" w:color="000000" w:sz="4" w:space="0"/>
              <w:left w:val="single" w:color="000000" w:sz="4" w:space="0"/>
              <w:bottom w:val="single" w:color="000000" w:sz="4" w:space="0"/>
              <w:right w:val="single" w:color="auto" w:sz="4" w:space="0"/>
            </w:tcBorders>
            <w:vAlign w:val="center"/>
          </w:tcPr>
          <w:p>
            <w:pPr>
              <w:spacing w:line="320" w:lineRule="exact"/>
              <w:rPr>
                <w:sz w:val="24"/>
                <w:szCs w:val="24"/>
              </w:rPr>
            </w:pPr>
            <w:r>
              <w:rPr>
                <w:rFonts w:hint="eastAsia" w:ascii="宋体" w:hAnsi="宋体" w:cs="宋体"/>
                <w:sz w:val="24"/>
                <w:szCs w:val="24"/>
              </w:rPr>
              <w:t>是否占用外债额度</w:t>
            </w:r>
          </w:p>
        </w:tc>
        <w:tc>
          <w:tcPr>
            <w:tcW w:w="2160" w:type="dxa"/>
            <w:gridSpan w:val="8"/>
            <w:tcBorders>
              <w:top w:val="single" w:color="000000" w:sz="4" w:space="0"/>
              <w:left w:val="nil"/>
              <w:bottom w:val="single" w:color="000000" w:sz="4" w:space="0"/>
              <w:right w:val="single" w:color="auto" w:sz="4" w:space="0"/>
            </w:tcBorders>
            <w:vAlign w:val="center"/>
          </w:tcPr>
          <w:p>
            <w:pPr>
              <w:spacing w:line="320" w:lineRule="exact"/>
              <w:jc w:val="center"/>
              <w:rPr>
                <w:spacing w:val="-9"/>
                <w:sz w:val="18"/>
                <w:szCs w:val="18"/>
              </w:rPr>
            </w:pPr>
            <w:r>
              <w:rPr>
                <w:spacing w:val="-9"/>
                <w:sz w:val="18"/>
                <w:szCs w:val="18"/>
              </w:rPr>
              <w:t>□</w:t>
            </w:r>
            <w:r>
              <w:rPr>
                <w:sz w:val="24"/>
                <w:szCs w:val="24"/>
              </w:rPr>
              <w:t xml:space="preserve"> </w:t>
            </w:r>
            <w:r>
              <w:rPr>
                <w:rFonts w:hint="eastAsia" w:ascii="宋体" w:hAnsi="宋体" w:cs="宋体"/>
                <w:sz w:val="24"/>
                <w:szCs w:val="24"/>
              </w:rPr>
              <w:t>是</w:t>
            </w:r>
            <w:r>
              <w:rPr>
                <w:sz w:val="24"/>
                <w:szCs w:val="24"/>
              </w:rPr>
              <w:t xml:space="preserve">  </w:t>
            </w:r>
            <w:r>
              <w:rPr>
                <w:spacing w:val="-9"/>
                <w:sz w:val="18"/>
                <w:szCs w:val="18"/>
              </w:rPr>
              <w:t>□</w:t>
            </w:r>
            <w:r>
              <w:rPr>
                <w:rFonts w:hint="eastAsia" w:ascii="宋体" w:hAnsi="宋体" w:cs="宋体"/>
                <w:sz w:val="24"/>
                <w:szCs w:val="24"/>
              </w:rPr>
              <w:t>否</w:t>
            </w:r>
          </w:p>
        </w:tc>
        <w:tc>
          <w:tcPr>
            <w:tcW w:w="1680" w:type="dxa"/>
            <w:gridSpan w:val="4"/>
            <w:tcBorders>
              <w:top w:val="single" w:color="000000" w:sz="4" w:space="0"/>
              <w:left w:val="nil"/>
              <w:bottom w:val="single" w:color="000000" w:sz="4" w:space="0"/>
              <w:right w:val="single" w:color="auto" w:sz="4" w:space="0"/>
            </w:tcBorders>
            <w:vAlign w:val="center"/>
          </w:tcPr>
          <w:p>
            <w:pPr>
              <w:spacing w:line="320" w:lineRule="exact"/>
              <w:jc w:val="center"/>
              <w:rPr>
                <w:spacing w:val="-9"/>
                <w:sz w:val="18"/>
                <w:szCs w:val="18"/>
              </w:rPr>
            </w:pPr>
            <w:r>
              <w:rPr>
                <w:rFonts w:hint="eastAsia" w:ascii="宋体" w:hAnsi="宋体" w:cs="宋体"/>
                <w:sz w:val="24"/>
                <w:szCs w:val="24"/>
              </w:rPr>
              <w:t>豁免类型</w:t>
            </w:r>
          </w:p>
        </w:tc>
        <w:tc>
          <w:tcPr>
            <w:tcW w:w="2795" w:type="dxa"/>
            <w:gridSpan w:val="5"/>
            <w:tcBorders>
              <w:top w:val="single" w:color="000000" w:sz="4" w:space="0"/>
              <w:left w:val="nil"/>
              <w:bottom w:val="single" w:color="000000" w:sz="4" w:space="0"/>
              <w:right w:val="single" w:color="000000" w:sz="4" w:space="0"/>
            </w:tcBorders>
            <w:vAlign w:val="center"/>
          </w:tcPr>
          <w:p>
            <w:pPr>
              <w:spacing w:line="320" w:lineRule="exact"/>
              <w:jc w:val="center"/>
              <w:rPr>
                <w:spacing w:val="-9"/>
                <w:sz w:val="18"/>
                <w:szCs w:val="18"/>
              </w:rPr>
            </w:pPr>
          </w:p>
        </w:tc>
      </w:tr>
      <w:tr>
        <w:trPr>
          <w:cantSplit/>
          <w:trHeight w:val="704" w:hRule="atLeast"/>
          <w:jc w:val="center"/>
        </w:trPr>
        <w:tc>
          <w:tcPr>
            <w:tcW w:w="1847" w:type="dxa"/>
            <w:gridSpan w:val="4"/>
            <w:tcBorders>
              <w:top w:val="single" w:color="000000" w:sz="4" w:space="0"/>
              <w:left w:val="single" w:color="000000" w:sz="4" w:space="0"/>
              <w:bottom w:val="single" w:color="000000" w:sz="4" w:space="0"/>
              <w:right w:val="single" w:color="auto" w:sz="4" w:space="0"/>
            </w:tcBorders>
            <w:vAlign w:val="center"/>
          </w:tcPr>
          <w:p>
            <w:pPr>
              <w:spacing w:line="320" w:lineRule="exact"/>
              <w:jc w:val="left"/>
              <w:rPr>
                <w:sz w:val="24"/>
                <w:szCs w:val="24"/>
              </w:rPr>
            </w:pPr>
            <w:r>
              <w:rPr>
                <w:rFonts w:hint="eastAsia" w:ascii="宋体" w:hAnsi="宋体" w:cs="宋体"/>
                <w:sz w:val="24"/>
                <w:szCs w:val="24"/>
              </w:rPr>
              <w:t>是否内保外贷资金调回境内</w:t>
            </w:r>
          </w:p>
        </w:tc>
        <w:tc>
          <w:tcPr>
            <w:tcW w:w="6625" w:type="dxa"/>
            <w:gridSpan w:val="16"/>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r>
              <w:rPr>
                <w:spacing w:val="-9"/>
                <w:sz w:val="18"/>
                <w:szCs w:val="18"/>
              </w:rPr>
              <w:t>□</w:t>
            </w:r>
            <w:r>
              <w:rPr>
                <w:sz w:val="24"/>
                <w:szCs w:val="24"/>
              </w:rPr>
              <w:t xml:space="preserve"> </w:t>
            </w:r>
            <w:r>
              <w:rPr>
                <w:rFonts w:hint="eastAsia" w:ascii="宋体" w:hAnsi="宋体" w:cs="宋体"/>
                <w:sz w:val="24"/>
                <w:szCs w:val="24"/>
              </w:rPr>
              <w:t>是</w:t>
            </w:r>
            <w:r>
              <w:rPr>
                <w:sz w:val="24"/>
                <w:szCs w:val="24"/>
              </w:rPr>
              <w:t xml:space="preserve">  </w:t>
            </w:r>
            <w:r>
              <w:rPr>
                <w:spacing w:val="-9"/>
                <w:sz w:val="18"/>
                <w:szCs w:val="18"/>
              </w:rPr>
              <w:t>□</w:t>
            </w:r>
            <w:r>
              <w:rPr>
                <w:rFonts w:hint="eastAsia" w:ascii="宋体" w:hAnsi="宋体" w:cs="宋体"/>
                <w:sz w:val="24"/>
                <w:szCs w:val="24"/>
              </w:rPr>
              <w:t>否</w:t>
            </w:r>
          </w:p>
        </w:tc>
      </w:tr>
      <w:tr>
        <w:trPr>
          <w:cantSplit/>
          <w:trHeight w:val="704" w:hRule="atLeast"/>
          <w:jc w:val="center"/>
        </w:trPr>
        <w:tc>
          <w:tcPr>
            <w:tcW w:w="1837" w:type="dxa"/>
            <w:gridSpan w:val="3"/>
            <w:tcBorders>
              <w:top w:val="single" w:color="000000" w:sz="4" w:space="0"/>
              <w:left w:val="single" w:color="000000" w:sz="4" w:space="0"/>
              <w:bottom w:val="single" w:color="000000" w:sz="4" w:space="0"/>
              <w:right w:val="single" w:color="auto" w:sz="4" w:space="0"/>
            </w:tcBorders>
            <w:vAlign w:val="center"/>
          </w:tcPr>
          <w:p>
            <w:pPr>
              <w:spacing w:line="320" w:lineRule="exact"/>
              <w:jc w:val="left"/>
              <w:rPr>
                <w:spacing w:val="-9"/>
                <w:sz w:val="18"/>
                <w:szCs w:val="18"/>
              </w:rPr>
            </w:pPr>
            <w:r>
              <w:rPr>
                <w:rFonts w:hint="eastAsia" w:ascii="宋体" w:hAnsi="宋体" w:cs="宋体"/>
                <w:sz w:val="24"/>
                <w:szCs w:val="24"/>
              </w:rPr>
              <w:t>内保外贷业务编号</w:t>
            </w:r>
          </w:p>
        </w:tc>
        <w:tc>
          <w:tcPr>
            <w:tcW w:w="2055" w:type="dxa"/>
            <w:gridSpan w:val="5"/>
            <w:tcBorders>
              <w:top w:val="single" w:color="000000" w:sz="4" w:space="0"/>
              <w:left w:val="nil"/>
              <w:bottom w:val="single" w:color="000000" w:sz="4" w:space="0"/>
              <w:right w:val="single" w:color="auto" w:sz="4" w:space="0"/>
            </w:tcBorders>
            <w:vAlign w:val="center"/>
          </w:tcPr>
          <w:p>
            <w:pPr>
              <w:spacing w:line="320" w:lineRule="exact"/>
              <w:jc w:val="center"/>
              <w:rPr>
                <w:spacing w:val="-9"/>
                <w:sz w:val="18"/>
                <w:szCs w:val="18"/>
              </w:rPr>
            </w:pPr>
          </w:p>
        </w:tc>
        <w:tc>
          <w:tcPr>
            <w:tcW w:w="1785" w:type="dxa"/>
            <w:gridSpan w:val="7"/>
            <w:tcBorders>
              <w:top w:val="single" w:color="000000" w:sz="4" w:space="0"/>
              <w:left w:val="nil"/>
              <w:bottom w:val="single" w:color="000000" w:sz="4" w:space="0"/>
              <w:right w:val="single" w:color="auto" w:sz="4" w:space="0"/>
            </w:tcBorders>
            <w:vAlign w:val="center"/>
          </w:tcPr>
          <w:p>
            <w:pPr>
              <w:spacing w:line="320" w:lineRule="exact"/>
              <w:jc w:val="left"/>
              <w:rPr>
                <w:spacing w:val="-9"/>
                <w:sz w:val="18"/>
                <w:szCs w:val="18"/>
              </w:rPr>
            </w:pPr>
            <w:r>
              <w:rPr>
                <w:rFonts w:hint="eastAsia" w:ascii="宋体" w:hAnsi="宋体" w:cs="宋体"/>
                <w:sz w:val="24"/>
                <w:szCs w:val="24"/>
              </w:rPr>
              <w:t>调回金额占比（</w:t>
            </w:r>
            <w:r>
              <w:rPr>
                <w:sz w:val="24"/>
                <w:szCs w:val="24"/>
              </w:rPr>
              <w:t>%</w:t>
            </w:r>
            <w:r>
              <w:rPr>
                <w:rFonts w:hint="eastAsia" w:ascii="宋体" w:hAnsi="宋体" w:cs="宋体"/>
                <w:sz w:val="24"/>
                <w:szCs w:val="24"/>
              </w:rPr>
              <w:t>）</w:t>
            </w:r>
          </w:p>
        </w:tc>
        <w:tc>
          <w:tcPr>
            <w:tcW w:w="2795" w:type="dxa"/>
            <w:gridSpan w:val="5"/>
            <w:tcBorders>
              <w:top w:val="single" w:color="000000" w:sz="4" w:space="0"/>
              <w:left w:val="nil"/>
              <w:bottom w:val="single" w:color="000000" w:sz="4" w:space="0"/>
              <w:right w:val="single" w:color="000000" w:sz="4" w:space="0"/>
            </w:tcBorders>
            <w:vAlign w:val="center"/>
          </w:tcPr>
          <w:p>
            <w:pPr>
              <w:spacing w:line="320" w:lineRule="exact"/>
              <w:jc w:val="center"/>
              <w:rPr>
                <w:spacing w:val="-9"/>
                <w:sz w:val="18"/>
                <w:szCs w:val="18"/>
              </w:rPr>
            </w:pPr>
          </w:p>
        </w:tc>
      </w:tr>
      <w:tr>
        <w:trPr>
          <w:cantSplit/>
          <w:trHeight w:val="704" w:hRule="atLeast"/>
          <w:jc w:val="center"/>
        </w:trPr>
        <w:tc>
          <w:tcPr>
            <w:tcW w:w="1837" w:type="dxa"/>
            <w:gridSpan w:val="3"/>
            <w:tcBorders>
              <w:top w:val="single" w:color="000000" w:sz="4" w:space="0"/>
              <w:left w:val="single" w:color="000000" w:sz="4" w:space="0"/>
              <w:bottom w:val="single" w:color="000000" w:sz="4" w:space="0"/>
              <w:right w:val="single" w:color="auto" w:sz="4" w:space="0"/>
            </w:tcBorders>
            <w:vAlign w:val="center"/>
          </w:tcPr>
          <w:p>
            <w:pPr>
              <w:spacing w:line="320" w:lineRule="exact"/>
              <w:jc w:val="left"/>
              <w:rPr>
                <w:sz w:val="24"/>
                <w:szCs w:val="24"/>
              </w:rPr>
            </w:pPr>
            <w:r>
              <w:rPr>
                <w:rFonts w:hint="eastAsia" w:ascii="宋体" w:hAnsi="宋体" w:cs="宋体"/>
                <w:sz w:val="24"/>
                <w:szCs w:val="24"/>
              </w:rPr>
              <w:t>跨境融资资金用途</w:t>
            </w:r>
          </w:p>
        </w:tc>
        <w:tc>
          <w:tcPr>
            <w:tcW w:w="6635" w:type="dxa"/>
            <w:gridSpan w:val="17"/>
            <w:tcBorders>
              <w:top w:val="single" w:color="000000" w:sz="4" w:space="0"/>
              <w:left w:val="nil"/>
              <w:bottom w:val="single" w:color="000000" w:sz="4" w:space="0"/>
              <w:right w:val="single" w:color="000000" w:sz="4" w:space="0"/>
            </w:tcBorders>
            <w:vAlign w:val="center"/>
          </w:tcPr>
          <w:p>
            <w:pPr>
              <w:spacing w:line="320" w:lineRule="exact"/>
              <w:jc w:val="center"/>
              <w:rPr>
                <w:spacing w:val="-9"/>
                <w:sz w:val="18"/>
                <w:szCs w:val="18"/>
              </w:rPr>
            </w:pPr>
          </w:p>
        </w:tc>
      </w:tr>
      <w:tr>
        <w:trPr>
          <w:cantSplit/>
          <w:trHeight w:val="704" w:hRule="atLeast"/>
          <w:jc w:val="center"/>
        </w:trPr>
        <w:tc>
          <w:tcPr>
            <w:tcW w:w="1837" w:type="dxa"/>
            <w:gridSpan w:val="3"/>
            <w:tcBorders>
              <w:top w:val="single" w:color="000000" w:sz="4" w:space="0"/>
              <w:left w:val="single" w:color="000000" w:sz="4" w:space="0"/>
              <w:bottom w:val="single" w:color="000000" w:sz="4" w:space="0"/>
              <w:right w:val="single" w:color="auto" w:sz="4" w:space="0"/>
            </w:tcBorders>
            <w:vAlign w:val="center"/>
          </w:tcPr>
          <w:p>
            <w:pPr>
              <w:spacing w:line="320" w:lineRule="exact"/>
              <w:jc w:val="left"/>
              <w:rPr>
                <w:sz w:val="24"/>
                <w:szCs w:val="24"/>
              </w:rPr>
            </w:pPr>
            <w:r>
              <w:rPr>
                <w:rFonts w:hint="eastAsia" w:ascii="宋体" w:hAnsi="宋体" w:cs="宋体"/>
                <w:sz w:val="24"/>
                <w:szCs w:val="24"/>
              </w:rPr>
              <w:t>跨境融资还款来源</w:t>
            </w:r>
          </w:p>
        </w:tc>
        <w:tc>
          <w:tcPr>
            <w:tcW w:w="6635" w:type="dxa"/>
            <w:gridSpan w:val="17"/>
            <w:tcBorders>
              <w:top w:val="single" w:color="000000" w:sz="4" w:space="0"/>
              <w:left w:val="nil"/>
              <w:bottom w:val="single" w:color="000000" w:sz="4" w:space="0"/>
              <w:right w:val="single" w:color="000000" w:sz="4" w:space="0"/>
            </w:tcBorders>
            <w:vAlign w:val="center"/>
          </w:tcPr>
          <w:p>
            <w:pPr>
              <w:spacing w:line="320" w:lineRule="exact"/>
              <w:jc w:val="center"/>
              <w:rPr>
                <w:spacing w:val="-9"/>
                <w:sz w:val="18"/>
                <w:szCs w:val="18"/>
              </w:rPr>
            </w:pPr>
          </w:p>
        </w:tc>
      </w:tr>
      <w:tr>
        <w:trPr>
          <w:cantSplit/>
          <w:trHeight w:val="564" w:hRule="atLeast"/>
          <w:jc w:val="center"/>
        </w:trPr>
        <w:tc>
          <w:tcPr>
            <w:tcW w:w="8472" w:type="dxa"/>
            <w:gridSpan w:val="20"/>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b/>
                <w:sz w:val="24"/>
                <w:szCs w:val="24"/>
              </w:rPr>
            </w:pPr>
            <w:r>
              <w:rPr>
                <w:rFonts w:hint="eastAsia" w:ascii="宋体" w:hAnsi="宋体" w:cs="宋体"/>
                <w:b/>
                <w:sz w:val="24"/>
                <w:szCs w:val="24"/>
              </w:rPr>
              <w:t>三、跨境融资风险加权余额</w:t>
            </w:r>
          </w:p>
        </w:tc>
      </w:tr>
      <w:tr>
        <w:trPr>
          <w:cantSplit/>
          <w:trHeight w:val="564" w:hRule="atLeast"/>
          <w:jc w:val="center"/>
        </w:trPr>
        <w:tc>
          <w:tcPr>
            <w:tcW w:w="8472" w:type="dxa"/>
            <w:gridSpan w:val="20"/>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b/>
                <w:sz w:val="24"/>
                <w:szCs w:val="24"/>
              </w:rPr>
            </w:pPr>
            <w:r>
              <w:rPr>
                <w:rFonts w:hint="eastAsia" w:ascii="宋体" w:hAnsi="宋体" w:cs="宋体"/>
                <w:b/>
                <w:sz w:val="24"/>
                <w:szCs w:val="24"/>
              </w:rPr>
              <w:t>跨境融资风险加权余额上限（单位：万元人民币）</w:t>
            </w:r>
          </w:p>
        </w:tc>
      </w:tr>
      <w:tr>
        <w:trPr>
          <w:cantSplit/>
          <w:trHeight w:val="564" w:hRule="atLeast"/>
          <w:jc w:val="center"/>
        </w:trPr>
        <w:tc>
          <w:tcPr>
            <w:tcW w:w="180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sz w:val="24"/>
                <w:szCs w:val="24"/>
              </w:rPr>
            </w:pPr>
            <w:r>
              <w:rPr>
                <w:rFonts w:hint="eastAsia" w:ascii="宋体" w:hAnsi="宋体" w:cs="宋体"/>
                <w:sz w:val="24"/>
                <w:szCs w:val="24"/>
              </w:rPr>
              <w:t>净资产</w:t>
            </w:r>
          </w:p>
        </w:tc>
        <w:tc>
          <w:tcPr>
            <w:tcW w:w="2173" w:type="dxa"/>
            <w:gridSpan w:val="8"/>
            <w:tcBorders>
              <w:top w:val="single" w:color="000000" w:sz="4" w:space="0"/>
              <w:left w:val="nil"/>
              <w:bottom w:val="single" w:color="000000" w:sz="4" w:space="0"/>
              <w:right w:val="single" w:color="auto" w:sz="4" w:space="0"/>
            </w:tcBorders>
            <w:vAlign w:val="center"/>
          </w:tcPr>
          <w:p>
            <w:pPr>
              <w:spacing w:line="320" w:lineRule="exact"/>
              <w:jc w:val="center"/>
              <w:rPr>
                <w:sz w:val="24"/>
                <w:szCs w:val="24"/>
              </w:rPr>
            </w:pPr>
          </w:p>
        </w:tc>
        <w:tc>
          <w:tcPr>
            <w:tcW w:w="1796" w:type="dxa"/>
            <w:gridSpan w:val="8"/>
            <w:tcBorders>
              <w:top w:val="single" w:color="000000" w:sz="4" w:space="0"/>
              <w:left w:val="nil"/>
              <w:bottom w:val="single" w:color="000000" w:sz="4" w:space="0"/>
              <w:right w:val="single" w:color="auto" w:sz="4" w:space="0"/>
            </w:tcBorders>
            <w:vAlign w:val="center"/>
          </w:tcPr>
          <w:p>
            <w:pPr>
              <w:spacing w:line="320" w:lineRule="exact"/>
              <w:jc w:val="left"/>
              <w:rPr>
                <w:sz w:val="24"/>
                <w:szCs w:val="24"/>
              </w:rPr>
            </w:pPr>
            <w:r>
              <w:rPr>
                <w:rFonts w:hint="eastAsia" w:ascii="宋体" w:hAnsi="宋体" w:cs="宋体"/>
                <w:sz w:val="24"/>
                <w:szCs w:val="24"/>
              </w:rPr>
              <w:t>跨境融资风险加权余额上限</w:t>
            </w:r>
          </w:p>
        </w:tc>
        <w:tc>
          <w:tcPr>
            <w:tcW w:w="2694" w:type="dxa"/>
            <w:gridSpan w:val="2"/>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p>
        </w:tc>
      </w:tr>
      <w:tr>
        <w:trPr>
          <w:cantSplit/>
          <w:trHeight w:val="564" w:hRule="atLeast"/>
          <w:jc w:val="center"/>
        </w:trPr>
        <w:tc>
          <w:tcPr>
            <w:tcW w:w="8472" w:type="dxa"/>
            <w:gridSpan w:val="20"/>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b/>
                <w:sz w:val="24"/>
                <w:szCs w:val="24"/>
              </w:rPr>
            </w:pPr>
            <w:r>
              <w:rPr>
                <w:rFonts w:hint="eastAsia" w:ascii="宋体" w:hAnsi="宋体" w:cs="宋体"/>
                <w:b/>
                <w:sz w:val="24"/>
                <w:szCs w:val="24"/>
              </w:rPr>
              <w:t>跨境融资风险加权余额（单位：万元人民币）</w:t>
            </w:r>
          </w:p>
        </w:tc>
      </w:tr>
      <w:tr>
        <w:trPr>
          <w:cantSplit/>
          <w:trHeight w:val="502" w:hRule="atLeast"/>
          <w:jc w:val="center"/>
        </w:trPr>
        <w:tc>
          <w:tcPr>
            <w:tcW w:w="2257" w:type="dxa"/>
            <w:gridSpan w:val="5"/>
            <w:tcBorders>
              <w:top w:val="single" w:color="000000" w:sz="4" w:space="0"/>
              <w:left w:val="single" w:color="000000" w:sz="4" w:space="0"/>
              <w:bottom w:val="single" w:color="000000" w:sz="4" w:space="0"/>
              <w:right w:val="single" w:color="000000" w:sz="4" w:space="0"/>
            </w:tcBorders>
            <w:vAlign w:val="center"/>
          </w:tcPr>
          <w:p>
            <w:pPr>
              <w:keepNext/>
              <w:keepLines/>
              <w:spacing w:line="320" w:lineRule="exact"/>
              <w:jc w:val="center"/>
              <w:outlineLvl w:val="0"/>
              <w:rPr>
                <w:sz w:val="24"/>
                <w:szCs w:val="24"/>
              </w:rPr>
            </w:pPr>
          </w:p>
        </w:tc>
        <w:tc>
          <w:tcPr>
            <w:tcW w:w="1840" w:type="dxa"/>
            <w:gridSpan w:val="7"/>
            <w:tcBorders>
              <w:top w:val="single" w:color="000000" w:sz="4" w:space="0"/>
              <w:left w:val="nil"/>
              <w:bottom w:val="single" w:color="000000" w:sz="4" w:space="0"/>
              <w:right w:val="single" w:color="000000" w:sz="4" w:space="0"/>
            </w:tcBorders>
            <w:vAlign w:val="center"/>
          </w:tcPr>
          <w:p>
            <w:pPr>
              <w:spacing w:line="240" w:lineRule="exact"/>
              <w:jc w:val="center"/>
              <w:rPr>
                <w:sz w:val="24"/>
                <w:szCs w:val="24"/>
              </w:rPr>
            </w:pPr>
            <w:r>
              <w:rPr>
                <w:rFonts w:hint="eastAsia" w:ascii="宋体" w:hAnsi="宋体" w:cs="宋体"/>
                <w:sz w:val="24"/>
                <w:szCs w:val="24"/>
              </w:rPr>
              <w:t>中长期</w:t>
            </w:r>
          </w:p>
        </w:tc>
        <w:tc>
          <w:tcPr>
            <w:tcW w:w="1656"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 w:val="24"/>
                <w:szCs w:val="24"/>
              </w:rPr>
            </w:pPr>
            <w:r>
              <w:rPr>
                <w:rFonts w:hint="eastAsia" w:ascii="宋体" w:hAnsi="宋体" w:cs="宋体"/>
                <w:sz w:val="24"/>
                <w:szCs w:val="24"/>
              </w:rPr>
              <w:t>短期</w:t>
            </w:r>
          </w:p>
        </w:tc>
        <w:tc>
          <w:tcPr>
            <w:tcW w:w="2719" w:type="dxa"/>
            <w:gridSpan w:val="3"/>
            <w:tcBorders>
              <w:top w:val="single" w:color="000000" w:sz="4" w:space="0"/>
              <w:left w:val="nil"/>
              <w:bottom w:val="single" w:color="000000" w:sz="4" w:space="0"/>
              <w:right w:val="single" w:color="000000" w:sz="4" w:space="0"/>
            </w:tcBorders>
            <w:vAlign w:val="center"/>
          </w:tcPr>
          <w:p>
            <w:pPr>
              <w:jc w:val="center"/>
              <w:rPr>
                <w:szCs w:val="21"/>
              </w:rPr>
            </w:pPr>
            <w:r>
              <w:rPr>
                <w:rFonts w:hint="eastAsia" w:ascii="宋体" w:hAnsi="宋体" w:cs="宋体"/>
                <w:sz w:val="24"/>
                <w:szCs w:val="24"/>
              </w:rPr>
              <w:t>外币余额折人民币金额</w:t>
            </w:r>
          </w:p>
        </w:tc>
      </w:tr>
      <w:tr>
        <w:trPr>
          <w:cantSplit/>
          <w:trHeight w:val="663" w:hRule="atLeast"/>
          <w:jc w:val="center"/>
        </w:trPr>
        <w:tc>
          <w:tcPr>
            <w:tcW w:w="2257"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sz w:val="24"/>
                <w:szCs w:val="24"/>
              </w:rPr>
            </w:pPr>
            <w:r>
              <w:rPr>
                <w:rFonts w:hint="eastAsia" w:ascii="宋体" w:hAnsi="宋体" w:cs="宋体"/>
                <w:sz w:val="24"/>
                <w:szCs w:val="24"/>
              </w:rPr>
              <w:t>现有跨境融资余额</w:t>
            </w:r>
          </w:p>
        </w:tc>
        <w:tc>
          <w:tcPr>
            <w:tcW w:w="1840" w:type="dxa"/>
            <w:gridSpan w:val="7"/>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p>
        </w:tc>
        <w:tc>
          <w:tcPr>
            <w:tcW w:w="1656" w:type="dxa"/>
            <w:gridSpan w:val="5"/>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p>
        </w:tc>
        <w:tc>
          <w:tcPr>
            <w:tcW w:w="2719" w:type="dxa"/>
            <w:gridSpan w:val="3"/>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p>
        </w:tc>
      </w:tr>
      <w:tr>
        <w:trPr>
          <w:cantSplit/>
          <w:trHeight w:val="663" w:hRule="atLeast"/>
          <w:jc w:val="center"/>
        </w:trPr>
        <w:tc>
          <w:tcPr>
            <w:tcW w:w="2257"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sz w:val="24"/>
                <w:szCs w:val="24"/>
              </w:rPr>
            </w:pPr>
            <w:r>
              <w:rPr>
                <w:rFonts w:hint="eastAsia" w:ascii="宋体" w:hAnsi="宋体" w:cs="宋体"/>
                <w:sz w:val="24"/>
                <w:szCs w:val="24"/>
              </w:rPr>
              <w:t>本笔跨境融资签约额</w:t>
            </w:r>
          </w:p>
        </w:tc>
        <w:tc>
          <w:tcPr>
            <w:tcW w:w="1840" w:type="dxa"/>
            <w:gridSpan w:val="7"/>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p>
        </w:tc>
        <w:tc>
          <w:tcPr>
            <w:tcW w:w="1656" w:type="dxa"/>
            <w:gridSpan w:val="5"/>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p>
        </w:tc>
        <w:tc>
          <w:tcPr>
            <w:tcW w:w="2719" w:type="dxa"/>
            <w:gridSpan w:val="3"/>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p>
        </w:tc>
      </w:tr>
      <w:tr>
        <w:trPr>
          <w:cantSplit/>
          <w:trHeight w:val="684" w:hRule="atLeast"/>
          <w:jc w:val="center"/>
        </w:trPr>
        <w:tc>
          <w:tcPr>
            <w:tcW w:w="701"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ascii="宋体" w:hAnsi="宋体" w:cs="宋体"/>
                <w:sz w:val="24"/>
                <w:szCs w:val="24"/>
              </w:rPr>
              <w:t>不纳入计算的业务类型</w:t>
            </w:r>
          </w:p>
        </w:tc>
        <w:tc>
          <w:tcPr>
            <w:tcW w:w="1556" w:type="dxa"/>
            <w:gridSpan w:val="4"/>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c>
          <w:tcPr>
            <w:tcW w:w="1840" w:type="dxa"/>
            <w:gridSpan w:val="7"/>
            <w:tcBorders>
              <w:top w:val="single" w:color="000000" w:sz="4" w:space="0"/>
              <w:left w:val="nil"/>
              <w:bottom w:val="single" w:color="000000" w:sz="4" w:space="0"/>
              <w:right w:val="single" w:color="000000" w:sz="4" w:space="0"/>
            </w:tcBorders>
            <w:vAlign w:val="center"/>
          </w:tcPr>
          <w:p>
            <w:pPr>
              <w:spacing w:line="240" w:lineRule="exact"/>
              <w:jc w:val="center"/>
              <w:rPr>
                <w:sz w:val="24"/>
                <w:szCs w:val="24"/>
              </w:rPr>
            </w:pPr>
            <w:r>
              <w:rPr>
                <w:rFonts w:hint="eastAsia" w:ascii="宋体" w:hAnsi="宋体" w:cs="宋体"/>
                <w:sz w:val="24"/>
                <w:szCs w:val="24"/>
              </w:rPr>
              <w:t>中长期余额</w:t>
            </w:r>
          </w:p>
        </w:tc>
        <w:tc>
          <w:tcPr>
            <w:tcW w:w="1656" w:type="dxa"/>
            <w:gridSpan w:val="5"/>
            <w:tcBorders>
              <w:top w:val="single" w:color="000000" w:sz="4" w:space="0"/>
              <w:left w:val="nil"/>
              <w:bottom w:val="single" w:color="000000" w:sz="4" w:space="0"/>
              <w:right w:val="single" w:color="000000" w:sz="4" w:space="0"/>
            </w:tcBorders>
            <w:vAlign w:val="center"/>
          </w:tcPr>
          <w:p>
            <w:pPr>
              <w:spacing w:line="240" w:lineRule="exact"/>
              <w:jc w:val="center"/>
              <w:rPr>
                <w:sz w:val="24"/>
                <w:szCs w:val="24"/>
              </w:rPr>
            </w:pPr>
            <w:r>
              <w:rPr>
                <w:rFonts w:hint="eastAsia" w:ascii="宋体" w:hAnsi="宋体" w:cs="宋体"/>
                <w:sz w:val="24"/>
                <w:szCs w:val="24"/>
              </w:rPr>
              <w:t>短期余额</w:t>
            </w:r>
          </w:p>
        </w:tc>
        <w:tc>
          <w:tcPr>
            <w:tcW w:w="2719" w:type="dxa"/>
            <w:gridSpan w:val="3"/>
            <w:tcBorders>
              <w:top w:val="single" w:color="000000" w:sz="4" w:space="0"/>
              <w:left w:val="nil"/>
              <w:bottom w:val="single" w:color="000000" w:sz="4" w:space="0"/>
              <w:right w:val="single" w:color="000000" w:sz="4" w:space="0"/>
            </w:tcBorders>
            <w:vAlign w:val="center"/>
          </w:tcPr>
          <w:p>
            <w:pPr>
              <w:jc w:val="center"/>
              <w:rPr>
                <w:szCs w:val="21"/>
              </w:rPr>
            </w:pPr>
            <w:r>
              <w:rPr>
                <w:rFonts w:hint="eastAsia" w:ascii="宋体" w:hAnsi="宋体" w:cs="宋体"/>
                <w:sz w:val="24"/>
                <w:szCs w:val="24"/>
              </w:rPr>
              <w:t>外币余额折人民币金额</w:t>
            </w:r>
          </w:p>
        </w:tc>
      </w:tr>
      <w:tr>
        <w:trPr>
          <w:cantSplit/>
          <w:trHeight w:val="411" w:hRule="atLeast"/>
          <w:jc w:val="center"/>
        </w:trPr>
        <w:tc>
          <w:tcPr>
            <w:tcW w:w="701" w:type="dxa"/>
            <w:vMerge w:val="continue"/>
            <w:tcBorders>
              <w:top w:val="nil"/>
              <w:left w:val="single" w:color="000000" w:sz="4" w:space="0"/>
              <w:bottom w:val="single" w:color="000000" w:sz="4" w:space="0"/>
              <w:right w:val="single" w:color="000000" w:sz="4" w:space="0"/>
            </w:tcBorders>
            <w:vAlign w:val="center"/>
          </w:tcPr>
          <w:p>
            <w:pPr>
              <w:rPr>
                <w:sz w:val="20"/>
              </w:rPr>
            </w:pPr>
          </w:p>
        </w:tc>
        <w:tc>
          <w:tcPr>
            <w:tcW w:w="1556" w:type="dxa"/>
            <w:gridSpan w:val="4"/>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r>
              <w:rPr>
                <w:rFonts w:hint="eastAsia" w:ascii="宋体" w:hAnsi="宋体" w:cs="宋体"/>
                <w:sz w:val="24"/>
                <w:szCs w:val="24"/>
              </w:rPr>
              <w:t>熊猫债</w:t>
            </w:r>
          </w:p>
        </w:tc>
        <w:tc>
          <w:tcPr>
            <w:tcW w:w="1840" w:type="dxa"/>
            <w:gridSpan w:val="7"/>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c>
          <w:tcPr>
            <w:tcW w:w="1656" w:type="dxa"/>
            <w:gridSpan w:val="5"/>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c>
          <w:tcPr>
            <w:tcW w:w="2719" w:type="dxa"/>
            <w:gridSpan w:val="3"/>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r>
      <w:tr>
        <w:trPr>
          <w:cantSplit/>
          <w:trHeight w:val="416" w:hRule="atLeast"/>
          <w:jc w:val="center"/>
        </w:trPr>
        <w:tc>
          <w:tcPr>
            <w:tcW w:w="701" w:type="dxa"/>
            <w:vMerge w:val="continue"/>
            <w:tcBorders>
              <w:top w:val="nil"/>
              <w:left w:val="single" w:color="000000" w:sz="4" w:space="0"/>
              <w:bottom w:val="single" w:color="000000" w:sz="4" w:space="0"/>
              <w:right w:val="single" w:color="000000" w:sz="4" w:space="0"/>
            </w:tcBorders>
            <w:vAlign w:val="center"/>
          </w:tcPr>
          <w:p>
            <w:pPr>
              <w:rPr>
                <w:sz w:val="20"/>
              </w:rPr>
            </w:pPr>
          </w:p>
        </w:tc>
        <w:tc>
          <w:tcPr>
            <w:tcW w:w="1556" w:type="dxa"/>
            <w:gridSpan w:val="4"/>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c>
          <w:tcPr>
            <w:tcW w:w="1840" w:type="dxa"/>
            <w:gridSpan w:val="7"/>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c>
          <w:tcPr>
            <w:tcW w:w="1656" w:type="dxa"/>
            <w:gridSpan w:val="5"/>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c>
          <w:tcPr>
            <w:tcW w:w="2719" w:type="dxa"/>
            <w:gridSpan w:val="3"/>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r>
      <w:tr>
        <w:trPr>
          <w:cantSplit/>
          <w:trHeight w:val="409" w:hRule="atLeast"/>
          <w:jc w:val="center"/>
        </w:trPr>
        <w:tc>
          <w:tcPr>
            <w:tcW w:w="701" w:type="dxa"/>
            <w:vMerge w:val="continue"/>
            <w:tcBorders>
              <w:top w:val="nil"/>
              <w:left w:val="single" w:color="000000" w:sz="4" w:space="0"/>
              <w:bottom w:val="single" w:color="000000" w:sz="4" w:space="0"/>
              <w:right w:val="single" w:color="000000" w:sz="4" w:space="0"/>
            </w:tcBorders>
            <w:vAlign w:val="center"/>
          </w:tcPr>
          <w:p>
            <w:pPr>
              <w:rPr>
                <w:sz w:val="20"/>
              </w:rPr>
            </w:pPr>
          </w:p>
        </w:tc>
        <w:tc>
          <w:tcPr>
            <w:tcW w:w="1556" w:type="dxa"/>
            <w:gridSpan w:val="4"/>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c>
          <w:tcPr>
            <w:tcW w:w="1840" w:type="dxa"/>
            <w:gridSpan w:val="7"/>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c>
          <w:tcPr>
            <w:tcW w:w="1656" w:type="dxa"/>
            <w:gridSpan w:val="5"/>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c>
          <w:tcPr>
            <w:tcW w:w="2719" w:type="dxa"/>
            <w:gridSpan w:val="3"/>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r>
      <w:tr>
        <w:trPr>
          <w:cantSplit/>
          <w:trHeight w:val="568" w:hRule="atLeast"/>
          <w:jc w:val="center"/>
        </w:trPr>
        <w:tc>
          <w:tcPr>
            <w:tcW w:w="2257"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ascii="宋体" w:hAnsi="宋体" w:cs="宋体"/>
                <w:sz w:val="24"/>
                <w:szCs w:val="24"/>
              </w:rPr>
              <w:t>纳入计算的余额</w:t>
            </w:r>
          </w:p>
        </w:tc>
        <w:tc>
          <w:tcPr>
            <w:tcW w:w="1840" w:type="dxa"/>
            <w:gridSpan w:val="7"/>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c>
          <w:tcPr>
            <w:tcW w:w="1656" w:type="dxa"/>
            <w:gridSpan w:val="5"/>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c>
          <w:tcPr>
            <w:tcW w:w="2719" w:type="dxa"/>
            <w:gridSpan w:val="3"/>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r>
      <w:tr>
        <w:trPr>
          <w:cantSplit/>
          <w:trHeight w:val="704" w:hRule="atLeast"/>
          <w:jc w:val="center"/>
        </w:trPr>
        <w:tc>
          <w:tcPr>
            <w:tcW w:w="2257"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sz w:val="24"/>
                <w:szCs w:val="24"/>
              </w:rPr>
            </w:pPr>
            <w:r>
              <w:rPr>
                <w:rFonts w:hint="eastAsia" w:ascii="宋体" w:hAnsi="宋体" w:cs="宋体"/>
                <w:sz w:val="24"/>
                <w:szCs w:val="24"/>
              </w:rPr>
              <w:t>跨境融资风险加权余额</w:t>
            </w:r>
          </w:p>
        </w:tc>
        <w:tc>
          <w:tcPr>
            <w:tcW w:w="6215" w:type="dxa"/>
            <w:gridSpan w:val="15"/>
            <w:tcBorders>
              <w:top w:val="single" w:color="000000" w:sz="4" w:space="0"/>
              <w:left w:val="nil"/>
              <w:bottom w:val="single" w:color="000000" w:sz="4" w:space="0"/>
              <w:right w:val="single" w:color="000000" w:sz="4" w:space="0"/>
            </w:tcBorders>
            <w:vAlign w:val="center"/>
          </w:tcPr>
          <w:p>
            <w:pPr>
              <w:keepNext/>
              <w:keepLines/>
              <w:spacing w:line="320" w:lineRule="exact"/>
              <w:jc w:val="center"/>
              <w:outlineLvl w:val="0"/>
              <w:rPr>
                <w:sz w:val="24"/>
                <w:szCs w:val="24"/>
              </w:rPr>
            </w:pPr>
          </w:p>
        </w:tc>
      </w:tr>
      <w:tr>
        <w:trPr>
          <w:trHeight w:val="668" w:hRule="atLeast"/>
          <w:jc w:val="center"/>
        </w:trPr>
        <w:tc>
          <w:tcPr>
            <w:tcW w:w="3205"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sz w:val="24"/>
                <w:szCs w:val="24"/>
              </w:rPr>
            </w:pPr>
            <w:r>
              <w:rPr>
                <w:rFonts w:hint="eastAsia" w:ascii="宋体" w:hAnsi="宋体" w:cs="宋体"/>
                <w:sz w:val="24"/>
                <w:szCs w:val="24"/>
              </w:rPr>
              <w:t>跨境融资风险加权余额上限与跨境融资风险加权余额之差额</w:t>
            </w:r>
          </w:p>
        </w:tc>
        <w:tc>
          <w:tcPr>
            <w:tcW w:w="1840" w:type="dxa"/>
            <w:gridSpan w:val="7"/>
            <w:tcBorders>
              <w:top w:val="single" w:color="000000" w:sz="4" w:space="0"/>
              <w:left w:val="nil"/>
              <w:bottom w:val="single" w:color="000000" w:sz="4" w:space="0"/>
              <w:right w:val="single" w:color="000000" w:sz="4" w:space="0"/>
            </w:tcBorders>
            <w:vAlign w:val="center"/>
          </w:tcPr>
          <w:p>
            <w:pPr>
              <w:spacing w:line="320" w:lineRule="exact"/>
              <w:ind w:firstLine="480" w:firstLineChars="200"/>
              <w:jc w:val="left"/>
              <w:rPr>
                <w:sz w:val="24"/>
                <w:szCs w:val="24"/>
              </w:rPr>
            </w:pPr>
          </w:p>
        </w:tc>
        <w:tc>
          <w:tcPr>
            <w:tcW w:w="1633" w:type="dxa"/>
            <w:gridSpan w:val="6"/>
            <w:tcBorders>
              <w:top w:val="single" w:color="000000" w:sz="4" w:space="0"/>
              <w:left w:val="nil"/>
              <w:bottom w:val="single" w:color="000000" w:sz="4" w:space="0"/>
              <w:right w:val="single" w:color="000000" w:sz="4" w:space="0"/>
            </w:tcBorders>
            <w:vAlign w:val="center"/>
          </w:tcPr>
          <w:p>
            <w:pPr>
              <w:spacing w:line="320" w:lineRule="exact"/>
              <w:jc w:val="center"/>
              <w:rPr>
                <w:sz w:val="24"/>
                <w:szCs w:val="24"/>
              </w:rPr>
            </w:pPr>
            <w:r>
              <w:rPr>
                <w:rFonts w:hint="eastAsia" w:ascii="宋体" w:hAnsi="宋体" w:cs="宋体"/>
                <w:sz w:val="24"/>
                <w:szCs w:val="24"/>
              </w:rPr>
              <w:t>是否超上限</w:t>
            </w:r>
          </w:p>
        </w:tc>
        <w:tc>
          <w:tcPr>
            <w:tcW w:w="1794" w:type="dxa"/>
            <w:tcBorders>
              <w:top w:val="single" w:color="000000" w:sz="4" w:space="0"/>
              <w:left w:val="nil"/>
              <w:bottom w:val="single" w:color="000000" w:sz="4" w:space="0"/>
              <w:right w:val="single" w:color="000000" w:sz="4" w:space="0"/>
            </w:tcBorders>
            <w:vAlign w:val="center"/>
          </w:tcPr>
          <w:p>
            <w:pPr>
              <w:spacing w:line="320" w:lineRule="exact"/>
              <w:jc w:val="left"/>
              <w:rPr>
                <w:sz w:val="24"/>
                <w:szCs w:val="24"/>
              </w:rPr>
            </w:pPr>
            <w:r>
              <w:rPr>
                <w:spacing w:val="-9"/>
                <w:sz w:val="18"/>
                <w:szCs w:val="18"/>
              </w:rPr>
              <w:t>□</w:t>
            </w:r>
            <w:r>
              <w:rPr>
                <w:sz w:val="24"/>
                <w:szCs w:val="24"/>
              </w:rPr>
              <w:t xml:space="preserve"> </w:t>
            </w:r>
            <w:r>
              <w:rPr>
                <w:rFonts w:hint="eastAsia" w:ascii="宋体" w:hAnsi="宋体" w:cs="宋体"/>
                <w:sz w:val="24"/>
                <w:szCs w:val="24"/>
              </w:rPr>
              <w:t>是</w:t>
            </w:r>
            <w:r>
              <w:rPr>
                <w:sz w:val="24"/>
                <w:szCs w:val="24"/>
              </w:rPr>
              <w:t xml:space="preserve">  </w:t>
            </w:r>
            <w:r>
              <w:rPr>
                <w:spacing w:val="-9"/>
                <w:sz w:val="18"/>
                <w:szCs w:val="18"/>
              </w:rPr>
              <w:t>□</w:t>
            </w:r>
            <w:r>
              <w:rPr>
                <w:rFonts w:hint="eastAsia" w:ascii="宋体" w:hAnsi="宋体" w:cs="宋体"/>
                <w:sz w:val="24"/>
                <w:szCs w:val="24"/>
              </w:rPr>
              <w:t>否</w:t>
            </w:r>
          </w:p>
        </w:tc>
      </w:tr>
      <w:tr>
        <w:trPr>
          <w:trHeight w:val="1023" w:hRule="atLeast"/>
          <w:jc w:val="center"/>
        </w:trPr>
        <w:tc>
          <w:tcPr>
            <w:tcW w:w="8472" w:type="dxa"/>
            <w:gridSpan w:val="20"/>
            <w:tcBorders>
              <w:top w:val="single" w:color="000000" w:sz="4" w:space="0"/>
              <w:left w:val="single" w:color="000000" w:sz="4" w:space="0"/>
              <w:bottom w:val="single" w:color="000000" w:sz="4" w:space="0"/>
              <w:right w:val="single" w:color="000000" w:sz="4" w:space="0"/>
            </w:tcBorders>
            <w:vAlign w:val="center"/>
          </w:tcPr>
          <w:p>
            <w:pPr>
              <w:spacing w:line="320" w:lineRule="exact"/>
              <w:ind w:firstLine="324" w:firstLineChars="200"/>
              <w:jc w:val="left"/>
              <w:rPr>
                <w:sz w:val="24"/>
                <w:szCs w:val="24"/>
              </w:rPr>
            </w:pPr>
            <w:r>
              <w:rPr>
                <w:spacing w:val="-9"/>
                <w:sz w:val="18"/>
                <w:szCs w:val="18"/>
              </w:rPr>
              <w:t xml:space="preserve">□ </w:t>
            </w:r>
            <w:r>
              <w:rPr>
                <w:rFonts w:hint="eastAsia" w:ascii="宋体" w:hAnsi="宋体" w:cs="宋体"/>
                <w:sz w:val="24"/>
                <w:szCs w:val="24"/>
              </w:rPr>
              <w:t>本企业所填写的《非金融企业外债登记申请表（宏观审慎模式）》中各项内容及所提交的所有书面材料均真实有效，所有复印件与原件相同，本机构将严格按照相关规定认真履行相关职责，并及时准确地报送相关信息，否则本企业及其法定代表人将承担由此而导致的一切后果。</w:t>
            </w:r>
          </w:p>
          <w:p>
            <w:pPr>
              <w:spacing w:line="320" w:lineRule="exact"/>
              <w:ind w:firstLine="480" w:firstLineChars="200"/>
              <w:jc w:val="left"/>
              <w:rPr>
                <w:sz w:val="24"/>
                <w:szCs w:val="24"/>
              </w:rPr>
            </w:pPr>
            <w:r>
              <w:rPr>
                <w:sz w:val="24"/>
                <w:szCs w:val="24"/>
              </w:rPr>
              <w:t xml:space="preserve">                                  </w:t>
            </w:r>
          </w:p>
          <w:p>
            <w:pPr>
              <w:spacing w:line="320" w:lineRule="exact"/>
              <w:ind w:firstLine="6480" w:firstLineChars="2700"/>
              <w:jc w:val="left"/>
              <w:rPr>
                <w:sz w:val="24"/>
                <w:szCs w:val="24"/>
              </w:rPr>
            </w:pPr>
            <w:r>
              <w:rPr>
                <w:rFonts w:hint="eastAsia" w:ascii="宋体" w:hAnsi="宋体" w:cs="宋体"/>
                <w:sz w:val="24"/>
                <w:szCs w:val="24"/>
              </w:rPr>
              <w:t>（公章）</w:t>
            </w:r>
          </w:p>
        </w:tc>
      </w:tr>
    </w:tbl>
    <w:p>
      <w:pPr>
        <w:rPr>
          <w:sz w:val="24"/>
          <w:szCs w:val="24"/>
        </w:rPr>
      </w:pPr>
      <w:r>
        <w:rPr>
          <w:rFonts w:hint="eastAsia" w:ascii="宋体" w:hAnsi="宋体" w:cs="宋体"/>
          <w:sz w:val="24"/>
          <w:szCs w:val="24"/>
        </w:rPr>
        <w:t>联系人：</w:t>
      </w:r>
      <w:r>
        <w:rPr>
          <w:sz w:val="24"/>
          <w:szCs w:val="24"/>
        </w:rPr>
        <w:t xml:space="preserve">             </w:t>
      </w:r>
      <w:r>
        <w:rPr>
          <w:rFonts w:hint="eastAsia" w:ascii="宋体" w:hAnsi="宋体" w:cs="宋体"/>
          <w:sz w:val="24"/>
          <w:szCs w:val="24"/>
        </w:rPr>
        <w:t>联系电话：</w:t>
      </w:r>
      <w:r>
        <w:rPr>
          <w:sz w:val="24"/>
          <w:szCs w:val="24"/>
        </w:rPr>
        <w:t xml:space="preserve">               </w:t>
      </w:r>
      <w:r>
        <w:rPr>
          <w:rFonts w:hint="eastAsia" w:ascii="宋体" w:hAnsi="宋体" w:cs="宋体"/>
          <w:sz w:val="24"/>
          <w:szCs w:val="24"/>
        </w:rPr>
        <w:t>填表时间：</w:t>
      </w:r>
      <w:r>
        <w:rPr>
          <w:sz w:val="24"/>
          <w:szCs w:val="24"/>
        </w:rPr>
        <w:t xml:space="preserve">   </w:t>
      </w:r>
      <w:r>
        <w:rPr>
          <w:rFonts w:hint="eastAsia" w:ascii="宋体" w:hAnsi="宋体" w:cs="宋体"/>
          <w:sz w:val="24"/>
          <w:szCs w:val="24"/>
        </w:rPr>
        <w:t>年</w:t>
      </w:r>
      <w:r>
        <w:rPr>
          <w:sz w:val="24"/>
          <w:szCs w:val="24"/>
        </w:rPr>
        <w:t xml:space="preserve">   </w:t>
      </w:r>
      <w:r>
        <w:rPr>
          <w:rFonts w:hint="eastAsia" w:ascii="宋体" w:hAnsi="宋体" w:cs="宋体"/>
          <w:sz w:val="24"/>
          <w:szCs w:val="24"/>
        </w:rPr>
        <w:t>月</w:t>
      </w:r>
      <w:r>
        <w:rPr>
          <w:sz w:val="24"/>
          <w:szCs w:val="24"/>
        </w:rPr>
        <w:t xml:space="preserve">   </w:t>
      </w:r>
      <w:r>
        <w:rPr>
          <w:rFonts w:hint="eastAsia" w:ascii="宋体" w:hAnsi="宋体" w:cs="宋体"/>
          <w:sz w:val="24"/>
          <w:szCs w:val="24"/>
        </w:rPr>
        <w:t>日</w:t>
      </w:r>
    </w:p>
    <w:p>
      <w:pPr>
        <w:widowControl/>
        <w:jc w:val="left"/>
        <w:rPr>
          <w:rFonts w:eastAsia="仿宋_GB2312"/>
          <w:b/>
          <w:sz w:val="28"/>
          <w:szCs w:val="28"/>
        </w:rPr>
      </w:pPr>
      <w:r>
        <w:rPr>
          <w:kern w:val="0"/>
          <w:sz w:val="24"/>
          <w:szCs w:val="24"/>
        </w:rPr>
        <w:br w:type="page"/>
      </w:r>
      <w:r>
        <w:rPr>
          <w:rFonts w:hint="eastAsia" w:ascii="仿宋_GB2312" w:eastAsia="仿宋_GB2312" w:cs="仿宋_GB2312"/>
          <w:b/>
          <w:sz w:val="28"/>
          <w:szCs w:val="28"/>
        </w:rPr>
        <w:t>填表说明：</w:t>
      </w:r>
    </w:p>
    <w:p>
      <w:pPr>
        <w:widowControl/>
        <w:spacing w:line="520" w:lineRule="exact"/>
        <w:jc w:val="left"/>
        <w:rPr>
          <w:sz w:val="24"/>
          <w:szCs w:val="24"/>
        </w:rPr>
      </w:pPr>
      <w:r>
        <w:rPr>
          <w:sz w:val="24"/>
          <w:szCs w:val="24"/>
        </w:rPr>
        <w:t>1.</w:t>
      </w:r>
      <w:r>
        <w:rPr>
          <w:rFonts w:hint="eastAsia" w:ascii="宋体" w:hAnsi="宋体" w:cs="宋体"/>
          <w:sz w:val="24"/>
          <w:szCs w:val="24"/>
        </w:rPr>
        <w:t>外币跨境融资以签约日的汇率水平折算。</w:t>
      </w:r>
    </w:p>
    <w:p>
      <w:pPr>
        <w:widowControl/>
        <w:spacing w:line="520" w:lineRule="exact"/>
        <w:jc w:val="left"/>
        <w:rPr>
          <w:sz w:val="24"/>
          <w:szCs w:val="24"/>
        </w:rPr>
      </w:pPr>
      <w:r>
        <w:rPr>
          <w:sz w:val="24"/>
          <w:szCs w:val="24"/>
        </w:rPr>
        <w:t>2.“</w:t>
      </w:r>
      <w:r>
        <w:rPr>
          <w:rFonts w:hint="eastAsia" w:ascii="宋体" w:hAnsi="宋体" w:cs="宋体"/>
          <w:sz w:val="24"/>
          <w:szCs w:val="24"/>
        </w:rPr>
        <w:t>债务人类型</w:t>
      </w:r>
      <w:r>
        <w:rPr>
          <w:sz w:val="24"/>
          <w:szCs w:val="24"/>
        </w:rPr>
        <w:t>”</w:t>
      </w:r>
      <w:r>
        <w:rPr>
          <w:rFonts w:hint="eastAsia" w:ascii="宋体" w:hAnsi="宋体" w:cs="宋体"/>
          <w:sz w:val="24"/>
          <w:szCs w:val="24"/>
        </w:rPr>
        <w:t>请按以下分类填写：</w:t>
      </w:r>
      <w:r>
        <w:rPr>
          <w:sz w:val="24"/>
          <w:szCs w:val="24"/>
        </w:rPr>
        <w:t>“</w:t>
      </w:r>
      <w:r>
        <w:rPr>
          <w:rFonts w:hint="eastAsia" w:ascii="宋体" w:hAnsi="宋体" w:cs="宋体"/>
          <w:sz w:val="24"/>
          <w:szCs w:val="24"/>
        </w:rPr>
        <w:t>国有企业</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民营企业</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其他中资企业</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独资企业</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合资企业</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合作企业</w:t>
      </w:r>
      <w:r>
        <w:rPr>
          <w:sz w:val="24"/>
          <w:szCs w:val="24"/>
        </w:rPr>
        <w:t>”</w:t>
      </w:r>
      <w:r>
        <w:rPr>
          <w:rFonts w:hint="eastAsia" w:ascii="宋体" w:hAnsi="宋体" w:cs="宋体"/>
          <w:sz w:val="24"/>
          <w:szCs w:val="24"/>
        </w:rPr>
        <w:t>。</w:t>
      </w:r>
    </w:p>
    <w:p>
      <w:pPr>
        <w:widowControl/>
        <w:spacing w:line="520" w:lineRule="exact"/>
        <w:jc w:val="left"/>
        <w:rPr>
          <w:sz w:val="24"/>
          <w:szCs w:val="24"/>
        </w:rPr>
      </w:pPr>
      <w:r>
        <w:rPr>
          <w:sz w:val="24"/>
          <w:szCs w:val="24"/>
        </w:rPr>
        <w:t>3.“</w:t>
      </w:r>
      <w:r>
        <w:rPr>
          <w:rFonts w:hint="eastAsia" w:ascii="宋体" w:hAnsi="宋体" w:cs="宋体"/>
          <w:sz w:val="24"/>
          <w:szCs w:val="24"/>
        </w:rPr>
        <w:t>债务类型</w:t>
      </w:r>
      <w:r>
        <w:rPr>
          <w:sz w:val="24"/>
          <w:szCs w:val="24"/>
        </w:rPr>
        <w:t>”</w:t>
      </w:r>
      <w:r>
        <w:rPr>
          <w:rFonts w:hint="eastAsia" w:ascii="宋体" w:hAnsi="宋体" w:cs="宋体"/>
          <w:sz w:val="24"/>
          <w:szCs w:val="24"/>
        </w:rPr>
        <w:t>请按以下分类填写：</w:t>
      </w:r>
      <w:r>
        <w:rPr>
          <w:sz w:val="24"/>
          <w:szCs w:val="24"/>
        </w:rPr>
        <w:t>“</w:t>
      </w:r>
      <w:r>
        <w:rPr>
          <w:rFonts w:hint="eastAsia" w:ascii="宋体" w:hAnsi="宋体" w:cs="宋体"/>
          <w:sz w:val="24"/>
          <w:szCs w:val="24"/>
        </w:rPr>
        <w:t>从境外母公司贷款</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从境外子公司贷款</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从联属企业贷款</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非股东及非关联企业贷款</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境外金融机构贷款</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银团贷款</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补偿贸易中需现汇偿还的债务</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债券和票据</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融资租赁</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其他贷款</w:t>
      </w:r>
      <w:r>
        <w:rPr>
          <w:sz w:val="24"/>
          <w:szCs w:val="24"/>
        </w:rPr>
        <w:t>”</w:t>
      </w:r>
      <w:r>
        <w:rPr>
          <w:rFonts w:hint="eastAsia" w:ascii="宋体" w:hAnsi="宋体" w:cs="宋体"/>
          <w:sz w:val="24"/>
          <w:szCs w:val="24"/>
        </w:rPr>
        <w:t>。</w:t>
      </w:r>
    </w:p>
    <w:p>
      <w:pPr>
        <w:widowControl/>
        <w:spacing w:line="520" w:lineRule="exact"/>
        <w:jc w:val="left"/>
        <w:rPr>
          <w:sz w:val="24"/>
          <w:szCs w:val="24"/>
        </w:rPr>
      </w:pPr>
      <w:r>
        <w:rPr>
          <w:sz w:val="24"/>
          <w:szCs w:val="24"/>
        </w:rPr>
        <w:t>4.“</w:t>
      </w:r>
      <w:r>
        <w:rPr>
          <w:rFonts w:hint="eastAsia" w:ascii="宋体" w:hAnsi="宋体" w:cs="宋体"/>
          <w:sz w:val="24"/>
          <w:szCs w:val="24"/>
        </w:rPr>
        <w:t>豁免类型</w:t>
      </w:r>
      <w:r>
        <w:rPr>
          <w:sz w:val="24"/>
          <w:szCs w:val="24"/>
        </w:rPr>
        <w:t>”</w:t>
      </w:r>
      <w:r>
        <w:rPr>
          <w:rFonts w:hint="eastAsia" w:ascii="宋体" w:hAnsi="宋体" w:cs="宋体"/>
          <w:sz w:val="24"/>
          <w:szCs w:val="24"/>
        </w:rPr>
        <w:t>仅</w:t>
      </w:r>
      <w:r>
        <w:rPr>
          <w:sz w:val="24"/>
          <w:szCs w:val="24"/>
        </w:rPr>
        <w:t>“</w:t>
      </w:r>
      <w:r>
        <w:rPr>
          <w:rFonts w:hint="eastAsia" w:ascii="宋体" w:hAnsi="宋体" w:cs="宋体"/>
          <w:sz w:val="24"/>
          <w:szCs w:val="24"/>
        </w:rPr>
        <w:t>是否占用外债额度</w:t>
      </w:r>
      <w:r>
        <w:rPr>
          <w:sz w:val="24"/>
          <w:szCs w:val="24"/>
        </w:rPr>
        <w:t>”</w:t>
      </w:r>
      <w:r>
        <w:rPr>
          <w:rFonts w:hint="eastAsia" w:ascii="宋体" w:hAnsi="宋体" w:cs="宋体"/>
          <w:sz w:val="24"/>
          <w:szCs w:val="24"/>
        </w:rPr>
        <w:t>选择为</w:t>
      </w:r>
      <w:r>
        <w:rPr>
          <w:sz w:val="24"/>
          <w:szCs w:val="24"/>
        </w:rPr>
        <w:t>“</w:t>
      </w:r>
      <w:r>
        <w:rPr>
          <w:rFonts w:hint="eastAsia" w:ascii="宋体" w:hAnsi="宋体" w:cs="宋体"/>
          <w:sz w:val="24"/>
          <w:szCs w:val="24"/>
        </w:rPr>
        <w:t>否</w:t>
      </w:r>
      <w:r>
        <w:rPr>
          <w:sz w:val="24"/>
          <w:szCs w:val="24"/>
        </w:rPr>
        <w:t>”</w:t>
      </w:r>
      <w:r>
        <w:rPr>
          <w:rFonts w:hint="eastAsia" w:ascii="宋体" w:hAnsi="宋体" w:cs="宋体"/>
          <w:sz w:val="24"/>
          <w:szCs w:val="24"/>
        </w:rPr>
        <w:t>时，需按以下分类填写：</w:t>
      </w:r>
      <w:r>
        <w:rPr>
          <w:sz w:val="24"/>
          <w:szCs w:val="24"/>
        </w:rPr>
        <w:t>“</w:t>
      </w:r>
      <w:r>
        <w:rPr>
          <w:rFonts w:hint="eastAsia" w:ascii="宋体" w:hAnsi="宋体" w:cs="宋体"/>
          <w:sz w:val="24"/>
          <w:szCs w:val="24"/>
        </w:rPr>
        <w:t>自用熊猫债</w:t>
      </w:r>
      <w:r>
        <w:rPr>
          <w:sz w:val="24"/>
          <w:szCs w:val="24"/>
        </w:rPr>
        <w:t>”</w:t>
      </w:r>
      <w:r>
        <w:rPr>
          <w:rFonts w:hint="eastAsia" w:ascii="宋体" w:hAnsi="宋体" w:cs="宋体"/>
          <w:sz w:val="24"/>
          <w:szCs w:val="24"/>
        </w:rPr>
        <w:t>、</w:t>
      </w:r>
      <w:r>
        <w:rPr>
          <w:sz w:val="24"/>
          <w:szCs w:val="24"/>
        </w:rPr>
        <w:t>“</w:t>
      </w:r>
      <w:r>
        <w:rPr>
          <w:rFonts w:hint="eastAsia" w:ascii="宋体" w:hAnsi="宋体" w:cs="宋体"/>
          <w:sz w:val="24"/>
          <w:szCs w:val="24"/>
        </w:rPr>
        <w:t>其他豁免</w:t>
      </w:r>
      <w:r>
        <w:rPr>
          <w:sz w:val="24"/>
          <w:szCs w:val="24"/>
        </w:rPr>
        <w:t>”</w:t>
      </w:r>
      <w:r>
        <w:rPr>
          <w:rFonts w:hint="eastAsia" w:ascii="宋体" w:hAnsi="宋体" w:cs="宋体"/>
          <w:sz w:val="24"/>
          <w:szCs w:val="24"/>
        </w:rPr>
        <w:t>。</w:t>
      </w:r>
    </w:p>
    <w:p>
      <w:pPr>
        <w:widowControl/>
        <w:spacing w:line="520" w:lineRule="exact"/>
        <w:jc w:val="left"/>
        <w:rPr>
          <w:sz w:val="24"/>
          <w:szCs w:val="24"/>
        </w:rPr>
      </w:pPr>
      <w:r>
        <w:rPr>
          <w:sz w:val="24"/>
          <w:szCs w:val="24"/>
        </w:rPr>
        <w:t>5.“</w:t>
      </w:r>
      <w:r>
        <w:rPr>
          <w:rFonts w:hint="eastAsia" w:ascii="宋体" w:hAnsi="宋体" w:cs="宋体"/>
          <w:sz w:val="24"/>
          <w:szCs w:val="24"/>
        </w:rPr>
        <w:t>内保外贷业务编号</w:t>
      </w:r>
      <w:r>
        <w:rPr>
          <w:sz w:val="24"/>
          <w:szCs w:val="24"/>
        </w:rPr>
        <w:t>”</w:t>
      </w:r>
      <w:r>
        <w:rPr>
          <w:rFonts w:hint="eastAsia" w:ascii="宋体" w:hAnsi="宋体" w:cs="宋体"/>
          <w:sz w:val="24"/>
          <w:szCs w:val="24"/>
        </w:rPr>
        <w:t>及</w:t>
      </w:r>
      <w:r>
        <w:rPr>
          <w:sz w:val="24"/>
          <w:szCs w:val="24"/>
        </w:rPr>
        <w:t>“</w:t>
      </w:r>
      <w:r>
        <w:rPr>
          <w:rFonts w:hint="eastAsia" w:ascii="宋体" w:hAnsi="宋体" w:cs="宋体"/>
          <w:sz w:val="24"/>
          <w:szCs w:val="24"/>
        </w:rPr>
        <w:t>调回金额占比</w:t>
      </w:r>
      <w:r>
        <w:rPr>
          <w:sz w:val="24"/>
          <w:szCs w:val="24"/>
        </w:rPr>
        <w:t>‘%’”</w:t>
      </w:r>
      <w:r>
        <w:rPr>
          <w:rFonts w:hint="eastAsia" w:ascii="宋体" w:hAnsi="宋体" w:cs="宋体"/>
          <w:sz w:val="24"/>
          <w:szCs w:val="24"/>
        </w:rPr>
        <w:t>仅</w:t>
      </w:r>
      <w:r>
        <w:rPr>
          <w:sz w:val="24"/>
          <w:szCs w:val="24"/>
        </w:rPr>
        <w:t>“</w:t>
      </w:r>
      <w:r>
        <w:rPr>
          <w:rFonts w:hint="eastAsia" w:ascii="宋体" w:hAnsi="宋体" w:cs="宋体"/>
          <w:sz w:val="24"/>
          <w:szCs w:val="24"/>
        </w:rPr>
        <w:t>是否内保外贷资金调回境内</w:t>
      </w:r>
      <w:r>
        <w:rPr>
          <w:sz w:val="24"/>
          <w:szCs w:val="24"/>
        </w:rPr>
        <w:t>”</w:t>
      </w:r>
      <w:r>
        <w:rPr>
          <w:rFonts w:hint="eastAsia" w:ascii="宋体" w:hAnsi="宋体" w:cs="宋体"/>
          <w:sz w:val="24"/>
          <w:szCs w:val="24"/>
        </w:rPr>
        <w:t>选择为</w:t>
      </w:r>
      <w:r>
        <w:rPr>
          <w:sz w:val="24"/>
          <w:szCs w:val="24"/>
        </w:rPr>
        <w:t>“</w:t>
      </w:r>
      <w:r>
        <w:rPr>
          <w:rFonts w:hint="eastAsia" w:ascii="宋体" w:hAnsi="宋体" w:cs="宋体"/>
          <w:sz w:val="24"/>
          <w:szCs w:val="24"/>
        </w:rPr>
        <w:t>是</w:t>
      </w:r>
      <w:r>
        <w:rPr>
          <w:sz w:val="24"/>
          <w:szCs w:val="24"/>
        </w:rPr>
        <w:t>”</w:t>
      </w:r>
      <w:r>
        <w:rPr>
          <w:rFonts w:hint="eastAsia" w:ascii="宋体" w:hAnsi="宋体" w:cs="宋体"/>
          <w:sz w:val="24"/>
          <w:szCs w:val="24"/>
        </w:rPr>
        <w:t>时需填写。</w:t>
      </w:r>
    </w:p>
    <w:p>
      <w:pPr>
        <w:widowControl/>
        <w:spacing w:line="520" w:lineRule="exact"/>
        <w:jc w:val="left"/>
        <w:rPr>
          <w:sz w:val="24"/>
          <w:szCs w:val="24"/>
        </w:rPr>
      </w:pPr>
      <w:r>
        <w:rPr>
          <w:sz w:val="24"/>
          <w:szCs w:val="24"/>
        </w:rPr>
        <w:t>6.“</w:t>
      </w:r>
      <w:r>
        <w:rPr>
          <w:rFonts w:hint="eastAsia" w:ascii="宋体" w:hAnsi="宋体" w:cs="宋体"/>
          <w:sz w:val="24"/>
          <w:szCs w:val="24"/>
        </w:rPr>
        <w:t>净资产</w:t>
      </w:r>
      <w:r>
        <w:rPr>
          <w:sz w:val="24"/>
          <w:szCs w:val="24"/>
        </w:rPr>
        <w:t>”</w:t>
      </w:r>
      <w:r>
        <w:rPr>
          <w:rFonts w:hint="eastAsia" w:ascii="宋体" w:hAnsi="宋体" w:cs="宋体"/>
          <w:sz w:val="24"/>
          <w:szCs w:val="24"/>
        </w:rPr>
        <w:t>根据债务人上年度或最近一期经审计的财务报告填写。</w:t>
      </w:r>
    </w:p>
    <w:p>
      <w:pPr>
        <w:widowControl/>
        <w:spacing w:line="520" w:lineRule="exact"/>
        <w:jc w:val="left"/>
        <w:rPr>
          <w:sz w:val="24"/>
          <w:szCs w:val="24"/>
        </w:rPr>
      </w:pPr>
      <w:r>
        <w:rPr>
          <w:sz w:val="24"/>
          <w:szCs w:val="24"/>
        </w:rPr>
        <w:t>7.“</w:t>
      </w:r>
      <w:r>
        <w:rPr>
          <w:rFonts w:hint="eastAsia" w:ascii="宋体" w:hAnsi="宋体" w:cs="宋体"/>
          <w:sz w:val="24"/>
          <w:szCs w:val="24"/>
        </w:rPr>
        <w:t>跨境融资风险加权余额上限</w:t>
      </w:r>
      <w:r>
        <w:rPr>
          <w:sz w:val="24"/>
          <w:szCs w:val="24"/>
        </w:rPr>
        <w:t>”=</w:t>
      </w:r>
      <w:r>
        <w:rPr>
          <w:rFonts w:hint="eastAsia" w:ascii="宋体" w:hAnsi="宋体" w:cs="宋体"/>
          <w:sz w:val="24"/>
          <w:szCs w:val="24"/>
        </w:rPr>
        <w:t>净资产</w:t>
      </w:r>
      <w:r>
        <w:rPr>
          <w:sz w:val="24"/>
          <w:szCs w:val="24"/>
        </w:rPr>
        <w:t>×</w:t>
      </w:r>
      <w:r>
        <w:rPr>
          <w:rFonts w:hint="eastAsia" w:ascii="宋体" w:hAnsi="宋体" w:cs="宋体"/>
          <w:sz w:val="24"/>
          <w:szCs w:val="24"/>
        </w:rPr>
        <w:t>跨境融资杠杆率</w:t>
      </w:r>
      <w:r>
        <w:rPr>
          <w:sz w:val="24"/>
          <w:szCs w:val="24"/>
        </w:rPr>
        <w:t>×</w:t>
      </w:r>
      <w:r>
        <w:rPr>
          <w:rFonts w:hint="eastAsia" w:ascii="宋体" w:hAnsi="宋体" w:cs="宋体"/>
          <w:sz w:val="24"/>
          <w:szCs w:val="24"/>
        </w:rPr>
        <w:t>宏观审慎调节参数。</w:t>
      </w:r>
    </w:p>
    <w:p>
      <w:pPr>
        <w:widowControl/>
        <w:spacing w:line="520" w:lineRule="exact"/>
        <w:jc w:val="left"/>
        <w:rPr>
          <w:sz w:val="24"/>
          <w:szCs w:val="24"/>
        </w:rPr>
      </w:pPr>
      <w:r>
        <w:rPr>
          <w:sz w:val="24"/>
          <w:szCs w:val="24"/>
        </w:rPr>
        <w:t>8.</w:t>
      </w:r>
      <w:r>
        <w:rPr>
          <w:rFonts w:hint="eastAsia" w:ascii="宋体" w:hAnsi="宋体" w:cs="宋体"/>
          <w:sz w:val="24"/>
          <w:szCs w:val="24"/>
        </w:rPr>
        <w:t>计算跨境融资风险加权余额占用情况时，已进行全额提款的非循环类贷款按未偿本金余额占用跨境融资风险加权余额；由于外保内贷履约形成的对外负债按履约额占用跨境融资风险加权余额；其他外债（循环贷款、未提款或部分提款的非循环贷款，含正在申请登记的本笔外债）按签约额占用跨境融资风险加权余额。</w:t>
      </w:r>
    </w:p>
    <w:p>
      <w:pPr>
        <w:widowControl/>
        <w:spacing w:line="520" w:lineRule="exact"/>
        <w:jc w:val="left"/>
        <w:rPr>
          <w:sz w:val="24"/>
          <w:szCs w:val="24"/>
        </w:rPr>
      </w:pPr>
      <w:r>
        <w:rPr>
          <w:sz w:val="24"/>
          <w:szCs w:val="24"/>
        </w:rPr>
        <w:t>9.</w:t>
      </w:r>
      <w:r>
        <w:rPr>
          <w:rFonts w:hint="eastAsia" w:ascii="宋体" w:hAnsi="宋体" w:cs="宋体"/>
          <w:sz w:val="24"/>
          <w:szCs w:val="24"/>
        </w:rPr>
        <w:t>跨境融资风险加权余额</w:t>
      </w:r>
      <w:r>
        <w:rPr>
          <w:sz w:val="24"/>
          <w:szCs w:val="24"/>
        </w:rPr>
        <w:t>=∑</w:t>
      </w:r>
      <w:r>
        <w:rPr>
          <w:rFonts w:hint="eastAsia" w:ascii="宋体" w:hAnsi="宋体" w:cs="宋体"/>
          <w:sz w:val="24"/>
          <w:szCs w:val="24"/>
        </w:rPr>
        <w:t>本外币跨境融资余额</w:t>
      </w:r>
      <w:r>
        <w:rPr>
          <w:sz w:val="24"/>
          <w:szCs w:val="24"/>
        </w:rPr>
        <w:t>×</w:t>
      </w:r>
      <w:r>
        <w:rPr>
          <w:rFonts w:hint="eastAsia" w:ascii="宋体" w:hAnsi="宋体" w:cs="宋体"/>
          <w:sz w:val="24"/>
          <w:szCs w:val="24"/>
        </w:rPr>
        <w:t>期限风险转换因子</w:t>
      </w:r>
      <w:r>
        <w:rPr>
          <w:sz w:val="24"/>
          <w:szCs w:val="24"/>
        </w:rPr>
        <w:t>+∑</w:t>
      </w:r>
      <w:r>
        <w:rPr>
          <w:rFonts w:hint="eastAsia" w:ascii="宋体" w:hAnsi="宋体" w:cs="宋体"/>
          <w:sz w:val="24"/>
          <w:szCs w:val="24"/>
        </w:rPr>
        <w:t>外币跨境融资余额</w:t>
      </w:r>
      <w:r>
        <w:rPr>
          <w:sz w:val="24"/>
          <w:szCs w:val="24"/>
        </w:rPr>
        <w:t>×</w:t>
      </w:r>
      <w:r>
        <w:rPr>
          <w:rFonts w:hint="eastAsia" w:ascii="宋体" w:hAnsi="宋体" w:cs="宋体"/>
          <w:sz w:val="24"/>
          <w:szCs w:val="24"/>
        </w:rPr>
        <w:t>汇率风险折算因子。期限风险转换因子按照签约期限确定，还款期限在</w:t>
      </w:r>
      <w:r>
        <w:rPr>
          <w:sz w:val="24"/>
          <w:szCs w:val="24"/>
        </w:rPr>
        <w:t>1</w:t>
      </w:r>
      <w:r>
        <w:rPr>
          <w:rFonts w:hint="eastAsia" w:ascii="宋体" w:hAnsi="宋体" w:cs="宋体"/>
          <w:sz w:val="24"/>
          <w:szCs w:val="24"/>
        </w:rPr>
        <w:t>年（不含）以上的中长期跨境融资、还款期限在</w:t>
      </w:r>
      <w:r>
        <w:rPr>
          <w:sz w:val="24"/>
          <w:szCs w:val="24"/>
        </w:rPr>
        <w:t>1</w:t>
      </w:r>
      <w:r>
        <w:rPr>
          <w:rFonts w:hint="eastAsia" w:ascii="宋体" w:hAnsi="宋体" w:cs="宋体"/>
          <w:sz w:val="24"/>
          <w:szCs w:val="24"/>
        </w:rPr>
        <w:t>年（含）以下的短期跨境融资期限风险转换因子分别为</w:t>
      </w:r>
      <w:r>
        <w:rPr>
          <w:sz w:val="24"/>
          <w:szCs w:val="24"/>
        </w:rPr>
        <w:t>1</w:t>
      </w:r>
      <w:r>
        <w:rPr>
          <w:rFonts w:hint="eastAsia" w:ascii="宋体" w:hAnsi="宋体" w:cs="宋体"/>
          <w:sz w:val="24"/>
          <w:szCs w:val="24"/>
        </w:rPr>
        <w:t>、</w:t>
      </w:r>
      <w:r>
        <w:rPr>
          <w:sz w:val="24"/>
          <w:szCs w:val="24"/>
        </w:rPr>
        <w:t>1.5</w:t>
      </w:r>
      <w:r>
        <w:rPr>
          <w:rFonts w:hint="eastAsia" w:ascii="宋体" w:hAnsi="宋体" w:cs="宋体"/>
          <w:sz w:val="24"/>
          <w:szCs w:val="24"/>
        </w:rPr>
        <w:t>；汇率风险折算因子为</w:t>
      </w:r>
      <w:r>
        <w:rPr>
          <w:sz w:val="24"/>
          <w:szCs w:val="24"/>
        </w:rPr>
        <w:t>0.5</w:t>
      </w:r>
      <w:r>
        <w:rPr>
          <w:rFonts w:hint="eastAsia" w:ascii="宋体" w:hAnsi="宋体" w:cs="宋体"/>
          <w:sz w:val="24"/>
          <w:szCs w:val="24"/>
        </w:rPr>
        <w:t>。外债合同中包含提前还款条款的，除非提前还款条款明确在合同签约一年后方可提前还款，该合同对应的外债金额全部视同短期跨境融资适用期限风险转换因子。</w:t>
      </w:r>
    </w:p>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5">
    <w:name w:val="页眉 Char Char"/>
    <w:basedOn w:val="4"/>
    <w:link w:val="3"/>
    <w:uiPriority w:val="99"/>
    <w:rPr>
      <w:sz w:val="18"/>
      <w:szCs w:val="18"/>
    </w:rPr>
  </w:style>
  <w:style w:type="character" w:customStyle="1" w:styleId="6">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474</Words>
  <Characters>2704</Characters>
  <Lines>22</Lines>
  <Paragraphs>6</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2025-01-06T02:29:00Z</dcterms:created>
  <dc:creator>张昊若</dc:creator>
  <cp:lastModifiedBy>方雄鹰</cp:lastModifiedBy>
  <dcterms:modified xsi:type="dcterms:W3CDTF">2025-01-06T02:38:22Z</dcterms:modified>
  <dc:title>银行办理非金融企业外债签约（变更）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