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黑体" w:eastAsia="黑体"/>
          <w:spacing w:val="-2"/>
          <w:sz w:val="32"/>
        </w:rPr>
      </w:pPr>
      <w:bookmarkStart w:id="0" w:name="_Toc332433906"/>
      <w:r>
        <w:rPr>
          <w:rFonts w:hint="eastAsia" w:ascii="黑体" w:eastAsia="黑体"/>
          <w:spacing w:val="-2"/>
          <w:sz w:val="32"/>
        </w:rPr>
        <w:t>附件</w:t>
      </w:r>
    </w:p>
    <w:p>
      <w:pPr>
        <w:spacing w:line="540" w:lineRule="atLeast"/>
        <w:ind w:firstLine="872" w:firstLineChars="200"/>
        <w:jc w:val="center"/>
        <w:rPr>
          <w:rFonts w:ascii="华文中宋" w:hAnsi="华文中宋" w:eastAsia="华文中宋"/>
          <w:spacing w:val="-2"/>
          <w:sz w:val="44"/>
          <w:szCs w:val="44"/>
        </w:rPr>
      </w:pPr>
    </w:p>
    <w:bookmarkEnd w:id="0"/>
    <w:p>
      <w:pPr>
        <w:spacing w:line="440" w:lineRule="atLeast"/>
        <w:jc w:val="center"/>
        <w:rPr>
          <w:rFonts w:ascii="华文中宋" w:hAnsi="华文中宋" w:eastAsia="华文中宋"/>
          <w:b/>
          <w:bCs/>
          <w:spacing w:val="-2"/>
          <w:sz w:val="44"/>
          <w:szCs w:val="44"/>
        </w:rPr>
      </w:pPr>
      <w:r>
        <w:rPr>
          <w:rFonts w:hint="eastAsia" w:ascii="华文中宋" w:hAnsi="华文中宋" w:eastAsia="华文中宋"/>
          <w:b/>
          <w:bCs/>
          <w:spacing w:val="-2"/>
          <w:sz w:val="44"/>
          <w:szCs w:val="44"/>
        </w:rPr>
        <w:t>资产评估专家指引第1</w:t>
      </w:r>
      <w:r>
        <w:rPr>
          <w:rFonts w:ascii="华文中宋" w:hAnsi="华文中宋" w:eastAsia="华文中宋"/>
          <w:b/>
          <w:bCs/>
          <w:spacing w:val="-2"/>
          <w:sz w:val="44"/>
          <w:szCs w:val="44"/>
        </w:rPr>
        <w:t>号</w:t>
      </w:r>
      <w:r>
        <w:rPr>
          <w:rFonts w:hint="eastAsia" w:ascii="华文中宋" w:hAnsi="华文中宋" w:eastAsia="华文中宋"/>
          <w:b/>
          <w:bCs/>
          <w:spacing w:val="-2"/>
          <w:sz w:val="44"/>
          <w:szCs w:val="44"/>
        </w:rPr>
        <w:t>——</w:t>
      </w:r>
      <w:r>
        <w:rPr>
          <w:rFonts w:ascii="华文中宋" w:hAnsi="华文中宋" w:eastAsia="华文中宋"/>
          <w:b/>
          <w:bCs/>
          <w:spacing w:val="-2"/>
          <w:sz w:val="44"/>
          <w:szCs w:val="44"/>
        </w:rPr>
        <w:t>金融企业</w:t>
      </w:r>
    </w:p>
    <w:p>
      <w:pPr>
        <w:spacing w:line="440" w:lineRule="atLeast"/>
        <w:jc w:val="center"/>
        <w:rPr>
          <w:rFonts w:ascii="华文中宋" w:hAnsi="华文中宋" w:eastAsia="华文中宋"/>
          <w:b/>
          <w:bCs/>
          <w:spacing w:val="-2"/>
          <w:sz w:val="44"/>
          <w:szCs w:val="44"/>
        </w:rPr>
      </w:pPr>
      <w:r>
        <w:rPr>
          <w:rFonts w:ascii="华文中宋" w:hAnsi="华文中宋" w:eastAsia="华文中宋"/>
          <w:b/>
          <w:bCs/>
          <w:spacing w:val="-2"/>
          <w:sz w:val="44"/>
          <w:szCs w:val="44"/>
        </w:rPr>
        <w:t>评估中应关注的金融监管指标</w:t>
      </w:r>
    </w:p>
    <w:p>
      <w:pPr>
        <w:spacing w:line="440" w:lineRule="atLeast"/>
        <w:ind w:firstLine="873" w:firstLineChars="200"/>
        <w:rPr>
          <w:rFonts w:ascii="华文中宋" w:hAnsi="华文中宋" w:eastAsia="华文中宋"/>
          <w:b/>
          <w:bCs/>
          <w:spacing w:val="-2"/>
          <w:sz w:val="44"/>
          <w:szCs w:val="44"/>
        </w:rPr>
      </w:pPr>
    </w:p>
    <w:p>
      <w:pPr>
        <w:ind w:firstLine="664" w:firstLineChars="200"/>
        <w:rPr>
          <w:rFonts w:ascii="仿宋_GB2312"/>
          <w:sz w:val="32"/>
          <w:szCs w:val="32"/>
        </w:rPr>
      </w:pPr>
      <w:r>
        <w:rPr>
          <w:rFonts w:hint="eastAsia" w:ascii="仿宋_GB2312"/>
          <w:sz w:val="32"/>
          <w:szCs w:val="32"/>
        </w:rPr>
        <w:t>本专家指引是一种专家建议。评估机构执行资产评估业务，可以参照本专家指引，也可以根据具体情况采用其他适当的方法。中国资产评估协会将根据业务发展，对本专家指引进行更新。</w:t>
      </w:r>
    </w:p>
    <w:p>
      <w:pPr>
        <w:widowControl w:val="0"/>
        <w:wordWrap/>
        <w:autoSpaceDE w:val="0"/>
        <w:autoSpaceDN w:val="0"/>
        <w:adjustRightInd w:val="0"/>
        <w:snapToGrid w:val="0"/>
        <w:spacing w:before="157" w:beforeLines="50" w:after="157" w:afterLines="50" w:line="588" w:lineRule="atLeast"/>
        <w:ind w:left="0" w:leftChars="0" w:right="0" w:firstLine="0" w:firstLineChars="0"/>
        <w:jc w:val="center"/>
        <w:textAlignment w:val="auto"/>
        <w:outlineLvl w:val="9"/>
        <w:rPr>
          <w:rFonts w:ascii="仿宋_GB2312"/>
          <w:b/>
          <w:sz w:val="32"/>
          <w:szCs w:val="32"/>
        </w:rPr>
      </w:pPr>
      <w:r>
        <w:rPr>
          <w:rFonts w:hint="eastAsia" w:ascii="仿宋_GB2312"/>
          <w:b/>
          <w:sz w:val="32"/>
          <w:szCs w:val="32"/>
        </w:rPr>
        <w:t>第一章 总则</w:t>
      </w:r>
    </w:p>
    <w:p>
      <w:pPr>
        <w:ind w:firstLine="664" w:firstLineChars="200"/>
        <w:rPr>
          <w:rFonts w:ascii="仿宋_GB2312"/>
          <w:sz w:val="32"/>
          <w:szCs w:val="32"/>
        </w:rPr>
      </w:pPr>
      <w:r>
        <w:rPr>
          <w:rFonts w:hint="eastAsia" w:ascii="仿宋_GB2312"/>
          <w:sz w:val="32"/>
          <w:szCs w:val="32"/>
        </w:rPr>
        <w:t>金融行业的安全和稳定直接影响到国家经济的健康发展，为了确保金融行业稳定运行，预防大规模金融风险的发生，我国金融监管机构制定了一系列法规，并根据不同类型金融企业的业务特点和风险特点，制定了不同金融企业所适用的金融监管指标。</w:t>
      </w:r>
    </w:p>
    <w:p>
      <w:pPr>
        <w:ind w:firstLine="664" w:firstLineChars="200"/>
        <w:rPr>
          <w:rFonts w:ascii="仿宋_GB2312"/>
          <w:sz w:val="32"/>
          <w:szCs w:val="32"/>
        </w:rPr>
      </w:pPr>
      <w:r>
        <w:rPr>
          <w:rFonts w:hint="eastAsia" w:ascii="仿宋_GB2312"/>
          <w:sz w:val="32"/>
          <w:szCs w:val="32"/>
        </w:rPr>
        <w:t>对金融企业进行评估，应充分考虑现行金融监管法规对金融企业价值的影响。为指导评估机构在金融企业评估中关注金融监管指标，中国资产评估协会组织制定了本专家指引。</w:t>
      </w:r>
    </w:p>
    <w:p>
      <w:pPr>
        <w:ind w:firstLine="664" w:firstLineChars="200"/>
        <w:rPr>
          <w:rFonts w:ascii="仿宋_GB2312"/>
          <w:sz w:val="32"/>
          <w:szCs w:val="32"/>
        </w:rPr>
      </w:pPr>
      <w:r>
        <w:rPr>
          <w:rFonts w:hint="eastAsia" w:ascii="仿宋_GB2312"/>
          <w:sz w:val="32"/>
          <w:szCs w:val="32"/>
        </w:rPr>
        <w:t>金融监管机构根据金融行业的实际情况不断修订和完善已有法规，执行评估业务需要关注金融监管指标的变化，并充分考虑对评估结论的影响。</w:t>
      </w:r>
    </w:p>
    <w:p>
      <w:pPr>
        <w:ind w:firstLine="664" w:firstLineChars="200"/>
        <w:rPr>
          <w:rFonts w:ascii="仿宋_GB2312"/>
          <w:sz w:val="32"/>
          <w:szCs w:val="32"/>
        </w:rPr>
      </w:pPr>
      <w:r>
        <w:rPr>
          <w:rFonts w:hint="eastAsia" w:ascii="仿宋_GB2312"/>
          <w:sz w:val="32"/>
          <w:szCs w:val="32"/>
        </w:rPr>
        <w:t>我国金融管理体制正在由政府管制的金融监管体制向市场化的金融监管体系转变，市场化的监管体制，从审核审批向监管执法转型，从事前把关向事中、事后监管转移。某种程度上的“去监管化”顺应了金融行业的发展形势，但是“去监管化”不等于淡化监管甚至取消监管，而是意味着在风险防范问题上，监管机构将更加着力于探索新的适应市场需要的管理模式和监管指标。随着金融企业客户风险意识的提高，金融监管不仅是监管机构的事，广大客户也会根据金融企业的各项风险指标，选择适合自己的金融机构。资产评估师在评估金融企业价值时，不仅要关注金融监管指标，更要关注金融行业的风险指标变化趋势及金融企业客户的风险偏好程度对金融企业权益价值的影响。</w:t>
      </w:r>
    </w:p>
    <w:p>
      <w:pPr>
        <w:spacing w:before="156" w:beforeLines="50" w:after="156" w:afterLines="50"/>
        <w:ind w:firstLine="664" w:firstLineChars="200"/>
        <w:rPr>
          <w:rFonts w:ascii="仿宋_GB2312"/>
          <w:sz w:val="32"/>
          <w:szCs w:val="32"/>
        </w:rPr>
      </w:pPr>
      <w:r>
        <w:rPr>
          <w:rFonts w:hint="eastAsia" w:ascii="仿宋_GB2312"/>
          <w:sz w:val="32"/>
          <w:szCs w:val="32"/>
        </w:rPr>
        <w:t>本专家指引依据的法规为截至2014年12月31日监管机构发布的有关法规，在评估执业中，应参照最新的监管法规，充分考虑监管指标对企业价值的影响。</w:t>
      </w:r>
    </w:p>
    <w:p>
      <w:pPr>
        <w:widowControl w:val="0"/>
        <w:wordWrap/>
        <w:autoSpaceDE w:val="0"/>
        <w:autoSpaceDN w:val="0"/>
        <w:adjustRightInd w:val="0"/>
        <w:snapToGrid w:val="0"/>
        <w:spacing w:before="157" w:beforeLines="50" w:after="157" w:afterLines="50" w:line="588" w:lineRule="atLeast"/>
        <w:ind w:left="0" w:leftChars="0" w:right="0" w:firstLine="0" w:firstLineChars="0"/>
        <w:jc w:val="center"/>
        <w:textAlignment w:val="auto"/>
        <w:outlineLvl w:val="9"/>
        <w:rPr>
          <w:rFonts w:ascii="仿宋_GB2312"/>
          <w:b/>
          <w:sz w:val="32"/>
          <w:szCs w:val="32"/>
        </w:rPr>
      </w:pPr>
      <w:r>
        <w:rPr>
          <w:rFonts w:hint="eastAsia" w:ascii="仿宋_GB2312"/>
          <w:b/>
          <w:sz w:val="32"/>
          <w:szCs w:val="32"/>
        </w:rPr>
        <w:t>第二章 商业银行</w:t>
      </w:r>
    </w:p>
    <w:p>
      <w:pPr>
        <w:spacing w:before="156" w:beforeLines="50" w:after="156" w:afterLines="50" w:line="400" w:lineRule="exact"/>
        <w:ind w:left="624" w:leftChars="200"/>
        <w:outlineLvl w:val="1"/>
        <w:rPr>
          <w:rFonts w:ascii="仿宋_GB2312" w:hAnsi="Times New Roman"/>
          <w:b/>
          <w:sz w:val="32"/>
          <w:szCs w:val="32"/>
        </w:rPr>
      </w:pPr>
      <w:r>
        <w:rPr>
          <w:rFonts w:hint="eastAsia" w:ascii="仿宋_GB2312"/>
          <w:b/>
          <w:sz w:val="32"/>
          <w:szCs w:val="32"/>
        </w:rPr>
        <w:t>一、监管机构</w:t>
      </w:r>
    </w:p>
    <w:p>
      <w:pPr>
        <w:ind w:firstLine="664" w:firstLineChars="200"/>
        <w:rPr>
          <w:rFonts w:ascii="仿宋_GB2312"/>
          <w:sz w:val="32"/>
          <w:szCs w:val="32"/>
        </w:rPr>
      </w:pPr>
      <w:r>
        <w:rPr>
          <w:rFonts w:hint="eastAsia" w:ascii="仿宋_GB2312"/>
          <w:sz w:val="32"/>
          <w:szCs w:val="32"/>
        </w:rPr>
        <w:t>商业银行开展各项经营业务，主要受中国银监会和中国人民银行监管，上市商业银行同时受到中国证监会监管。</w:t>
      </w:r>
    </w:p>
    <w:p>
      <w:pPr>
        <w:spacing w:before="156" w:beforeLines="50" w:after="156" w:afterLines="50" w:line="400" w:lineRule="exact"/>
        <w:ind w:left="624" w:leftChars="200"/>
        <w:outlineLvl w:val="1"/>
        <w:rPr>
          <w:rFonts w:ascii="仿宋_GB2312"/>
          <w:b/>
          <w:sz w:val="32"/>
          <w:szCs w:val="32"/>
        </w:rPr>
      </w:pPr>
      <w:r>
        <w:rPr>
          <w:rFonts w:hint="eastAsia" w:ascii="仿宋_GB2312"/>
          <w:b/>
          <w:sz w:val="32"/>
          <w:szCs w:val="32"/>
        </w:rPr>
        <w:t>二、监管指标</w:t>
      </w:r>
    </w:p>
    <w:p>
      <w:pPr>
        <w:spacing w:line="560" w:lineRule="atLeast"/>
        <w:ind w:firstLine="664" w:firstLineChars="200"/>
        <w:rPr>
          <w:rFonts w:ascii="仿宋_GB2312"/>
          <w:sz w:val="32"/>
          <w:szCs w:val="32"/>
        </w:rPr>
      </w:pPr>
      <w:r>
        <w:rPr>
          <w:rFonts w:hint="eastAsia" w:ascii="仿宋_GB2312"/>
          <w:sz w:val="32"/>
          <w:szCs w:val="32"/>
        </w:rPr>
        <w:t>对商业银行进行评估，需要关注的金融监管指标主要有三类：流动性指标、风险监管指标及盈利性指标。流动性指标主要包括流动性覆盖率、流动性比例和核心负债比例；风险监管指标主要包括不良资产率、不良贷款率、贷款拨备率、拨备覆盖率、贷款迁徙率、资本充足率和存款准备金率；盈利性指标主要包括成本收入比、资产利润率和资本利润率。</w:t>
      </w:r>
    </w:p>
    <w:p>
      <w:pPr>
        <w:spacing w:before="156" w:beforeLines="50" w:after="156" w:afterLines="50" w:line="400" w:lineRule="exact"/>
        <w:ind w:left="624" w:leftChars="200"/>
        <w:outlineLvl w:val="2"/>
        <w:rPr>
          <w:rFonts w:ascii="仿宋_GB2312" w:hAnsi="Times New Roman"/>
          <w:b/>
          <w:sz w:val="32"/>
          <w:szCs w:val="32"/>
        </w:rPr>
      </w:pPr>
      <w:r>
        <w:rPr>
          <w:rFonts w:hint="eastAsia" w:ascii="仿宋_GB2312"/>
          <w:b/>
          <w:sz w:val="32"/>
          <w:szCs w:val="32"/>
        </w:rPr>
        <w:t>（一）流动性覆盖率</w:t>
      </w:r>
    </w:p>
    <w:p>
      <w:pPr>
        <w:ind w:firstLine="664" w:firstLineChars="200"/>
        <w:rPr>
          <w:rFonts w:ascii="仿宋_GB2312"/>
          <w:sz w:val="32"/>
          <w:szCs w:val="32"/>
        </w:rPr>
      </w:pPr>
      <w:r>
        <w:rPr>
          <w:rFonts w:hint="eastAsia" w:ascii="仿宋_GB2312"/>
          <w:sz w:val="32"/>
          <w:szCs w:val="32"/>
        </w:rPr>
        <w:t>流动性覆盖率=合格优质流动性资产/未来30天现金净流出量×100%</w:t>
      </w:r>
    </w:p>
    <w:p>
      <w:pPr>
        <w:ind w:firstLine="664" w:firstLineChars="200"/>
        <w:rPr>
          <w:rFonts w:ascii="仿宋_GB2312"/>
          <w:sz w:val="32"/>
          <w:szCs w:val="32"/>
        </w:rPr>
      </w:pPr>
      <w:r>
        <w:rPr>
          <w:rFonts w:hint="eastAsia" w:ascii="仿宋_GB2312"/>
          <w:sz w:val="32"/>
          <w:szCs w:val="32"/>
        </w:rPr>
        <w:t>其中，合格优质流动性资产是指在一定的压力情景下，能够在无损失或极小损失的情况下在金融市场快速变现的各类资产。</w:t>
      </w:r>
    </w:p>
    <w:p>
      <w:pPr>
        <w:ind w:firstLine="664" w:firstLineChars="200"/>
        <w:rPr>
          <w:rFonts w:ascii="仿宋_GB2312"/>
          <w:sz w:val="32"/>
          <w:szCs w:val="32"/>
        </w:rPr>
      </w:pPr>
      <w:r>
        <w:rPr>
          <w:rFonts w:hint="eastAsia" w:ascii="仿宋_GB2312"/>
          <w:sz w:val="32"/>
          <w:szCs w:val="32"/>
        </w:rPr>
        <w:t>流动性覆盖率指标衡量商业银行应对短期资金压力的能力。商业银行应保持一定的快速变现资产，在出现系统流动性危机的情况下，这些快速变现资产可以满足危机发生后30天内商业银行的持续运转。</w:t>
      </w:r>
    </w:p>
    <w:p>
      <w:pPr>
        <w:ind w:firstLine="664" w:firstLineChars="200"/>
        <w:rPr>
          <w:rFonts w:ascii="仿宋_GB2312"/>
          <w:sz w:val="32"/>
          <w:szCs w:val="32"/>
        </w:rPr>
      </w:pPr>
      <w:r>
        <w:rPr>
          <w:rFonts w:hint="eastAsia" w:ascii="仿宋_GB2312"/>
          <w:sz w:val="32"/>
          <w:szCs w:val="32"/>
        </w:rPr>
        <w:t>根据监管要求，商业银行的流动性覆盖率应当在2018年底前达到100%。在过渡期内，应当在2014年底、2015年底、2016年底及2017年底前分别达到60%、70%、80%、90%。若商业银行的流动性覆盖率不能达到监管要求，中国银监会有权采取责令限期整改、增强监管要求、限制扩张活动等一系列措施。</w:t>
      </w:r>
    </w:p>
    <w:p>
      <w:pPr>
        <w:ind w:firstLine="664" w:firstLineChars="200"/>
        <w:rPr>
          <w:rFonts w:ascii="仿宋_GB2312"/>
          <w:sz w:val="32"/>
          <w:szCs w:val="32"/>
        </w:rPr>
      </w:pPr>
      <w:r>
        <w:rPr>
          <w:rFonts w:hint="eastAsia" w:ascii="仿宋_GB2312"/>
          <w:sz w:val="32"/>
          <w:szCs w:val="32"/>
        </w:rPr>
        <w:t>商业银行在进行资产配置时应考虑保留足够的合格优质流动性资产，这就对其可以投向商业贷款、投资资产的资金形成了一定限制。尤其是对于流动性覆盖率尚未达到100%的商业银行，应合理考虑未来经营期间需要增持的合格优质流动性资产，从而调整资产配置结构。</w:t>
      </w:r>
    </w:p>
    <w:p>
      <w:pPr>
        <w:spacing w:line="588" w:lineRule="atLeast"/>
        <w:ind w:left="0" w:leftChars="0" w:firstLine="667" w:firstLineChars="200"/>
        <w:outlineLvl w:val="9"/>
        <w:rPr>
          <w:rFonts w:ascii="仿宋_GB2312" w:hAnsi="Times New Roman"/>
          <w:b/>
          <w:sz w:val="32"/>
          <w:szCs w:val="32"/>
        </w:rPr>
      </w:pPr>
      <w:r>
        <w:rPr>
          <w:rFonts w:hint="eastAsia" w:ascii="仿宋_GB2312"/>
          <w:b/>
          <w:sz w:val="32"/>
          <w:szCs w:val="32"/>
        </w:rPr>
        <w:t>（二）流动性比例</w:t>
      </w:r>
    </w:p>
    <w:p>
      <w:pPr>
        <w:ind w:firstLine="664" w:firstLineChars="200"/>
        <w:rPr>
          <w:rFonts w:ascii="仿宋_GB2312"/>
          <w:sz w:val="32"/>
          <w:szCs w:val="32"/>
        </w:rPr>
      </w:pPr>
      <w:r>
        <w:rPr>
          <w:rFonts w:hint="eastAsia" w:ascii="仿宋_GB2312"/>
          <w:sz w:val="32"/>
          <w:szCs w:val="32"/>
        </w:rPr>
        <w:t>流动性比例﹦流动性资产余额/流动性负债余额×100%</w:t>
      </w:r>
    </w:p>
    <w:p>
      <w:pPr>
        <w:ind w:firstLine="664" w:firstLineChars="200"/>
        <w:rPr>
          <w:rFonts w:ascii="仿宋_GB2312"/>
          <w:sz w:val="32"/>
          <w:szCs w:val="32"/>
        </w:rPr>
      </w:pPr>
      <w:r>
        <w:rPr>
          <w:rFonts w:hint="eastAsia" w:ascii="仿宋_GB2312"/>
          <w:sz w:val="32"/>
          <w:szCs w:val="32"/>
        </w:rPr>
        <w:t>流动性资产包括：现金、黄金、超额准备金存款、一个月内到期的同业往来款项轧差后资产方净额、一个月内到期的应收利息及其他应收款、一个月内到期的合格贷款、一个月内到期的债券投资、在国内外二级市场上可随时变现的债券投资、其他一个月内到期可变现的资产（剔除其中的不良资产）。</w:t>
      </w:r>
    </w:p>
    <w:p>
      <w:pPr>
        <w:ind w:firstLine="664" w:firstLineChars="200"/>
        <w:rPr>
          <w:rFonts w:ascii="仿宋_GB2312"/>
          <w:sz w:val="32"/>
          <w:szCs w:val="32"/>
        </w:rPr>
      </w:pPr>
      <w:r>
        <w:rPr>
          <w:rFonts w:hint="eastAsia" w:ascii="仿宋_GB2312"/>
          <w:sz w:val="32"/>
          <w:szCs w:val="32"/>
        </w:rPr>
        <w:t>流动性负债包括：活期存款（不含财政性存款）、一个月内到期的定期存款（不含财政性存款）、一个月内到期的同业往来款项轧差后负债方净额、一个月内到期的已发行的债券、一个月内到期的应付利息及各项应付款、一个月内到期的中央银行借款、其他一个月内到期的负债。</w:t>
      </w:r>
    </w:p>
    <w:p>
      <w:pPr>
        <w:ind w:firstLine="664" w:firstLineChars="200"/>
        <w:rPr>
          <w:rFonts w:ascii="仿宋_GB2312"/>
          <w:sz w:val="32"/>
          <w:szCs w:val="32"/>
        </w:rPr>
      </w:pPr>
      <w:r>
        <w:rPr>
          <w:rFonts w:hint="eastAsia" w:ascii="仿宋_GB2312"/>
          <w:sz w:val="32"/>
          <w:szCs w:val="32"/>
        </w:rPr>
        <w:t>流动性比例衡量商业银行应对短期流动性危机的能力。根据监管要求，商业银行流动性比例不应低于25%。对商业银行进行评估，应关注其流动性比例是否符合监管要求。流动性比例过低，则商业银行的短期偿付能力可能不足，存在流动性风险。</w:t>
      </w:r>
    </w:p>
    <w:p>
      <w:pPr>
        <w:spacing w:before="156" w:beforeLines="50" w:after="156" w:afterLines="50" w:line="400" w:lineRule="exact"/>
        <w:ind w:left="624" w:leftChars="200"/>
        <w:outlineLvl w:val="2"/>
        <w:rPr>
          <w:rFonts w:ascii="仿宋_GB2312" w:hAnsi="Times New Roman"/>
          <w:b/>
          <w:sz w:val="32"/>
          <w:szCs w:val="32"/>
        </w:rPr>
      </w:pPr>
      <w:r>
        <w:rPr>
          <w:rFonts w:hint="eastAsia" w:ascii="仿宋_GB2312"/>
          <w:b/>
          <w:sz w:val="32"/>
          <w:szCs w:val="32"/>
        </w:rPr>
        <w:t>（三）核心负债比例</w:t>
      </w:r>
    </w:p>
    <w:p>
      <w:pPr>
        <w:ind w:firstLine="664" w:firstLineChars="200"/>
        <w:rPr>
          <w:rFonts w:ascii="仿宋_GB2312"/>
          <w:sz w:val="32"/>
          <w:szCs w:val="32"/>
        </w:rPr>
      </w:pPr>
      <w:r>
        <w:rPr>
          <w:rFonts w:hint="eastAsia" w:ascii="仿宋_GB2312"/>
          <w:sz w:val="32"/>
          <w:szCs w:val="32"/>
        </w:rPr>
        <w:t>核心负债比例﹦核心负债/负债总额×100%</w:t>
      </w:r>
    </w:p>
    <w:p>
      <w:pPr>
        <w:ind w:firstLine="664" w:firstLineChars="200"/>
        <w:rPr>
          <w:rFonts w:ascii="仿宋_GB2312"/>
          <w:sz w:val="32"/>
          <w:szCs w:val="32"/>
        </w:rPr>
      </w:pPr>
      <w:r>
        <w:rPr>
          <w:rFonts w:hint="eastAsia" w:ascii="仿宋_GB2312"/>
          <w:sz w:val="32"/>
          <w:szCs w:val="32"/>
        </w:rPr>
        <w:t>其中，核心负债包括距到期日三个月以上（含）定期存款、发行债券以及活期存款的50%。</w:t>
      </w:r>
    </w:p>
    <w:p>
      <w:pPr>
        <w:ind w:firstLine="664" w:firstLineChars="200"/>
        <w:rPr>
          <w:rFonts w:ascii="仿宋_GB2312"/>
          <w:sz w:val="32"/>
          <w:szCs w:val="32"/>
        </w:rPr>
      </w:pPr>
      <w:r>
        <w:rPr>
          <w:rFonts w:hint="eastAsia" w:ascii="仿宋_GB2312"/>
          <w:sz w:val="32"/>
          <w:szCs w:val="32"/>
        </w:rPr>
        <w:t>核心负债比例衡量商业银行负债的稳定程度。核心负债比率过低，可能导致商业银行短期内的支付压力较大，从而面临一定的资金链风险。根据监管要求，商业银行核心负债比例不应低于60%。</w:t>
      </w:r>
    </w:p>
    <w:p>
      <w:pPr>
        <w:spacing w:line="540" w:lineRule="exact"/>
        <w:ind w:firstLine="664" w:firstLineChars="200"/>
        <w:rPr>
          <w:rFonts w:ascii="仿宋_GB2312"/>
          <w:sz w:val="32"/>
          <w:szCs w:val="32"/>
        </w:rPr>
      </w:pPr>
      <w:r>
        <w:rPr>
          <w:rFonts w:hint="eastAsia" w:ascii="仿宋_GB2312"/>
          <w:sz w:val="32"/>
          <w:szCs w:val="32"/>
        </w:rPr>
        <w:t>我国商业银行的负债主要由客户存款构成，客户存款中定期存款和活期存款的占比是影响核心负债比例的关键因素。对商业银行进行评估，应合理预测客户存款中定期存款和活期存款的占比。</w:t>
      </w:r>
    </w:p>
    <w:p>
      <w:pPr>
        <w:spacing w:before="156" w:beforeLines="50" w:after="156" w:afterLines="50" w:line="540" w:lineRule="exact"/>
        <w:ind w:left="624" w:leftChars="200"/>
        <w:outlineLvl w:val="2"/>
        <w:rPr>
          <w:rFonts w:ascii="仿宋_GB2312" w:hAnsi="Times New Roman"/>
          <w:b/>
          <w:sz w:val="32"/>
          <w:szCs w:val="32"/>
        </w:rPr>
      </w:pPr>
      <w:r>
        <w:rPr>
          <w:rFonts w:hint="eastAsia" w:ascii="仿宋_GB2312"/>
          <w:b/>
          <w:sz w:val="32"/>
          <w:szCs w:val="32"/>
        </w:rPr>
        <w:t>（四）不良资产率、不良贷款率</w:t>
      </w:r>
    </w:p>
    <w:p>
      <w:pPr>
        <w:spacing w:line="540" w:lineRule="exact"/>
        <w:ind w:firstLine="664" w:firstLineChars="200"/>
        <w:rPr>
          <w:rFonts w:ascii="仿宋_GB2312"/>
          <w:sz w:val="32"/>
          <w:szCs w:val="32"/>
        </w:rPr>
      </w:pPr>
      <w:r>
        <w:rPr>
          <w:rFonts w:hint="eastAsia" w:ascii="仿宋_GB2312"/>
          <w:sz w:val="32"/>
          <w:szCs w:val="32"/>
        </w:rPr>
        <w:t>不良资产率﹦不良信用风险资产/信用风险资产×100%，不良贷款率﹦不良贷款/贷款总额×100%</w:t>
      </w:r>
    </w:p>
    <w:p>
      <w:pPr>
        <w:ind w:firstLine="664" w:firstLineChars="200"/>
        <w:rPr>
          <w:rFonts w:ascii="仿宋_GB2312"/>
          <w:sz w:val="32"/>
          <w:szCs w:val="32"/>
        </w:rPr>
      </w:pPr>
      <w:r>
        <w:rPr>
          <w:rFonts w:hint="eastAsia" w:ascii="仿宋_GB2312"/>
          <w:sz w:val="32"/>
          <w:szCs w:val="32"/>
        </w:rPr>
        <w:t>其中，信用风险资产是指银行资产负债表表内及表外承担信用风险的资产，主要包括各项贷款、存放同业、拆放同业、买入返售资产、银行账户的债券投资、应收利息、其他应收款、承诺及或有负债等；不良信用风险资产是信用风险资产中划分为不良资产类别（商业银行贷款划分为正常、关注、次级、可疑、损失五类，后三类合称为不良贷款）的部分。</w:t>
      </w:r>
    </w:p>
    <w:p>
      <w:pPr>
        <w:ind w:firstLine="664" w:firstLineChars="200"/>
        <w:rPr>
          <w:rFonts w:ascii="仿宋_GB2312"/>
          <w:sz w:val="32"/>
          <w:szCs w:val="32"/>
        </w:rPr>
      </w:pPr>
      <w:r>
        <w:rPr>
          <w:rFonts w:hint="eastAsia" w:ascii="仿宋_GB2312"/>
          <w:sz w:val="32"/>
          <w:szCs w:val="32"/>
        </w:rPr>
        <w:t>不良资产率、不良贷款率是衡量商业银行贷款风险的重要指标，不良资产率及不良贷款率越高，商业银行面临的经营风险越大。根据监管要求，商业银行不良资产率不应高于4%，不良贷款率不应高于5%。</w:t>
      </w:r>
    </w:p>
    <w:p>
      <w:pPr>
        <w:ind w:firstLine="664" w:firstLineChars="200"/>
        <w:rPr>
          <w:rFonts w:ascii="仿宋_GB2312"/>
          <w:sz w:val="32"/>
          <w:szCs w:val="32"/>
        </w:rPr>
      </w:pPr>
      <w:r>
        <w:rPr>
          <w:rFonts w:hint="eastAsia" w:ascii="仿宋_GB2312"/>
          <w:sz w:val="32"/>
          <w:szCs w:val="32"/>
        </w:rPr>
        <w:t>商业银行的不良资产率及不良贷款率受到包括宏观环境、监管政策、银行经营策略等多种因素影响。对商业银行进行评估，应结合商业银行历史趋势、未来市场趋势、银行经营策略等，合理预测不良资产率和不良贷款率。通常来说，资产风险越高，对应的生息率越高，合理的风险资产配置可以提升商业银行评估价值。需要注意的是，高风险资产配置可能导致商业银行出现经营风险，脱离风险控制的高收益不足以支持商业银行价值提升。</w:t>
      </w:r>
    </w:p>
    <w:p>
      <w:pPr>
        <w:spacing w:before="156" w:beforeLines="50" w:after="156" w:afterLines="50" w:line="400" w:lineRule="exact"/>
        <w:ind w:left="624" w:leftChars="200"/>
        <w:outlineLvl w:val="2"/>
        <w:rPr>
          <w:rFonts w:ascii="仿宋_GB2312" w:hAnsi="Times New Roman"/>
          <w:b/>
          <w:sz w:val="32"/>
          <w:szCs w:val="32"/>
        </w:rPr>
      </w:pPr>
      <w:r>
        <w:rPr>
          <w:rFonts w:hint="eastAsia" w:ascii="仿宋_GB2312"/>
          <w:b/>
          <w:sz w:val="32"/>
          <w:szCs w:val="32"/>
        </w:rPr>
        <w:t>（五）贷款拨备率、拨备覆盖率</w:t>
      </w:r>
    </w:p>
    <w:p>
      <w:pPr>
        <w:ind w:firstLine="664" w:firstLineChars="200"/>
        <w:rPr>
          <w:rFonts w:ascii="仿宋_GB2312"/>
          <w:sz w:val="32"/>
          <w:szCs w:val="32"/>
        </w:rPr>
      </w:pPr>
      <w:r>
        <w:rPr>
          <w:rFonts w:hint="eastAsia" w:ascii="仿宋_GB2312"/>
          <w:sz w:val="32"/>
          <w:szCs w:val="32"/>
        </w:rPr>
        <w:t>贷款拨备率﹦贷款损失准备/贷款</w:t>
      </w:r>
      <w:r>
        <w:rPr>
          <w:rFonts w:hint="eastAsia" w:ascii="仿宋_GB2312"/>
          <w:sz w:val="32"/>
          <w:szCs w:val="32"/>
          <w:highlight w:val="none"/>
        </w:rPr>
        <w:t>×100%</w:t>
      </w:r>
      <w:r>
        <w:rPr>
          <w:rFonts w:hint="eastAsia" w:ascii="仿宋_GB2312"/>
          <w:sz w:val="32"/>
          <w:szCs w:val="32"/>
        </w:rPr>
        <w:t>，拨备覆盖率﹦贷款损失准备/不良贷</w:t>
      </w:r>
      <w:r>
        <w:rPr>
          <w:rFonts w:hint="eastAsia" w:ascii="仿宋_GB2312"/>
          <w:sz w:val="32"/>
          <w:szCs w:val="32"/>
          <w:highlight w:val="none"/>
        </w:rPr>
        <w:t>款×100%</w:t>
      </w:r>
    </w:p>
    <w:p>
      <w:pPr>
        <w:ind w:firstLine="664" w:firstLineChars="200"/>
        <w:rPr>
          <w:rFonts w:ascii="仿宋_GB2312"/>
          <w:sz w:val="32"/>
          <w:szCs w:val="32"/>
        </w:rPr>
      </w:pPr>
      <w:r>
        <w:rPr>
          <w:rFonts w:hint="eastAsia" w:ascii="仿宋_GB2312"/>
          <w:sz w:val="32"/>
          <w:szCs w:val="32"/>
        </w:rPr>
        <w:t>其中，贷款损失准备是商业银行对可能发生减值的客户贷款提取的减值准备。</w:t>
      </w:r>
    </w:p>
    <w:p>
      <w:pPr>
        <w:ind w:firstLine="664" w:firstLineChars="200"/>
        <w:rPr>
          <w:rFonts w:ascii="仿宋_GB2312"/>
          <w:sz w:val="32"/>
          <w:szCs w:val="32"/>
        </w:rPr>
      </w:pPr>
      <w:r>
        <w:rPr>
          <w:rFonts w:hint="eastAsia" w:ascii="仿宋_GB2312"/>
          <w:sz w:val="32"/>
          <w:szCs w:val="32"/>
        </w:rPr>
        <w:t>贷款拨备率及拨备覆盖率衡量商业银行对于贷款风险的审慎程度。贷款拨备率和拨备覆盖率越高，通常说明商业银行对贷款风险较为审慎，能更为有效应对可能出现的坏账风险。根据监管要求，商业银行贷款拨备率应不低于2.5%，拨备覆盖率应不低于150%，原则上按两者孰高的方法确定银行业贷款损失准备。</w:t>
      </w:r>
    </w:p>
    <w:p>
      <w:pPr>
        <w:ind w:firstLine="664" w:firstLineChars="200"/>
        <w:rPr>
          <w:rFonts w:ascii="仿宋_GB2312"/>
          <w:sz w:val="32"/>
          <w:szCs w:val="32"/>
        </w:rPr>
      </w:pPr>
      <w:r>
        <w:rPr>
          <w:rFonts w:hint="eastAsia" w:ascii="仿宋_GB2312"/>
          <w:sz w:val="32"/>
          <w:szCs w:val="32"/>
        </w:rPr>
        <w:t>以收益法对商业银行进行评估，商业银行贷款拨备率和拨备覆盖率尚未达标的，评估机构应合理预测贷款损失准备的计提，使其逐步达到监管要求。</w:t>
      </w:r>
    </w:p>
    <w:p>
      <w:pPr>
        <w:ind w:firstLine="664" w:firstLineChars="200"/>
        <w:rPr>
          <w:rFonts w:ascii="仿宋_GB2312"/>
          <w:sz w:val="32"/>
          <w:szCs w:val="32"/>
        </w:rPr>
      </w:pPr>
      <w:r>
        <w:rPr>
          <w:rFonts w:hint="eastAsia" w:ascii="仿宋_GB2312"/>
          <w:sz w:val="32"/>
          <w:szCs w:val="32"/>
        </w:rPr>
        <w:t>以市场法（尤其是P/E倍数法）对商业银行进行评估，若资产质量相似的银行拨备计提力度不同，对于评估结果会产生较大影响。拨备前利润（PPOP）是商业银行扣除资产减值损失之前的利润，剔除了不同银行由于拨备计提幅度不同对利润造成的影响。以市场法对商业银行进行评估，可采用P/PPOP倍数法。</w:t>
      </w:r>
    </w:p>
    <w:p>
      <w:pPr>
        <w:spacing w:before="156" w:beforeLines="50" w:after="156" w:afterLines="50" w:line="400" w:lineRule="exact"/>
        <w:ind w:left="624" w:leftChars="200"/>
        <w:outlineLvl w:val="2"/>
        <w:rPr>
          <w:rFonts w:ascii="仿宋_GB2312" w:hAnsi="Times New Roman"/>
          <w:b/>
          <w:sz w:val="32"/>
          <w:szCs w:val="32"/>
        </w:rPr>
      </w:pPr>
      <w:r>
        <w:rPr>
          <w:rFonts w:hint="eastAsia" w:ascii="仿宋_GB2312"/>
          <w:b/>
          <w:sz w:val="32"/>
          <w:szCs w:val="32"/>
        </w:rPr>
        <w:t>（六）贷款迁徙率</w:t>
      </w:r>
    </w:p>
    <w:p>
      <w:pPr>
        <w:ind w:firstLine="664" w:firstLineChars="200"/>
        <w:rPr>
          <w:rFonts w:ascii="仿宋_GB2312"/>
          <w:sz w:val="32"/>
          <w:szCs w:val="32"/>
        </w:rPr>
      </w:pPr>
      <w:r>
        <w:rPr>
          <w:rFonts w:hint="eastAsia" w:ascii="仿宋_GB2312"/>
          <w:sz w:val="32"/>
          <w:szCs w:val="32"/>
        </w:rPr>
        <w:t>贷款迁徙率是商业银行贷款类别向下迁移的比例，包括正常贷款迁徙率、关注类贷款迁徙率、次级类贷款迁徙率和可疑类贷款迁徙率。</w:t>
      </w:r>
    </w:p>
    <w:p>
      <w:pPr>
        <w:ind w:firstLine="664" w:firstLineChars="200"/>
        <w:rPr>
          <w:rFonts w:ascii="仿宋_GB2312"/>
          <w:sz w:val="32"/>
          <w:szCs w:val="32"/>
        </w:rPr>
      </w:pPr>
      <w:r>
        <w:rPr>
          <w:rFonts w:hint="eastAsia" w:ascii="仿宋_GB2312"/>
          <w:sz w:val="32"/>
          <w:szCs w:val="32"/>
        </w:rPr>
        <w:t>正常贷款迁徙率，衡量正常贷款（包括正常类贷款和关注类贷款）转变为不良贷款（包括次级类贷款、可疑类贷款和损失类贷款）的比例。正常类贷款迁徙率，衡量正常类贷款转变为五级分类中后四类贷款的比例。关注类贷款迁徙率，衡量关注类贷款转变为后三类贷款的比例。次级类贷款迁徙率，衡量次级类贷款转变为后两类贷款的比例。可疑类贷款迁徙率，衡量可疑类贷款转变为损失类贷款的比例。</w:t>
      </w:r>
    </w:p>
    <w:p>
      <w:pPr>
        <w:ind w:firstLine="664" w:firstLineChars="200"/>
        <w:rPr>
          <w:rFonts w:ascii="仿宋_GB2312"/>
          <w:sz w:val="32"/>
          <w:szCs w:val="32"/>
        </w:rPr>
      </w:pPr>
      <w:r>
        <w:rPr>
          <w:rFonts w:hint="eastAsia" w:ascii="仿宋_GB2312"/>
          <w:sz w:val="32"/>
          <w:szCs w:val="32"/>
        </w:rPr>
        <w:t>贷款迁徙率衡量商业银行的贷款质量的变化，合理预测贷款迁徙率，有助于对商业银行贷款合理进行分类，对预测商业银行的不良贷款余额和不良贷款率形成指导，并进一步影响贷款损失准备和贷款减值损失。对于预测期间的贷款迁徙率，应基于历史数据，并参考未来业务的发展方向。若贷款迁徙率预测过高，可能导致贷款损失准备和贷款减值损失偏高，评估值偏低。反之，若贷款迁徙率预测过低，可能导致贷款损失准备和贷款减值损失偏低，评估值偏高。</w:t>
      </w:r>
    </w:p>
    <w:p>
      <w:pPr>
        <w:spacing w:before="156" w:beforeLines="50" w:after="156" w:afterLines="50" w:line="400" w:lineRule="exact"/>
        <w:ind w:left="624" w:leftChars="200"/>
        <w:outlineLvl w:val="2"/>
        <w:rPr>
          <w:rFonts w:ascii="仿宋_GB2312" w:hAnsi="Times New Roman"/>
          <w:b/>
          <w:sz w:val="32"/>
          <w:szCs w:val="32"/>
        </w:rPr>
      </w:pPr>
      <w:r>
        <w:rPr>
          <w:rFonts w:hint="eastAsia" w:ascii="仿宋_GB2312"/>
          <w:b/>
          <w:sz w:val="32"/>
          <w:szCs w:val="32"/>
        </w:rPr>
        <w:t>（七）资本充足率</w:t>
      </w:r>
    </w:p>
    <w:p>
      <w:pPr>
        <w:ind w:firstLine="664" w:firstLineChars="200"/>
        <w:rPr>
          <w:rFonts w:ascii="仿宋_GB2312"/>
          <w:sz w:val="32"/>
          <w:szCs w:val="32"/>
        </w:rPr>
      </w:pPr>
      <w:r>
        <w:rPr>
          <w:rFonts w:hint="eastAsia" w:ascii="仿宋_GB2312"/>
          <w:sz w:val="32"/>
          <w:szCs w:val="32"/>
        </w:rPr>
        <w:t>资本充足率﹦（总资本-对应资本扣减项）/风险加权资产×100%</w:t>
      </w:r>
    </w:p>
    <w:p>
      <w:pPr>
        <w:ind w:firstLine="664" w:firstLineChars="200"/>
        <w:rPr>
          <w:rFonts w:ascii="仿宋_GB2312"/>
          <w:sz w:val="32"/>
          <w:szCs w:val="32"/>
        </w:rPr>
      </w:pPr>
      <w:r>
        <w:rPr>
          <w:rFonts w:hint="eastAsia" w:ascii="仿宋_GB2312"/>
          <w:sz w:val="32"/>
          <w:szCs w:val="32"/>
        </w:rPr>
        <w:t>一级资本充足率﹦（一级资本﹣对应资本扣减项）/风险加权资产×100%</w:t>
      </w:r>
    </w:p>
    <w:p>
      <w:pPr>
        <w:ind w:firstLine="664" w:firstLineChars="200"/>
        <w:rPr>
          <w:rFonts w:ascii="仿宋_GB2312"/>
          <w:sz w:val="32"/>
          <w:szCs w:val="32"/>
        </w:rPr>
      </w:pPr>
      <w:r>
        <w:rPr>
          <w:rFonts w:hint="eastAsia" w:ascii="仿宋_GB2312"/>
          <w:sz w:val="32"/>
          <w:szCs w:val="32"/>
        </w:rPr>
        <w:t>核心一级资本充足率﹦（核心一级资本﹣对应资本扣减项）/风险加权资产×100%</w:t>
      </w:r>
    </w:p>
    <w:p>
      <w:pPr>
        <w:ind w:firstLine="664" w:firstLineChars="200"/>
        <w:rPr>
          <w:rFonts w:ascii="仿宋_GB2312"/>
          <w:sz w:val="32"/>
          <w:szCs w:val="32"/>
        </w:rPr>
      </w:pPr>
      <w:r>
        <w:rPr>
          <w:rFonts w:hint="eastAsia" w:ascii="仿宋_GB2312"/>
          <w:sz w:val="32"/>
          <w:szCs w:val="32"/>
        </w:rPr>
        <w:t>其中，核心一级资本包括实收资本或普通股、资本公积、盈余公积、一般风险准备、未分配利润、少数股东资本可计入部分；其他一级资本包括其他一级资本工具及其溢价、少数股东资本可计入部分；二级资本包括二级资本工具及其溢价、超额贷款损失准备；一级资本﹦核心一级资本﹢其他一级资本；总资本﹦核心一级资本﹢其他一级资本﹢二级资本。</w:t>
      </w:r>
    </w:p>
    <w:p>
      <w:pPr>
        <w:ind w:firstLine="664" w:firstLineChars="200"/>
        <w:rPr>
          <w:rFonts w:ascii="仿宋_GB2312"/>
          <w:sz w:val="32"/>
          <w:szCs w:val="32"/>
        </w:rPr>
      </w:pPr>
      <w:r>
        <w:rPr>
          <w:rFonts w:hint="eastAsia" w:ascii="仿宋_GB2312"/>
          <w:sz w:val="32"/>
          <w:szCs w:val="32"/>
        </w:rPr>
        <w:t>商业银行的资本充足率是其资本与风险资产的比率，衡量商业银行抵御经营风险的能力。</w:t>
      </w:r>
    </w:p>
    <w:p>
      <w:pPr>
        <w:ind w:firstLine="664" w:firstLineChars="200"/>
        <w:rPr>
          <w:rFonts w:ascii="仿宋_GB2312"/>
          <w:sz w:val="32"/>
          <w:szCs w:val="32"/>
        </w:rPr>
      </w:pPr>
      <w:r>
        <w:rPr>
          <w:rFonts w:hint="eastAsia" w:ascii="仿宋_GB2312"/>
          <w:sz w:val="32"/>
          <w:szCs w:val="32"/>
        </w:rPr>
        <w:t>商业银行资本充足率相关要求如下：</w:t>
      </w:r>
    </w:p>
    <w:tbl>
      <w:tblPr>
        <w:tblStyle w:val="25"/>
        <w:tblW w:w="68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16"/>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4016" w:type="dxa"/>
            <w:vAlign w:val="top"/>
          </w:tcPr>
          <w:p>
            <w:pPr>
              <w:pStyle w:val="31"/>
              <w:spacing w:line="400" w:lineRule="exact"/>
              <w:ind w:firstLine="0" w:firstLineChars="0"/>
              <w:jc w:val="center"/>
              <w:rPr>
                <w:rFonts w:ascii="仿宋_GB2312" w:hAnsi="Times New Roman"/>
                <w:b/>
                <w:sz w:val="32"/>
                <w:szCs w:val="32"/>
              </w:rPr>
            </w:pPr>
            <w:r>
              <w:rPr>
                <w:rFonts w:hint="eastAsia" w:ascii="仿宋_GB2312" w:hAnsi="Times New Roman"/>
                <w:b/>
                <w:sz w:val="32"/>
                <w:szCs w:val="32"/>
              </w:rPr>
              <w:t>资本充足率指标</w:t>
            </w:r>
          </w:p>
        </w:tc>
        <w:tc>
          <w:tcPr>
            <w:tcW w:w="2835" w:type="dxa"/>
            <w:vAlign w:val="top"/>
          </w:tcPr>
          <w:p>
            <w:pPr>
              <w:pStyle w:val="31"/>
              <w:spacing w:line="400" w:lineRule="exact"/>
              <w:ind w:firstLine="0" w:firstLineChars="0"/>
              <w:jc w:val="center"/>
              <w:rPr>
                <w:rFonts w:ascii="仿宋_GB2312" w:hAnsi="Times New Roman"/>
                <w:b/>
                <w:sz w:val="32"/>
                <w:szCs w:val="32"/>
              </w:rPr>
            </w:pPr>
            <w:r>
              <w:rPr>
                <w:rFonts w:hint="eastAsia" w:ascii="仿宋_GB2312"/>
                <w:b/>
                <w:sz w:val="32"/>
                <w:szCs w:val="32"/>
              </w:rPr>
              <w:t>监管要求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016" w:type="dxa"/>
            <w:vAlign w:val="top"/>
          </w:tcPr>
          <w:p>
            <w:pPr>
              <w:pStyle w:val="31"/>
              <w:spacing w:line="400" w:lineRule="exact"/>
              <w:ind w:firstLine="0" w:firstLineChars="0"/>
              <w:rPr>
                <w:rFonts w:ascii="仿宋_GB2312" w:hAnsi="Times New Roman"/>
                <w:sz w:val="32"/>
                <w:szCs w:val="32"/>
              </w:rPr>
            </w:pPr>
            <w:r>
              <w:rPr>
                <w:rFonts w:hint="eastAsia" w:ascii="仿宋_GB2312"/>
                <w:sz w:val="32"/>
                <w:szCs w:val="32"/>
              </w:rPr>
              <w:t>核心一级资本充足率</w:t>
            </w:r>
          </w:p>
        </w:tc>
        <w:tc>
          <w:tcPr>
            <w:tcW w:w="2835" w:type="dxa"/>
            <w:vAlign w:val="top"/>
          </w:tcPr>
          <w:p>
            <w:pPr>
              <w:pStyle w:val="31"/>
              <w:spacing w:line="400" w:lineRule="exact"/>
              <w:ind w:firstLine="0" w:firstLineChars="0"/>
              <w:jc w:val="center"/>
              <w:rPr>
                <w:rFonts w:ascii="仿宋_GB2312" w:hAnsi="Times New Roman"/>
                <w:sz w:val="32"/>
                <w:szCs w:val="32"/>
              </w:rPr>
            </w:pPr>
            <w:r>
              <w:rPr>
                <w:rFonts w:hint="eastAsia" w:cs="宋体"/>
                <w:sz w:val="32"/>
                <w:szCs w:val="32"/>
              </w:rPr>
              <w:t>≧</w:t>
            </w:r>
            <w:r>
              <w:rPr>
                <w:rFonts w:hint="eastAsia" w:ascii="仿宋_GB2312" w:hAnsi="Times New Roman"/>
                <w:sz w:val="32"/>
                <w:szCs w:val="32"/>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016" w:type="dxa"/>
            <w:vAlign w:val="top"/>
          </w:tcPr>
          <w:p>
            <w:pPr>
              <w:pStyle w:val="31"/>
              <w:spacing w:line="400" w:lineRule="exact"/>
              <w:ind w:firstLine="0" w:firstLineChars="0"/>
              <w:rPr>
                <w:rFonts w:ascii="仿宋_GB2312" w:hAnsi="Times New Roman"/>
                <w:sz w:val="32"/>
                <w:szCs w:val="32"/>
              </w:rPr>
            </w:pPr>
            <w:r>
              <w:rPr>
                <w:rFonts w:hint="eastAsia" w:ascii="仿宋_GB2312"/>
                <w:sz w:val="32"/>
                <w:szCs w:val="32"/>
              </w:rPr>
              <w:t>一级资本充足率</w:t>
            </w:r>
          </w:p>
        </w:tc>
        <w:tc>
          <w:tcPr>
            <w:tcW w:w="2835" w:type="dxa"/>
            <w:vAlign w:val="top"/>
          </w:tcPr>
          <w:p>
            <w:pPr>
              <w:pStyle w:val="31"/>
              <w:spacing w:line="400" w:lineRule="exact"/>
              <w:ind w:firstLine="0" w:firstLineChars="0"/>
              <w:jc w:val="center"/>
              <w:rPr>
                <w:rFonts w:ascii="仿宋_GB2312" w:hAnsi="Times New Roman"/>
                <w:sz w:val="32"/>
                <w:szCs w:val="32"/>
              </w:rPr>
            </w:pPr>
            <w:r>
              <w:rPr>
                <w:rFonts w:hint="eastAsia" w:cs="宋体"/>
                <w:sz w:val="32"/>
                <w:szCs w:val="32"/>
              </w:rPr>
              <w:t>≧</w:t>
            </w:r>
            <w:r>
              <w:rPr>
                <w:rFonts w:hint="eastAsia" w:ascii="仿宋_GB2312" w:hAnsi="Times New Roman"/>
                <w:sz w:val="32"/>
                <w:szCs w:val="32"/>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4016" w:type="dxa"/>
            <w:vAlign w:val="top"/>
          </w:tcPr>
          <w:p>
            <w:pPr>
              <w:pStyle w:val="31"/>
              <w:spacing w:line="400" w:lineRule="exact"/>
              <w:ind w:firstLine="0" w:firstLineChars="0"/>
              <w:rPr>
                <w:rFonts w:ascii="仿宋_GB2312" w:hAnsi="Times New Roman"/>
                <w:sz w:val="32"/>
                <w:szCs w:val="32"/>
              </w:rPr>
            </w:pPr>
            <w:r>
              <w:rPr>
                <w:rFonts w:hint="eastAsia" w:ascii="仿宋_GB2312"/>
                <w:sz w:val="32"/>
                <w:szCs w:val="32"/>
              </w:rPr>
              <w:t>资本充足率</w:t>
            </w:r>
          </w:p>
        </w:tc>
        <w:tc>
          <w:tcPr>
            <w:tcW w:w="2835" w:type="dxa"/>
            <w:vAlign w:val="top"/>
          </w:tcPr>
          <w:p>
            <w:pPr>
              <w:pStyle w:val="31"/>
              <w:spacing w:line="400" w:lineRule="exact"/>
              <w:ind w:firstLine="0" w:firstLineChars="0"/>
              <w:jc w:val="center"/>
              <w:rPr>
                <w:rFonts w:ascii="仿宋_GB2312" w:hAnsi="Times New Roman"/>
                <w:sz w:val="32"/>
                <w:szCs w:val="32"/>
              </w:rPr>
            </w:pPr>
            <w:r>
              <w:rPr>
                <w:rFonts w:hint="eastAsia" w:cs="宋体"/>
                <w:sz w:val="32"/>
                <w:szCs w:val="32"/>
              </w:rPr>
              <w:t>≧</w:t>
            </w:r>
            <w:r>
              <w:rPr>
                <w:rFonts w:hint="eastAsia" w:ascii="仿宋_GB2312" w:hAnsi="Times New Roman"/>
                <w:sz w:val="32"/>
                <w:szCs w:val="32"/>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016" w:type="dxa"/>
            <w:vAlign w:val="top"/>
          </w:tcPr>
          <w:p>
            <w:pPr>
              <w:pStyle w:val="31"/>
              <w:spacing w:line="400" w:lineRule="exact"/>
              <w:ind w:firstLine="0" w:firstLineChars="0"/>
              <w:rPr>
                <w:rFonts w:ascii="仿宋_GB2312" w:hAnsi="Times New Roman"/>
                <w:sz w:val="32"/>
                <w:szCs w:val="32"/>
              </w:rPr>
            </w:pPr>
            <w:r>
              <w:rPr>
                <w:rFonts w:hint="eastAsia" w:ascii="仿宋_GB2312"/>
                <w:sz w:val="32"/>
                <w:szCs w:val="32"/>
              </w:rPr>
              <w:t>留存超额资本</w:t>
            </w:r>
          </w:p>
        </w:tc>
        <w:tc>
          <w:tcPr>
            <w:tcW w:w="2835" w:type="dxa"/>
            <w:vAlign w:val="top"/>
          </w:tcPr>
          <w:p>
            <w:pPr>
              <w:pStyle w:val="31"/>
              <w:spacing w:line="400" w:lineRule="exact"/>
              <w:ind w:firstLine="0" w:firstLineChars="0"/>
              <w:jc w:val="center"/>
              <w:rPr>
                <w:rFonts w:ascii="仿宋_GB2312" w:hAnsi="Times New Roman"/>
                <w:sz w:val="32"/>
                <w:szCs w:val="32"/>
              </w:rPr>
            </w:pPr>
            <w:r>
              <w:rPr>
                <w:rFonts w:hint="eastAsia" w:ascii="仿宋_GB2312" w:hAnsi="Times New Roman"/>
                <w:sz w:val="32"/>
                <w:szCs w:val="32"/>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016" w:type="dxa"/>
            <w:vAlign w:val="top"/>
          </w:tcPr>
          <w:p>
            <w:pPr>
              <w:pStyle w:val="31"/>
              <w:spacing w:line="400" w:lineRule="exact"/>
              <w:ind w:firstLine="0" w:firstLineChars="0"/>
              <w:rPr>
                <w:rFonts w:ascii="仿宋_GB2312" w:hAnsi="Times New Roman"/>
                <w:sz w:val="32"/>
                <w:szCs w:val="32"/>
              </w:rPr>
            </w:pPr>
            <w:r>
              <w:rPr>
                <w:rFonts w:hint="eastAsia" w:ascii="仿宋_GB2312"/>
                <w:sz w:val="32"/>
                <w:szCs w:val="32"/>
              </w:rPr>
              <w:t>逆周期超额资本</w:t>
            </w:r>
          </w:p>
        </w:tc>
        <w:tc>
          <w:tcPr>
            <w:tcW w:w="2835" w:type="dxa"/>
            <w:vAlign w:val="top"/>
          </w:tcPr>
          <w:p>
            <w:pPr>
              <w:pStyle w:val="31"/>
              <w:spacing w:line="400" w:lineRule="exact"/>
              <w:ind w:firstLine="0" w:firstLineChars="0"/>
              <w:jc w:val="center"/>
              <w:rPr>
                <w:rFonts w:ascii="仿宋_GB2312" w:hAnsi="Times New Roman"/>
                <w:sz w:val="32"/>
                <w:szCs w:val="32"/>
              </w:rPr>
            </w:pPr>
            <w:r>
              <w:rPr>
                <w:rFonts w:hint="eastAsia" w:ascii="仿宋_GB2312" w:hAnsi="Times New Roman"/>
                <w:sz w:val="32"/>
                <w:szCs w:val="32"/>
              </w:rPr>
              <w:t>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4016" w:type="dxa"/>
            <w:vAlign w:val="top"/>
          </w:tcPr>
          <w:p>
            <w:pPr>
              <w:pStyle w:val="31"/>
              <w:spacing w:line="400" w:lineRule="exact"/>
              <w:ind w:firstLine="0" w:firstLineChars="0"/>
              <w:rPr>
                <w:rFonts w:ascii="仿宋_GB2312" w:hAnsi="Times New Roman"/>
                <w:sz w:val="32"/>
                <w:szCs w:val="32"/>
              </w:rPr>
            </w:pPr>
            <w:r>
              <w:rPr>
                <w:rFonts w:hint="eastAsia" w:ascii="仿宋_GB2312"/>
                <w:sz w:val="32"/>
                <w:szCs w:val="32"/>
              </w:rPr>
              <w:t>系统重要性银行附加资本要求</w:t>
            </w:r>
          </w:p>
        </w:tc>
        <w:tc>
          <w:tcPr>
            <w:tcW w:w="2835" w:type="dxa"/>
            <w:vAlign w:val="top"/>
          </w:tcPr>
          <w:p>
            <w:pPr>
              <w:pStyle w:val="31"/>
              <w:spacing w:line="400" w:lineRule="exact"/>
              <w:ind w:firstLine="0" w:firstLineChars="0"/>
              <w:jc w:val="center"/>
              <w:rPr>
                <w:rFonts w:ascii="仿宋_GB2312" w:hAnsi="Times New Roman"/>
                <w:sz w:val="32"/>
                <w:szCs w:val="32"/>
              </w:rPr>
            </w:pPr>
            <w:r>
              <w:rPr>
                <w:rFonts w:hint="eastAsia" w:ascii="仿宋_GB2312" w:hAnsi="Times New Roman"/>
                <w:sz w:val="32"/>
                <w:szCs w:val="32"/>
              </w:rPr>
              <w:t>1%</w:t>
            </w:r>
            <w:r>
              <w:rPr>
                <w:rFonts w:hint="eastAsia" w:ascii="仿宋_GB2312"/>
                <w:sz w:val="32"/>
                <w:szCs w:val="32"/>
              </w:rPr>
              <w:t>，由核心一级资本满足</w:t>
            </w:r>
          </w:p>
        </w:tc>
      </w:tr>
    </w:tbl>
    <w:p>
      <w:pPr>
        <w:ind w:firstLine="664" w:firstLineChars="200"/>
        <w:rPr>
          <w:rFonts w:ascii="仿宋_GB2312"/>
          <w:sz w:val="32"/>
          <w:szCs w:val="32"/>
        </w:rPr>
      </w:pPr>
      <w:r>
        <w:rPr>
          <w:rFonts w:hint="eastAsia" w:ascii="仿宋_GB2312"/>
          <w:sz w:val="32"/>
          <w:szCs w:val="32"/>
        </w:rPr>
        <w:t>系统重要性银行和非系统重要性银行应分别于2013年底和2016年底前达到新的资本监管标准。资本充足率指标旨在限制商业银行风险资产的过度膨胀，降低存款人和债权人遭受损失的风险。在资本充足率指标的约束之下，商业银行在规模扩张的过程中会受到一定限制。</w:t>
      </w:r>
    </w:p>
    <w:p>
      <w:pPr>
        <w:ind w:firstLine="664" w:firstLineChars="200"/>
        <w:rPr>
          <w:rFonts w:ascii="仿宋_GB2312"/>
          <w:sz w:val="32"/>
          <w:szCs w:val="32"/>
        </w:rPr>
      </w:pPr>
      <w:r>
        <w:rPr>
          <w:rFonts w:hint="eastAsia" w:ascii="仿宋_GB2312"/>
          <w:sz w:val="32"/>
          <w:szCs w:val="32"/>
        </w:rPr>
        <w:t>对商业银行进行评估，应测算评估对象历史期间和预测期间的资本充足率水平，资本充足率不足或可能出现不足的，评估机构应相应调整预测期内的业务发展规模，使其逐步达到资本监管要求。此外，商业银行也可以通过发行资本工具、降低分红水平等方式对资本金进行补充。对于我国上市商业银行来说，新股增发是其补充核心一级资本的重要手段。以红利折现模型评估商业银行价值，应在满足资本充足率要求的情况下安排红利发放，否则会造成股权价值高估。</w:t>
      </w:r>
    </w:p>
    <w:p>
      <w:pPr>
        <w:spacing w:before="156" w:beforeLines="50" w:after="156" w:afterLines="50" w:line="400" w:lineRule="exact"/>
        <w:ind w:left="624" w:leftChars="200"/>
        <w:outlineLvl w:val="2"/>
        <w:rPr>
          <w:rFonts w:ascii="仿宋_GB2312" w:hAnsi="Times New Roman"/>
          <w:b/>
          <w:sz w:val="32"/>
          <w:szCs w:val="32"/>
        </w:rPr>
      </w:pPr>
      <w:r>
        <w:rPr>
          <w:rFonts w:hint="eastAsia" w:ascii="仿宋_GB2312"/>
          <w:b/>
          <w:sz w:val="32"/>
          <w:szCs w:val="32"/>
        </w:rPr>
        <w:t>（八）存款准备金率</w:t>
      </w:r>
    </w:p>
    <w:p>
      <w:pPr>
        <w:ind w:firstLine="664" w:firstLineChars="200"/>
        <w:rPr>
          <w:rFonts w:ascii="仿宋_GB2312"/>
          <w:sz w:val="32"/>
          <w:szCs w:val="32"/>
        </w:rPr>
      </w:pPr>
      <w:r>
        <w:rPr>
          <w:rFonts w:hint="eastAsia" w:ascii="仿宋_GB2312"/>
          <w:sz w:val="32"/>
          <w:szCs w:val="32"/>
        </w:rPr>
        <w:t>存款准备金率﹦存款准备金/客户存款×100%</w:t>
      </w:r>
    </w:p>
    <w:p>
      <w:pPr>
        <w:ind w:firstLine="664" w:firstLineChars="200"/>
        <w:rPr>
          <w:rFonts w:ascii="仿宋_GB2312"/>
          <w:sz w:val="32"/>
          <w:szCs w:val="32"/>
        </w:rPr>
      </w:pPr>
      <w:r>
        <w:rPr>
          <w:rFonts w:hint="eastAsia" w:ascii="仿宋_GB2312"/>
          <w:sz w:val="32"/>
          <w:szCs w:val="32"/>
        </w:rPr>
        <w:t>其中，存款准备金是指金融企业为保证客户提取存款和资金清算需要而存放在中央银行的存款。</w:t>
      </w:r>
    </w:p>
    <w:p>
      <w:pPr>
        <w:ind w:firstLine="664" w:firstLineChars="200"/>
        <w:rPr>
          <w:rFonts w:ascii="仿宋_GB2312"/>
          <w:sz w:val="32"/>
          <w:szCs w:val="32"/>
        </w:rPr>
      </w:pPr>
      <w:r>
        <w:rPr>
          <w:rFonts w:hint="eastAsia" w:ascii="仿宋_GB2312"/>
          <w:sz w:val="32"/>
          <w:szCs w:val="32"/>
        </w:rPr>
        <w:t>存款准备金的初始作用是保证商业银行存款的支付和清算，现已逐渐成为央行调控货币供应量的重要工具之一。央行通过调整存款准备金率，影响金融企业的信贷能力，从而间接调控市场货币供应量。</w:t>
      </w:r>
    </w:p>
    <w:p>
      <w:pPr>
        <w:spacing w:line="560" w:lineRule="exact"/>
        <w:ind w:firstLine="664" w:firstLineChars="200"/>
        <w:rPr>
          <w:rFonts w:ascii="仿宋_GB2312"/>
          <w:sz w:val="32"/>
          <w:szCs w:val="32"/>
        </w:rPr>
      </w:pPr>
      <w:r>
        <w:rPr>
          <w:rFonts w:hint="eastAsia" w:ascii="仿宋_GB2312"/>
          <w:sz w:val="32"/>
          <w:szCs w:val="32"/>
        </w:rPr>
        <w:t>不同类型商业银行适用不同的存款准备金率，大型商业银行普遍适用的存款准备金率为20.0%，中小商业银行普遍适用的存款准备金率为16.5%。2014年，为了加强金融对“三农”发展的支持，拓展资金来源，中国人民银行先后两次定向下调存款准备金率。从2014年4月25日起下调县域农村商业银行人民币存款准备金率2个百分点，下调县域农村合作银行人民币存款准备金率0.5个百分点；从2014年6月16日起，对符合审慎经营要求且“三农”和小微企业贷款达到一定比例的商业银行（不含2014年4月25日已下调过准备金率的机构）下调人民币存款准备金率0.5个百分点。</w:t>
      </w:r>
    </w:p>
    <w:p>
      <w:pPr>
        <w:spacing w:line="560" w:lineRule="exact"/>
        <w:ind w:firstLine="664" w:firstLineChars="200"/>
        <w:rPr>
          <w:rFonts w:ascii="仿宋_GB2312"/>
          <w:sz w:val="32"/>
          <w:szCs w:val="32"/>
        </w:rPr>
      </w:pPr>
      <w:r>
        <w:rPr>
          <w:rFonts w:hint="eastAsia" w:ascii="仿宋_GB2312"/>
          <w:sz w:val="32"/>
          <w:szCs w:val="32"/>
        </w:rPr>
        <w:t>对商业银行进行评估，应按照客户存款金额计算存款准备金，该部分资金不能随意挪用，不得视为溢余资金，而应作为经营性资产，否则会造成价值高估。</w:t>
      </w:r>
    </w:p>
    <w:p>
      <w:pPr>
        <w:spacing w:before="156" w:beforeLines="50" w:after="156" w:afterLines="50" w:line="560" w:lineRule="exact"/>
        <w:ind w:left="624" w:leftChars="200"/>
        <w:outlineLvl w:val="2"/>
        <w:rPr>
          <w:rFonts w:ascii="仿宋_GB2312" w:hAnsi="Times New Roman"/>
          <w:b/>
          <w:sz w:val="32"/>
          <w:szCs w:val="32"/>
        </w:rPr>
      </w:pPr>
      <w:r>
        <w:rPr>
          <w:rFonts w:hint="eastAsia" w:ascii="仿宋_GB2312"/>
          <w:b/>
          <w:sz w:val="32"/>
          <w:szCs w:val="32"/>
        </w:rPr>
        <w:t>（九）成本收入比</w:t>
      </w:r>
    </w:p>
    <w:p>
      <w:pPr>
        <w:spacing w:before="156" w:beforeLines="50" w:after="156" w:afterLines="50" w:line="560" w:lineRule="exact"/>
        <w:ind w:firstLine="664" w:firstLineChars="200"/>
        <w:rPr>
          <w:rFonts w:ascii="仿宋_GB2312" w:hAnsi="Times New Roman"/>
          <w:sz w:val="32"/>
          <w:szCs w:val="32"/>
        </w:rPr>
      </w:pPr>
      <w:r>
        <w:rPr>
          <w:rFonts w:hint="eastAsia" w:ascii="仿宋_GB2312"/>
          <w:sz w:val="32"/>
          <w:szCs w:val="32"/>
        </w:rPr>
        <w:t>成本收入比</w:t>
      </w:r>
      <w:r>
        <w:rPr>
          <w:rFonts w:hint="eastAsia" w:cs="宋体"/>
          <w:sz w:val="32"/>
          <w:szCs w:val="32"/>
        </w:rPr>
        <w:t>﹦</w:t>
      </w:r>
      <w:r>
        <w:rPr>
          <w:rFonts w:hint="eastAsia" w:ascii="仿宋_GB2312"/>
          <w:sz w:val="32"/>
          <w:szCs w:val="32"/>
        </w:rPr>
        <w:t>业务及管理费</w:t>
      </w:r>
      <w:r>
        <w:rPr>
          <w:rFonts w:hint="eastAsia" w:ascii="仿宋_GB2312" w:hAnsi="Times New Roman"/>
          <w:sz w:val="32"/>
          <w:szCs w:val="32"/>
        </w:rPr>
        <w:t>/</w:t>
      </w:r>
      <w:r>
        <w:rPr>
          <w:rFonts w:hint="eastAsia" w:ascii="仿宋_GB2312"/>
          <w:sz w:val="32"/>
          <w:szCs w:val="32"/>
        </w:rPr>
        <w:t>营业收入</w:t>
      </w:r>
      <w:r>
        <w:rPr>
          <w:rFonts w:hint="eastAsia" w:ascii="仿宋_GB2312" w:hAnsi="Times New Roman"/>
          <w:sz w:val="32"/>
          <w:szCs w:val="32"/>
        </w:rPr>
        <w:t>×100%</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其中，业务及管理费主要包括员工薪酬支出、折旧、租金及其他行政管理费用，反映商业银行的薪资待遇水平及精细化管理水平。根据监管要求，商业银行的成本收入比不应高于</w:t>
      </w:r>
      <w:r>
        <w:rPr>
          <w:rFonts w:hint="eastAsia" w:ascii="仿宋_GB2312" w:hAnsi="Times New Roman"/>
          <w:sz w:val="32"/>
          <w:szCs w:val="32"/>
        </w:rPr>
        <w:t>45%</w:t>
      </w:r>
      <w:r>
        <w:rPr>
          <w:rFonts w:hint="eastAsia" w:ascii="仿宋_GB2312"/>
          <w:sz w:val="32"/>
          <w:szCs w:val="32"/>
        </w:rPr>
        <w:t>。</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商业银行的营业支出主要由营业税金及附加、业务及管理费和资产减值损失构成，业务及管理费通常是占比最大的部分。对商业银行进行评估，应根据商业银行的业务规模和经营管理水平，合理预测其业务及管理费。对于经营管理水平没有明显变化及变化预期的商业银行，其成本收入比不应出现太大波动。</w:t>
      </w:r>
    </w:p>
    <w:p>
      <w:pPr>
        <w:spacing w:before="156" w:beforeLines="50" w:after="156" w:afterLines="50"/>
        <w:ind w:left="624" w:leftChars="200"/>
        <w:outlineLvl w:val="2"/>
        <w:rPr>
          <w:rFonts w:ascii="仿宋_GB2312" w:hAnsi="Times New Roman"/>
          <w:b/>
          <w:sz w:val="32"/>
          <w:szCs w:val="32"/>
        </w:rPr>
      </w:pPr>
      <w:r>
        <w:rPr>
          <w:rFonts w:hint="eastAsia" w:ascii="仿宋_GB2312"/>
          <w:b/>
          <w:sz w:val="32"/>
          <w:szCs w:val="32"/>
        </w:rPr>
        <w:t>（十）资产利润率</w:t>
      </w:r>
    </w:p>
    <w:p>
      <w:pPr>
        <w:spacing w:before="156" w:beforeLines="50" w:after="156" w:afterLines="50" w:line="560" w:lineRule="atLeast"/>
        <w:ind w:firstLine="664" w:firstLineChars="200"/>
        <w:rPr>
          <w:rFonts w:ascii="仿宋_GB2312" w:hAnsi="Times New Roman"/>
          <w:sz w:val="32"/>
          <w:szCs w:val="32"/>
        </w:rPr>
      </w:pPr>
      <w:r>
        <w:rPr>
          <w:rFonts w:hint="eastAsia" w:ascii="仿宋_GB2312"/>
          <w:sz w:val="32"/>
          <w:szCs w:val="32"/>
        </w:rPr>
        <w:t>资产利润率</w:t>
      </w:r>
      <w:r>
        <w:rPr>
          <w:rFonts w:hint="eastAsia" w:cs="宋体"/>
          <w:sz w:val="32"/>
          <w:szCs w:val="32"/>
        </w:rPr>
        <w:t>﹦</w:t>
      </w:r>
      <w:r>
        <w:rPr>
          <w:rFonts w:hint="eastAsia" w:ascii="仿宋_GB2312" w:hAnsi="仿宋_GB2312" w:cs="仿宋_GB2312"/>
          <w:sz w:val="32"/>
          <w:szCs w:val="32"/>
        </w:rPr>
        <w:t>净利润</w:t>
      </w:r>
      <w:r>
        <w:rPr>
          <w:rFonts w:hint="eastAsia" w:ascii="仿宋_GB2312" w:hAnsi="Times New Roman"/>
          <w:sz w:val="32"/>
          <w:szCs w:val="32"/>
        </w:rPr>
        <w:t>/</w:t>
      </w:r>
      <w:r>
        <w:rPr>
          <w:rFonts w:hint="eastAsia" w:ascii="仿宋_GB2312"/>
          <w:sz w:val="32"/>
          <w:szCs w:val="32"/>
        </w:rPr>
        <w:t>资产平均余额</w:t>
      </w:r>
      <w:r>
        <w:rPr>
          <w:rFonts w:hint="eastAsia" w:ascii="仿宋_GB2312" w:hAnsi="Times New Roman"/>
          <w:sz w:val="32"/>
          <w:szCs w:val="32"/>
        </w:rPr>
        <w:t>×100%</w:t>
      </w:r>
    </w:p>
    <w:p>
      <w:pPr>
        <w:spacing w:before="156" w:beforeLines="50" w:after="156" w:afterLines="50" w:line="560" w:lineRule="atLeast"/>
        <w:ind w:firstLine="664" w:firstLineChars="200"/>
        <w:rPr>
          <w:rFonts w:ascii="仿宋_GB2312"/>
          <w:sz w:val="32"/>
          <w:szCs w:val="32"/>
        </w:rPr>
      </w:pPr>
      <w:r>
        <w:rPr>
          <w:rFonts w:hint="eastAsia" w:ascii="仿宋_GB2312"/>
          <w:sz w:val="32"/>
          <w:szCs w:val="32"/>
        </w:rPr>
        <w:t>资产利润率衡量商业银行的盈利能力。根据监管要求，商业银行资产利润率不应低于</w:t>
      </w:r>
      <w:r>
        <w:rPr>
          <w:rFonts w:hint="eastAsia" w:ascii="仿宋_GB2312" w:hAnsi="Times New Roman"/>
          <w:sz w:val="32"/>
          <w:szCs w:val="32"/>
        </w:rPr>
        <w:t>0.6%</w:t>
      </w:r>
      <w:r>
        <w:rPr>
          <w:rFonts w:hint="eastAsia" w:ascii="仿宋_GB2312"/>
          <w:sz w:val="32"/>
          <w:szCs w:val="32"/>
        </w:rPr>
        <w:t>。</w:t>
      </w:r>
    </w:p>
    <w:p>
      <w:pPr>
        <w:spacing w:before="156" w:beforeLines="50" w:after="156" w:afterLines="50" w:line="560" w:lineRule="atLeast"/>
        <w:ind w:firstLine="664" w:firstLineChars="200"/>
        <w:rPr>
          <w:rFonts w:ascii="仿宋_GB2312" w:hAnsi="Times New Roman"/>
          <w:sz w:val="32"/>
          <w:szCs w:val="32"/>
        </w:rPr>
      </w:pPr>
      <w:r>
        <w:rPr>
          <w:rFonts w:hint="eastAsia" w:ascii="仿宋_GB2312"/>
          <w:sz w:val="32"/>
          <w:szCs w:val="32"/>
        </w:rPr>
        <w:t>对商业银行进行评估，应测算预测期间的资产利润率，预测期间的资产利润率应符合历史走势及商业银行的发展趋势。需要注意的是，该指标中的分子净利润考虑了中间业务收入，而分母资产平均余额并未考虑中间业务所对应的表外资产，所以对于中间业务快速扩张的商业银行，该指标可能会有一定提升。</w:t>
      </w:r>
    </w:p>
    <w:p>
      <w:pPr>
        <w:spacing w:before="156" w:beforeLines="50" w:after="156" w:afterLines="50"/>
        <w:ind w:left="624" w:leftChars="200"/>
        <w:outlineLvl w:val="2"/>
        <w:rPr>
          <w:rFonts w:ascii="仿宋_GB2312" w:hAnsi="Times New Roman"/>
          <w:b/>
          <w:sz w:val="32"/>
          <w:szCs w:val="32"/>
        </w:rPr>
      </w:pPr>
      <w:r>
        <w:rPr>
          <w:rFonts w:hint="eastAsia" w:ascii="仿宋_GB2312"/>
          <w:b/>
          <w:sz w:val="32"/>
          <w:szCs w:val="32"/>
        </w:rPr>
        <w:t>（十一）资本利润率</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资本利润率</w:t>
      </w:r>
      <w:r>
        <w:rPr>
          <w:rFonts w:hint="eastAsia" w:cs="宋体"/>
          <w:sz w:val="32"/>
          <w:szCs w:val="32"/>
        </w:rPr>
        <w:t>﹦</w:t>
      </w:r>
      <w:r>
        <w:rPr>
          <w:rFonts w:hint="eastAsia" w:ascii="仿宋_GB2312" w:hAnsi="仿宋_GB2312" w:cs="仿宋_GB2312"/>
          <w:sz w:val="32"/>
          <w:szCs w:val="32"/>
        </w:rPr>
        <w:t>净利润</w:t>
      </w:r>
      <w:r>
        <w:rPr>
          <w:rFonts w:hint="eastAsia" w:ascii="仿宋_GB2312" w:hAnsi="Times New Roman"/>
          <w:sz w:val="32"/>
          <w:szCs w:val="32"/>
        </w:rPr>
        <w:t>/</w:t>
      </w:r>
      <w:r>
        <w:rPr>
          <w:rFonts w:hint="eastAsia" w:ascii="仿宋_GB2312"/>
          <w:sz w:val="32"/>
          <w:szCs w:val="32"/>
        </w:rPr>
        <w:t>所有者权益平均余额</w:t>
      </w:r>
      <w:r>
        <w:rPr>
          <w:rFonts w:hint="eastAsia" w:ascii="仿宋_GB2312" w:hAnsi="Times New Roman"/>
          <w:sz w:val="32"/>
          <w:szCs w:val="32"/>
        </w:rPr>
        <w:t>×100%</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资本利润率衡量商业银行给股东创造回报的能力。</w:t>
      </w:r>
    </w:p>
    <w:p>
      <w:pPr>
        <w:spacing w:before="156" w:beforeLines="50" w:after="156" w:afterLines="50"/>
        <w:ind w:firstLine="664" w:firstLineChars="200"/>
        <w:rPr>
          <w:rFonts w:ascii="仿宋_GB2312"/>
          <w:sz w:val="32"/>
          <w:szCs w:val="32"/>
        </w:rPr>
      </w:pPr>
      <w:r>
        <w:rPr>
          <w:rFonts w:hint="eastAsia" w:ascii="仿宋_GB2312"/>
          <w:sz w:val="32"/>
          <w:szCs w:val="32"/>
        </w:rPr>
        <w:t>根据监管要求，商业银行资本利润率不应低于</w:t>
      </w:r>
      <w:r>
        <w:rPr>
          <w:rFonts w:hint="eastAsia" w:ascii="仿宋_GB2312" w:hAnsi="Times New Roman"/>
          <w:sz w:val="32"/>
          <w:szCs w:val="32"/>
        </w:rPr>
        <w:t>11%</w:t>
      </w:r>
      <w:r>
        <w:rPr>
          <w:rFonts w:hint="eastAsia" w:ascii="仿宋_GB2312"/>
          <w:sz w:val="32"/>
          <w:szCs w:val="32"/>
        </w:rPr>
        <w:t>。对商业银行进行评估，应测算预测期间的资本利润率，预测期间的资本利润率应符合历史走势及商业银行的发展趋势。若发生了股权融资等一次性事件，短期内所有者权益金额快速上升，可能造成资本利润率下降的表象。评估机构应分析商业银行利用新融得资本金创造价值的能力，从而判断融资后的资本利润率走势。</w:t>
      </w:r>
    </w:p>
    <w:p>
      <w:pPr>
        <w:spacing w:before="156" w:beforeLines="50" w:after="156" w:afterLines="50"/>
        <w:ind w:left="624" w:leftChars="200"/>
        <w:outlineLvl w:val="1"/>
        <w:rPr>
          <w:rFonts w:ascii="仿宋_GB2312"/>
          <w:b/>
          <w:sz w:val="32"/>
          <w:szCs w:val="32"/>
        </w:rPr>
      </w:pPr>
      <w:r>
        <w:rPr>
          <w:rFonts w:hint="eastAsia" w:ascii="仿宋_GB2312"/>
          <w:b/>
          <w:sz w:val="32"/>
          <w:szCs w:val="32"/>
        </w:rPr>
        <w:t>三、评估中应关注的问题</w:t>
      </w:r>
    </w:p>
    <w:p>
      <w:pPr>
        <w:spacing w:before="156" w:beforeLines="50" w:after="156" w:afterLines="50" w:line="560" w:lineRule="atLeast"/>
        <w:ind w:firstLine="664" w:firstLineChars="200"/>
        <w:rPr>
          <w:rFonts w:ascii="仿宋_GB2312" w:hAnsi="Times New Roman"/>
          <w:sz w:val="32"/>
          <w:szCs w:val="32"/>
        </w:rPr>
      </w:pPr>
      <w:r>
        <w:rPr>
          <w:rFonts w:hint="eastAsia" w:ascii="仿宋_GB2312" w:hAnsi="Times New Roman"/>
          <w:sz w:val="32"/>
          <w:szCs w:val="32"/>
        </w:rPr>
        <w:t>流动性指标衡量商业银行支付存款和偿还债务的能力。一般来说，风险较低、流动性较强的资产盈利</w:t>
      </w:r>
      <w:r>
        <w:rPr>
          <w:rFonts w:hint="eastAsia" w:ascii="仿宋_GB2312" w:hAnsi="Times New Roman"/>
          <w:sz w:val="32"/>
          <w:szCs w:val="32"/>
          <w:highlight w:val="none"/>
        </w:rPr>
        <w:t>能力</w:t>
      </w:r>
      <w:r>
        <w:rPr>
          <w:rFonts w:hint="eastAsia" w:ascii="仿宋_GB2312" w:hAnsi="Times New Roman"/>
          <w:sz w:val="32"/>
          <w:szCs w:val="32"/>
          <w:highlight w:val="none"/>
          <w:lang w:eastAsia="zh-CN"/>
        </w:rPr>
        <w:t>相对</w:t>
      </w:r>
      <w:r>
        <w:rPr>
          <w:rFonts w:hint="eastAsia" w:ascii="仿宋_GB2312" w:hAnsi="Times New Roman"/>
          <w:sz w:val="32"/>
          <w:szCs w:val="32"/>
        </w:rPr>
        <w:t>较低，商业银行合理配置一些较高风险资产，可以提升其利润表现。需要注意的是，脱离风险控制的高收益并不足以支持商业银行的价值提升。流动性不足可能导致商业银行面临资金链风险，甚至因为挤兑问题而出现破产。以收益法对商业银行进行评估，评估对象流动性风险监管指标偏低的，评估机构可以在预测时调整其资产配置，合理增持风险较低、流动性较强的资产，使其在过渡期内达到流动性监管要求。此外，还可以考虑对流动性不足的商业银行采取较高折现率，以反映其在经营过程中所面对的风险。对于流动性不足的商业银行，评估机构应在评估报告中披露相关风险。</w:t>
      </w:r>
    </w:p>
    <w:p>
      <w:pPr>
        <w:spacing w:before="156" w:beforeLines="50" w:after="156" w:afterLines="50"/>
        <w:ind w:firstLine="664" w:firstLineChars="200"/>
        <w:rPr>
          <w:rFonts w:ascii="仿宋_GB2312" w:hAnsi="Times New Roman"/>
          <w:sz w:val="32"/>
          <w:szCs w:val="32"/>
        </w:rPr>
      </w:pPr>
      <w:r>
        <w:rPr>
          <w:rFonts w:hint="eastAsia" w:ascii="仿宋_GB2312" w:hAnsi="Times New Roman"/>
          <w:sz w:val="32"/>
          <w:szCs w:val="32"/>
        </w:rPr>
        <w:t>风险监管指标衡量商业银行面临的经营风险。其中，不良资产率和不良贷款率衡量商业银行的资产质量，商业银行每发生一笔不良贷款，就会侵蚀掉几十倍的贷款额度所带来的收益，对其利润影响极大。贷款拨备率和拨备覆盖率衡量商业银行对于贷款风险的覆盖程度。拨备计提幅度对商业银行的利润影响较大，计提幅度较大的商业银行，将会在利润表中形成较高的资产减值损失，从而降低净利润表现。对商业银行进行评估，应重点关注其拨备计提幅度是否与贷款质量相匹配，一般来说，贷款质量越低，商业银行的拨备覆盖程度应越高。资本充足率对商业银行的规模扩张形成约束，避免商业银行的发展脱离风险控制。对商业银行进行评估，应关注其资本充足率是否符合监管需求，并合理采取发行资本工具及降低分红水平等方式对资本金形成长期有效的补充机制。对于风险监管指标不符合监管要求的商业银行，评估机构应在评估报告中披露相关风险。</w:t>
      </w:r>
    </w:p>
    <w:p>
      <w:pPr>
        <w:spacing w:before="156" w:beforeLines="50" w:after="156" w:afterLines="50"/>
        <w:ind w:firstLine="664" w:firstLineChars="200"/>
        <w:rPr>
          <w:rFonts w:ascii="仿宋_GB2312"/>
          <w:sz w:val="32"/>
          <w:szCs w:val="32"/>
        </w:rPr>
      </w:pPr>
      <w:r>
        <w:rPr>
          <w:rFonts w:hint="eastAsia" w:ascii="仿宋_GB2312" w:hAnsi="Times New Roman"/>
          <w:sz w:val="32"/>
          <w:szCs w:val="32"/>
        </w:rPr>
        <w:t>盈利能力指标衡量商业银行利用资产创造收益的能力。其中，成本收入比是商业银行单位收入所对应的成本，体现其成本控制能力；资产利润率和资本利润率主要衡量商业银行创造利润的能力。合理预测商业银行的盈利能力，是合理评估商业银行价值的重要前提。</w:t>
      </w:r>
      <w:r>
        <w:rPr>
          <w:rFonts w:hint="eastAsia" w:ascii="仿宋_GB2312"/>
          <w:sz w:val="32"/>
          <w:szCs w:val="32"/>
        </w:rPr>
        <w:t>商业银行的盈利来源主要是净利息收入和中间业务收入。净利息收入受到利率政策、商业银行经营模式、其他投资渠道等因素的影响。举例来说，在目前互联网金融的冲击之下，商业银行的吸储成本会有一定幅度上升，从而影响其收益水平。中间业务收入不占用资本金，且商业银行的网点优势利于其开展各种形式的中间业务，所以近年来中间业务越发受到商业银行重视，中间业务收入在商业银行营业收入中的占比也逐渐提升。鉴于我国商业银行中间业务水平与国际商业银行相比还有一定差距，可以预期中间业务在未来较长时间内还会继续成为商业银行的发展重点，资产评估师应将该趋势合理体现在假设数据之中。</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评估机构还应注意，商业银行的流动性指标、风险监管指标和盈利能力指标是相互关联的，某项经营行为的变动，可能会同时影响多项指标。例如，商业银行在发放贷款时，提升了高风险贷款所占比例，这项经营行为会直接导致贷款质量下降，进一步带来的影响可能包括不良贷款率上升及资本充足率下降等。以收益法对商业银行进行评估，应将某因素变动造成的影响具体落实到各项相关财务假设数据中，从而体现在商业银行的权益价值之中。</w:t>
      </w:r>
    </w:p>
    <w:p>
      <w:pPr>
        <w:widowControl w:val="0"/>
        <w:wordWrap/>
        <w:autoSpaceDE w:val="0"/>
        <w:autoSpaceDN w:val="0"/>
        <w:adjustRightInd w:val="0"/>
        <w:snapToGrid w:val="0"/>
        <w:spacing w:before="157" w:beforeLines="50" w:after="157" w:afterLines="50" w:line="588" w:lineRule="atLeast"/>
        <w:ind w:left="0" w:leftChars="0" w:right="0" w:firstLine="0" w:firstLineChars="0"/>
        <w:jc w:val="center"/>
        <w:textAlignment w:val="auto"/>
        <w:outlineLvl w:val="9"/>
        <w:rPr>
          <w:rFonts w:hint="eastAsia" w:ascii="仿宋_GB2312"/>
          <w:b/>
          <w:sz w:val="32"/>
          <w:szCs w:val="32"/>
        </w:rPr>
      </w:pPr>
      <w:r>
        <w:rPr>
          <w:rFonts w:hint="eastAsia" w:ascii="仿宋_GB2312"/>
          <w:b/>
          <w:sz w:val="32"/>
          <w:szCs w:val="32"/>
        </w:rPr>
        <w:t>第三章 证券公司</w:t>
      </w:r>
    </w:p>
    <w:p>
      <w:pPr>
        <w:spacing w:before="156" w:beforeLines="50" w:after="156" w:afterLines="50"/>
        <w:ind w:left="624" w:leftChars="200"/>
        <w:outlineLvl w:val="1"/>
        <w:rPr>
          <w:rFonts w:ascii="仿宋_GB2312" w:hAnsi="Times New Roman"/>
          <w:b/>
          <w:sz w:val="32"/>
          <w:szCs w:val="32"/>
        </w:rPr>
      </w:pPr>
      <w:r>
        <w:rPr>
          <w:rFonts w:hint="eastAsia" w:ascii="仿宋_GB2312"/>
          <w:b/>
          <w:sz w:val="32"/>
          <w:szCs w:val="32"/>
        </w:rPr>
        <w:t>一、监管机构</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证券公司开展各项经营业务，主要受中国证监会、中国证券业协会及证券交易所监管。</w:t>
      </w:r>
    </w:p>
    <w:p>
      <w:pPr>
        <w:spacing w:before="156" w:beforeLines="50" w:after="156" w:afterLines="50"/>
        <w:ind w:left="624" w:leftChars="200"/>
        <w:outlineLvl w:val="1"/>
        <w:rPr>
          <w:rFonts w:ascii="仿宋_GB2312"/>
          <w:b/>
          <w:sz w:val="32"/>
          <w:szCs w:val="32"/>
        </w:rPr>
      </w:pPr>
      <w:r>
        <w:rPr>
          <w:rFonts w:hint="eastAsia" w:ascii="仿宋_GB2312"/>
          <w:b/>
          <w:sz w:val="32"/>
          <w:szCs w:val="32"/>
        </w:rPr>
        <w:t>二、证券公司分类监管</w:t>
      </w:r>
    </w:p>
    <w:p>
      <w:pPr>
        <w:spacing w:before="156" w:beforeLines="50" w:after="156" w:afterLines="50"/>
        <w:ind w:firstLine="667" w:firstLineChars="200"/>
        <w:outlineLvl w:val="2"/>
        <w:rPr>
          <w:rFonts w:ascii="仿宋_GB2312" w:hAnsi="Times New Roman"/>
          <w:b/>
          <w:sz w:val="32"/>
          <w:szCs w:val="32"/>
        </w:rPr>
      </w:pPr>
      <w:r>
        <w:rPr>
          <w:rFonts w:hint="eastAsia" w:ascii="仿宋_GB2312"/>
          <w:b/>
          <w:sz w:val="32"/>
          <w:szCs w:val="32"/>
        </w:rPr>
        <w:t>（一）监管分类</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中国证监会以证券公司风险管理能力为基础，结合公司市场竞争力和持续合规状况，对证券公司进行评分，并根据评分的高低将证券公司划分为</w:t>
      </w:r>
      <w:r>
        <w:rPr>
          <w:rFonts w:hint="eastAsia" w:ascii="仿宋_GB2312" w:hAnsi="Times New Roman"/>
          <w:sz w:val="32"/>
          <w:szCs w:val="32"/>
        </w:rPr>
        <w:t>A</w:t>
      </w:r>
      <w:r>
        <w:rPr>
          <w:rFonts w:hint="eastAsia" w:ascii="仿宋_GB2312"/>
          <w:sz w:val="32"/>
          <w:szCs w:val="32"/>
        </w:rPr>
        <w:t>（</w:t>
      </w:r>
      <w:r>
        <w:rPr>
          <w:rFonts w:hint="eastAsia" w:ascii="仿宋_GB2312" w:hAnsi="Times New Roman"/>
          <w:sz w:val="32"/>
          <w:szCs w:val="32"/>
        </w:rPr>
        <w:t>AAA</w:t>
      </w:r>
      <w:r>
        <w:rPr>
          <w:rFonts w:hint="eastAsia" w:ascii="仿宋_GB2312"/>
          <w:sz w:val="32"/>
          <w:szCs w:val="32"/>
        </w:rPr>
        <w:t>、</w:t>
      </w:r>
      <w:r>
        <w:rPr>
          <w:rFonts w:hint="eastAsia" w:ascii="仿宋_GB2312" w:hAnsi="Times New Roman"/>
          <w:sz w:val="32"/>
          <w:szCs w:val="32"/>
        </w:rPr>
        <w:t>AA</w:t>
      </w:r>
      <w:r>
        <w:rPr>
          <w:rFonts w:hint="eastAsia" w:ascii="仿宋_GB2312"/>
          <w:sz w:val="32"/>
          <w:szCs w:val="32"/>
        </w:rPr>
        <w:t>、</w:t>
      </w:r>
      <w:r>
        <w:rPr>
          <w:rFonts w:hint="eastAsia" w:ascii="仿宋_GB2312" w:hAnsi="Times New Roman"/>
          <w:sz w:val="32"/>
          <w:szCs w:val="32"/>
        </w:rPr>
        <w:t>A</w:t>
      </w:r>
      <w:r>
        <w:rPr>
          <w:rFonts w:hint="eastAsia" w:ascii="仿宋_GB2312"/>
          <w:sz w:val="32"/>
          <w:szCs w:val="32"/>
        </w:rPr>
        <w:t>）、</w:t>
      </w:r>
      <w:r>
        <w:rPr>
          <w:rFonts w:hint="eastAsia" w:ascii="仿宋_GB2312" w:hAnsi="Times New Roman"/>
          <w:sz w:val="32"/>
          <w:szCs w:val="32"/>
        </w:rPr>
        <w:t>B</w:t>
      </w:r>
      <w:r>
        <w:rPr>
          <w:rFonts w:hint="eastAsia" w:ascii="仿宋_GB2312"/>
          <w:sz w:val="32"/>
          <w:szCs w:val="32"/>
        </w:rPr>
        <w:t>（</w:t>
      </w:r>
      <w:r>
        <w:rPr>
          <w:rFonts w:hint="eastAsia" w:ascii="仿宋_GB2312" w:hAnsi="Times New Roman"/>
          <w:sz w:val="32"/>
          <w:szCs w:val="32"/>
        </w:rPr>
        <w:t>BBB</w:t>
      </w:r>
      <w:r>
        <w:rPr>
          <w:rFonts w:hint="eastAsia" w:ascii="仿宋_GB2312"/>
          <w:sz w:val="32"/>
          <w:szCs w:val="32"/>
        </w:rPr>
        <w:t>、</w:t>
      </w:r>
      <w:r>
        <w:rPr>
          <w:rFonts w:hint="eastAsia" w:ascii="仿宋_GB2312" w:hAnsi="Times New Roman"/>
          <w:sz w:val="32"/>
          <w:szCs w:val="32"/>
        </w:rPr>
        <w:t>BB</w:t>
      </w:r>
      <w:r>
        <w:rPr>
          <w:rFonts w:hint="eastAsia" w:ascii="仿宋_GB2312"/>
          <w:sz w:val="32"/>
          <w:szCs w:val="32"/>
        </w:rPr>
        <w:t>、</w:t>
      </w:r>
      <w:r>
        <w:rPr>
          <w:rFonts w:hint="eastAsia" w:ascii="仿宋_GB2312" w:hAnsi="Times New Roman"/>
          <w:sz w:val="32"/>
          <w:szCs w:val="32"/>
        </w:rPr>
        <w:t>B</w:t>
      </w:r>
      <w:r>
        <w:rPr>
          <w:rFonts w:hint="eastAsia" w:ascii="仿宋_GB2312"/>
          <w:sz w:val="32"/>
          <w:szCs w:val="32"/>
        </w:rPr>
        <w:t>）、</w:t>
      </w:r>
      <w:r>
        <w:rPr>
          <w:rFonts w:hint="eastAsia" w:ascii="仿宋_GB2312" w:hAnsi="Times New Roman"/>
          <w:sz w:val="32"/>
          <w:szCs w:val="32"/>
        </w:rPr>
        <w:t>C</w:t>
      </w:r>
      <w:r>
        <w:rPr>
          <w:rFonts w:hint="eastAsia" w:ascii="仿宋_GB2312"/>
          <w:sz w:val="32"/>
          <w:szCs w:val="32"/>
        </w:rPr>
        <w:t>（</w:t>
      </w:r>
      <w:r>
        <w:rPr>
          <w:rFonts w:hint="eastAsia" w:ascii="仿宋_GB2312" w:hAnsi="Times New Roman"/>
          <w:sz w:val="32"/>
          <w:szCs w:val="32"/>
        </w:rPr>
        <w:t>CCC</w:t>
      </w:r>
      <w:r>
        <w:rPr>
          <w:rFonts w:hint="eastAsia" w:ascii="仿宋_GB2312"/>
          <w:sz w:val="32"/>
          <w:szCs w:val="32"/>
        </w:rPr>
        <w:t>、</w:t>
      </w:r>
      <w:r>
        <w:rPr>
          <w:rFonts w:hint="eastAsia" w:ascii="仿宋_GB2312" w:hAnsi="Times New Roman"/>
          <w:sz w:val="32"/>
          <w:szCs w:val="32"/>
        </w:rPr>
        <w:t>CC</w:t>
      </w:r>
      <w:r>
        <w:rPr>
          <w:rFonts w:hint="eastAsia" w:ascii="仿宋_GB2312"/>
          <w:sz w:val="32"/>
          <w:szCs w:val="32"/>
        </w:rPr>
        <w:t>、</w:t>
      </w:r>
      <w:r>
        <w:rPr>
          <w:rFonts w:hint="eastAsia" w:ascii="仿宋_GB2312" w:hAnsi="Times New Roman"/>
          <w:sz w:val="32"/>
          <w:szCs w:val="32"/>
        </w:rPr>
        <w:t>C</w:t>
      </w:r>
      <w:r>
        <w:rPr>
          <w:rFonts w:hint="eastAsia" w:ascii="仿宋_GB2312"/>
          <w:sz w:val="32"/>
          <w:szCs w:val="32"/>
        </w:rPr>
        <w:t>）、</w:t>
      </w:r>
      <w:r>
        <w:rPr>
          <w:rFonts w:hint="eastAsia" w:ascii="仿宋_GB2312" w:hAnsi="Times New Roman"/>
          <w:sz w:val="32"/>
          <w:szCs w:val="32"/>
        </w:rPr>
        <w:t>D</w:t>
      </w:r>
      <w:r>
        <w:rPr>
          <w:rFonts w:hint="eastAsia" w:ascii="仿宋_GB2312"/>
          <w:sz w:val="32"/>
          <w:szCs w:val="32"/>
        </w:rPr>
        <w:t>、</w:t>
      </w:r>
      <w:r>
        <w:rPr>
          <w:rFonts w:hint="eastAsia" w:ascii="仿宋_GB2312" w:hAnsi="Times New Roman"/>
          <w:sz w:val="32"/>
          <w:szCs w:val="32"/>
        </w:rPr>
        <w:t>E</w:t>
      </w:r>
      <w:r>
        <w:rPr>
          <w:rFonts w:hint="eastAsia" w:ascii="仿宋_GB2312"/>
          <w:sz w:val="32"/>
          <w:szCs w:val="32"/>
        </w:rPr>
        <w:t>等</w:t>
      </w:r>
      <w:r>
        <w:rPr>
          <w:rFonts w:hint="eastAsia" w:ascii="仿宋_GB2312" w:hAnsi="Times New Roman"/>
          <w:sz w:val="32"/>
          <w:szCs w:val="32"/>
        </w:rPr>
        <w:t>5</w:t>
      </w:r>
      <w:r>
        <w:rPr>
          <w:rFonts w:hint="eastAsia" w:ascii="仿宋_GB2312"/>
          <w:sz w:val="32"/>
          <w:szCs w:val="32"/>
        </w:rPr>
        <w:t>大类</w:t>
      </w:r>
      <w:r>
        <w:rPr>
          <w:rFonts w:hint="eastAsia" w:ascii="仿宋_GB2312" w:hAnsi="Times New Roman"/>
          <w:sz w:val="32"/>
          <w:szCs w:val="32"/>
        </w:rPr>
        <w:t>11</w:t>
      </w:r>
      <w:r>
        <w:rPr>
          <w:rFonts w:hint="eastAsia" w:ascii="仿宋_GB2312"/>
          <w:sz w:val="32"/>
          <w:szCs w:val="32"/>
        </w:rPr>
        <w:t>个级别。其中，证券公司风险管理能力主要通过资本充足、公司治理与合规管理、动态风险监控、信息系统安全、客户权益保护、信息披露等</w:t>
      </w:r>
      <w:r>
        <w:rPr>
          <w:rFonts w:hint="eastAsia" w:ascii="仿宋_GB2312" w:hAnsi="Times New Roman"/>
          <w:sz w:val="32"/>
          <w:szCs w:val="32"/>
        </w:rPr>
        <w:t>6</w:t>
      </w:r>
      <w:r>
        <w:rPr>
          <w:rFonts w:hint="eastAsia" w:ascii="仿宋_GB2312"/>
          <w:sz w:val="32"/>
          <w:szCs w:val="32"/>
        </w:rPr>
        <w:t>类指标进行评价。</w:t>
      </w:r>
    </w:p>
    <w:p>
      <w:pPr>
        <w:spacing w:before="156" w:beforeLines="50" w:after="156" w:afterLines="50"/>
        <w:ind w:firstLine="667" w:firstLineChars="200"/>
        <w:outlineLvl w:val="2"/>
        <w:rPr>
          <w:rFonts w:ascii="仿宋_GB2312"/>
          <w:b/>
          <w:sz w:val="32"/>
          <w:szCs w:val="32"/>
        </w:rPr>
      </w:pPr>
      <w:r>
        <w:rPr>
          <w:rFonts w:hint="eastAsia" w:ascii="仿宋_GB2312"/>
          <w:b/>
          <w:sz w:val="32"/>
          <w:szCs w:val="32"/>
        </w:rPr>
        <w:t>（二）分类结果使用</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处于不同分类的证券公司，适用不同的监管措施，主要包括：</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1.采用不同的风险控制指标标准和风险资本准备计算比例；</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2.将分类结果作为证券公司申请增加业务种类、新设营业网点、发行上市等事项的审慎性条件；</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3.将分类结果作为确定新业务、新产品试点范围和推广顺序的依据；</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4.规定不同的证券投资者保护基金具体比例。</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根据上述规定，评级较高的公司，由于经营状况和风险控制较好，所适用的风险监管要求更低，面临的业务发展机会更广。</w:t>
      </w:r>
    </w:p>
    <w:p>
      <w:pPr>
        <w:spacing w:before="156" w:beforeLines="50" w:after="156" w:afterLines="50"/>
        <w:ind w:firstLine="667" w:firstLineChars="200"/>
        <w:outlineLvl w:val="1"/>
        <w:rPr>
          <w:rFonts w:ascii="仿宋_GB2312" w:hAnsi="Times New Roman"/>
          <w:b/>
          <w:sz w:val="32"/>
          <w:szCs w:val="32"/>
        </w:rPr>
      </w:pPr>
      <w:r>
        <w:rPr>
          <w:rFonts w:hint="eastAsia" w:ascii="仿宋_GB2312"/>
          <w:b/>
          <w:sz w:val="32"/>
          <w:szCs w:val="32"/>
        </w:rPr>
        <w:t>三、监管指标</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对证券公司进行评估，需要关注的金融监管指标主要包括净资本相关指标和流动性风险监管指标。净资本相关监管指标主要包括净资本</w:t>
      </w:r>
      <w:r>
        <w:rPr>
          <w:rFonts w:hint="eastAsia" w:ascii="仿宋_GB2312" w:hAnsi="Times New Roman"/>
          <w:sz w:val="32"/>
          <w:szCs w:val="32"/>
        </w:rPr>
        <w:t>/</w:t>
      </w:r>
      <w:r>
        <w:rPr>
          <w:rFonts w:hint="eastAsia" w:ascii="仿宋_GB2312"/>
          <w:sz w:val="32"/>
          <w:szCs w:val="32"/>
        </w:rPr>
        <w:t>各项风险资本准备、净资本</w:t>
      </w:r>
      <w:r>
        <w:rPr>
          <w:rFonts w:hint="eastAsia" w:ascii="仿宋_GB2312" w:hAnsi="Times New Roman"/>
          <w:sz w:val="32"/>
          <w:szCs w:val="32"/>
        </w:rPr>
        <w:t>/</w:t>
      </w:r>
      <w:r>
        <w:rPr>
          <w:rFonts w:hint="eastAsia" w:ascii="仿宋_GB2312"/>
          <w:sz w:val="32"/>
          <w:szCs w:val="32"/>
        </w:rPr>
        <w:t>净资产、净资本</w:t>
      </w:r>
      <w:r>
        <w:rPr>
          <w:rFonts w:hint="eastAsia" w:ascii="仿宋_GB2312" w:hAnsi="Times New Roman"/>
          <w:sz w:val="32"/>
          <w:szCs w:val="32"/>
        </w:rPr>
        <w:t>/</w:t>
      </w:r>
      <w:r>
        <w:rPr>
          <w:rFonts w:hint="eastAsia" w:ascii="仿宋_GB2312"/>
          <w:sz w:val="32"/>
          <w:szCs w:val="32"/>
        </w:rPr>
        <w:t>负债、净资产</w:t>
      </w:r>
      <w:r>
        <w:rPr>
          <w:rFonts w:hint="eastAsia" w:ascii="仿宋_GB2312" w:hAnsi="Times New Roman"/>
          <w:sz w:val="32"/>
          <w:szCs w:val="32"/>
        </w:rPr>
        <w:t>/</w:t>
      </w:r>
      <w:r>
        <w:rPr>
          <w:rFonts w:hint="eastAsia" w:ascii="仿宋_GB2312"/>
          <w:sz w:val="32"/>
          <w:szCs w:val="32"/>
        </w:rPr>
        <w:t>负债；流动性风险监管指标包括流动性覆盖率和净稳定资金率。</w:t>
      </w:r>
    </w:p>
    <w:p>
      <w:pPr>
        <w:spacing w:before="156" w:beforeLines="50" w:after="156" w:afterLines="50"/>
        <w:ind w:left="624" w:leftChars="200"/>
        <w:outlineLvl w:val="2"/>
        <w:rPr>
          <w:rFonts w:ascii="仿宋_GB2312" w:hAnsi="Times New Roman"/>
          <w:b/>
          <w:sz w:val="32"/>
          <w:szCs w:val="32"/>
        </w:rPr>
      </w:pPr>
      <w:r>
        <w:rPr>
          <w:rFonts w:hint="eastAsia" w:ascii="仿宋_GB2312"/>
          <w:b/>
          <w:sz w:val="32"/>
          <w:szCs w:val="32"/>
        </w:rPr>
        <w:t>（一）净资本</w:t>
      </w:r>
    </w:p>
    <w:p>
      <w:pPr>
        <w:spacing w:line="560" w:lineRule="atLeast"/>
        <w:ind w:firstLine="664" w:firstLineChars="200"/>
        <w:rPr>
          <w:rFonts w:ascii="仿宋_GB2312" w:hAnsi="Times New Roman"/>
          <w:sz w:val="32"/>
          <w:szCs w:val="32"/>
        </w:rPr>
      </w:pPr>
      <w:r>
        <w:rPr>
          <w:rFonts w:hint="eastAsia" w:ascii="仿宋_GB2312"/>
          <w:sz w:val="32"/>
          <w:szCs w:val="32"/>
        </w:rPr>
        <w:t>净资本</w:t>
      </w:r>
      <w:r>
        <w:rPr>
          <w:rFonts w:hint="eastAsia" w:ascii="仿宋_GB2312" w:hAnsi="Times New Roman"/>
          <w:sz w:val="32"/>
          <w:szCs w:val="32"/>
        </w:rPr>
        <w:t>=</w:t>
      </w:r>
      <w:r>
        <w:rPr>
          <w:rFonts w:hint="eastAsia" w:ascii="仿宋_GB2312"/>
          <w:sz w:val="32"/>
          <w:szCs w:val="32"/>
        </w:rPr>
        <w:t>净资产</w:t>
      </w:r>
      <w:r>
        <w:rPr>
          <w:rFonts w:hint="eastAsia" w:ascii="仿宋_GB2312" w:hAnsi="Times New Roman"/>
          <w:sz w:val="32"/>
          <w:szCs w:val="32"/>
        </w:rPr>
        <w:t>-</w:t>
      </w:r>
      <w:r>
        <w:rPr>
          <w:rFonts w:hint="eastAsia" w:ascii="仿宋_GB2312"/>
          <w:sz w:val="32"/>
          <w:szCs w:val="32"/>
        </w:rPr>
        <w:t>金融资产的风险调整合计</w:t>
      </w:r>
      <w:r>
        <w:rPr>
          <w:rFonts w:hint="eastAsia" w:ascii="仿宋_GB2312" w:hAnsi="Times New Roman"/>
          <w:sz w:val="32"/>
          <w:szCs w:val="32"/>
        </w:rPr>
        <w:t>-</w:t>
      </w:r>
      <w:r>
        <w:rPr>
          <w:rFonts w:hint="eastAsia" w:ascii="仿宋_GB2312"/>
          <w:sz w:val="32"/>
          <w:szCs w:val="32"/>
        </w:rPr>
        <w:t>衍生金融资产的风险调整合计</w:t>
      </w:r>
      <w:r>
        <w:rPr>
          <w:rFonts w:hint="eastAsia" w:ascii="仿宋_GB2312" w:hAnsi="Times New Roman"/>
          <w:sz w:val="32"/>
          <w:szCs w:val="32"/>
        </w:rPr>
        <w:t>-</w:t>
      </w:r>
      <w:r>
        <w:rPr>
          <w:rFonts w:hint="eastAsia" w:ascii="仿宋_GB2312"/>
          <w:sz w:val="32"/>
          <w:szCs w:val="32"/>
        </w:rPr>
        <w:t>其他资产项目的风险调整合计</w:t>
      </w:r>
      <w:r>
        <w:rPr>
          <w:rFonts w:hint="eastAsia" w:ascii="仿宋_GB2312" w:hAnsi="Times New Roman"/>
          <w:sz w:val="32"/>
          <w:szCs w:val="32"/>
        </w:rPr>
        <w:t>-</w:t>
      </w:r>
      <w:r>
        <w:rPr>
          <w:rFonts w:hint="eastAsia" w:ascii="仿宋_GB2312"/>
          <w:sz w:val="32"/>
          <w:szCs w:val="32"/>
        </w:rPr>
        <w:t>或有负债的风险调整合计</w:t>
      </w:r>
      <w:r>
        <w:rPr>
          <w:rFonts w:hint="eastAsia" w:ascii="仿宋_GB2312" w:hAnsi="Times New Roman"/>
          <w:sz w:val="32"/>
          <w:szCs w:val="32"/>
        </w:rPr>
        <w:t>-/+</w:t>
      </w:r>
      <w:r>
        <w:rPr>
          <w:rFonts w:hint="eastAsia" w:ascii="仿宋_GB2312"/>
          <w:sz w:val="32"/>
          <w:szCs w:val="32"/>
        </w:rPr>
        <w:t>中国证监会认定或核准的其他调整项目</w:t>
      </w:r>
    </w:p>
    <w:p>
      <w:pPr>
        <w:ind w:firstLine="664" w:firstLineChars="200"/>
        <w:rPr>
          <w:rFonts w:ascii="仿宋_GB2312"/>
          <w:sz w:val="32"/>
          <w:szCs w:val="32"/>
        </w:rPr>
      </w:pPr>
      <w:r>
        <w:rPr>
          <w:rFonts w:hint="eastAsia" w:ascii="仿宋_GB2312"/>
          <w:sz w:val="32"/>
          <w:szCs w:val="32"/>
        </w:rPr>
        <w:t>证券公司的净资本是在净资产的基础上，对资产负债等项目和有关业务进行风险调整后得出的综合性风险控制指标，是证券公司风险控制指标体系的核心。净资本的具体调整项及扣减比例可参见《关于调整证券公司净资本计算标准的规定》（证〔2012〕37号）。</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证券公司开展各项经营业务，净资本应符合下列要求：</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1.证券公司经营证券经纪业务的，其净资本不得低于人民币</w:t>
      </w:r>
      <w:r>
        <w:rPr>
          <w:rFonts w:hint="eastAsia" w:ascii="仿宋_GB2312" w:hAnsi="Times New Roman"/>
          <w:sz w:val="32"/>
          <w:szCs w:val="32"/>
        </w:rPr>
        <w:t>2,000</w:t>
      </w:r>
      <w:r>
        <w:rPr>
          <w:rFonts w:hint="eastAsia" w:ascii="仿宋_GB2312"/>
          <w:sz w:val="32"/>
          <w:szCs w:val="32"/>
        </w:rPr>
        <w:t>万元；</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2.证券公司经营证券承销与保荐、证券自营、证券资产管理、其他证券业务等业务之一的，其净资本不得低于人民币</w:t>
      </w:r>
      <w:r>
        <w:rPr>
          <w:rFonts w:hint="eastAsia" w:ascii="仿宋_GB2312" w:hAnsi="Times New Roman"/>
          <w:sz w:val="32"/>
          <w:szCs w:val="32"/>
        </w:rPr>
        <w:t>5,000</w:t>
      </w:r>
      <w:r>
        <w:rPr>
          <w:rFonts w:hint="eastAsia" w:ascii="仿宋_GB2312"/>
          <w:sz w:val="32"/>
          <w:szCs w:val="32"/>
        </w:rPr>
        <w:t>万元；</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3.证券公司经营证券经纪业务，同时经营证券承销与保荐、证券自营、证券资产管理、其他证券业务等业务之一的，其净资本不得低于人民币</w:t>
      </w:r>
      <w:r>
        <w:rPr>
          <w:rFonts w:hint="eastAsia" w:ascii="仿宋_GB2312" w:hAnsi="Times New Roman"/>
          <w:sz w:val="32"/>
          <w:szCs w:val="32"/>
        </w:rPr>
        <w:t>1</w:t>
      </w:r>
      <w:r>
        <w:rPr>
          <w:rFonts w:hint="eastAsia" w:ascii="仿宋_GB2312"/>
          <w:sz w:val="32"/>
          <w:szCs w:val="32"/>
        </w:rPr>
        <w:t>亿元；</w:t>
      </w:r>
    </w:p>
    <w:p>
      <w:pPr>
        <w:spacing w:before="156" w:beforeLines="50" w:after="156" w:afterLines="50" w:line="560" w:lineRule="atLeast"/>
        <w:ind w:firstLine="664" w:firstLineChars="200"/>
        <w:rPr>
          <w:rFonts w:ascii="仿宋_GB2312" w:hAnsi="Times New Roman"/>
          <w:sz w:val="32"/>
          <w:szCs w:val="32"/>
        </w:rPr>
      </w:pPr>
      <w:r>
        <w:rPr>
          <w:rFonts w:hint="eastAsia" w:ascii="仿宋_GB2312"/>
          <w:sz w:val="32"/>
          <w:szCs w:val="32"/>
        </w:rPr>
        <w:t>4.证券公司经营证券承销与保荐、证券自营、证券资产管理、其他证券业务中两项及两项以上的，其净资本不得低于人民币</w:t>
      </w:r>
      <w:r>
        <w:rPr>
          <w:rFonts w:hint="eastAsia" w:ascii="仿宋_GB2312" w:hAnsi="Times New Roman"/>
          <w:sz w:val="32"/>
          <w:szCs w:val="32"/>
        </w:rPr>
        <w:t>2</w:t>
      </w:r>
      <w:r>
        <w:rPr>
          <w:rFonts w:hint="eastAsia" w:ascii="仿宋_GB2312"/>
          <w:sz w:val="32"/>
          <w:szCs w:val="32"/>
        </w:rPr>
        <w:t>亿元。</w:t>
      </w:r>
    </w:p>
    <w:p>
      <w:pPr>
        <w:spacing w:before="156" w:beforeLines="50" w:line="560" w:lineRule="atLeast"/>
        <w:ind w:firstLine="664" w:firstLineChars="200"/>
        <w:rPr>
          <w:rFonts w:ascii="仿宋_GB2312" w:hAnsi="Times New Roman"/>
          <w:sz w:val="32"/>
          <w:szCs w:val="32"/>
        </w:rPr>
      </w:pPr>
      <w:r>
        <w:rPr>
          <w:rFonts w:hint="eastAsia" w:ascii="仿宋_GB2312"/>
          <w:sz w:val="32"/>
          <w:szCs w:val="32"/>
        </w:rPr>
        <w:t>证券公司开展自营业务，净资本应符合下列要求：</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1.自营权益类证券及证券衍生品的合计额不得超过净资本的</w:t>
      </w:r>
      <w:r>
        <w:rPr>
          <w:rFonts w:hint="eastAsia" w:ascii="仿宋_GB2312" w:hAnsi="Times New Roman"/>
          <w:sz w:val="32"/>
          <w:szCs w:val="32"/>
        </w:rPr>
        <w:t>100%</w:t>
      </w:r>
      <w:r>
        <w:rPr>
          <w:rFonts w:hint="eastAsia" w:ascii="仿宋_GB2312"/>
          <w:sz w:val="32"/>
          <w:szCs w:val="32"/>
        </w:rPr>
        <w:t>；</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2.自营固定收益类证券的合计额不得超过净资本的</w:t>
      </w:r>
      <w:r>
        <w:rPr>
          <w:rFonts w:hint="eastAsia" w:ascii="仿宋_GB2312" w:hAnsi="Times New Roman"/>
          <w:sz w:val="32"/>
          <w:szCs w:val="32"/>
        </w:rPr>
        <w:t>500%</w:t>
      </w:r>
      <w:r>
        <w:rPr>
          <w:rFonts w:hint="eastAsia" w:ascii="仿宋_GB2312"/>
          <w:sz w:val="32"/>
          <w:szCs w:val="32"/>
        </w:rPr>
        <w:t>；</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3.持有一种权益类证券的成本不得超过净资本的</w:t>
      </w:r>
      <w:r>
        <w:rPr>
          <w:rFonts w:hint="eastAsia" w:ascii="仿宋_GB2312" w:hAnsi="Times New Roman"/>
          <w:sz w:val="32"/>
          <w:szCs w:val="32"/>
        </w:rPr>
        <w:t>30%</w:t>
      </w:r>
      <w:r>
        <w:rPr>
          <w:rFonts w:hint="eastAsia" w:ascii="仿宋_GB2312"/>
          <w:sz w:val="32"/>
          <w:szCs w:val="32"/>
        </w:rPr>
        <w:t>；</w:t>
      </w:r>
    </w:p>
    <w:p>
      <w:pPr>
        <w:spacing w:before="156" w:beforeLines="50" w:after="156" w:afterLines="50" w:line="560" w:lineRule="atLeast"/>
        <w:ind w:firstLine="664" w:firstLineChars="200"/>
        <w:rPr>
          <w:rFonts w:ascii="仿宋_GB2312"/>
          <w:sz w:val="32"/>
          <w:szCs w:val="32"/>
        </w:rPr>
      </w:pPr>
      <w:r>
        <w:rPr>
          <w:rFonts w:hint="eastAsia" w:ascii="仿宋_GB2312"/>
          <w:sz w:val="32"/>
          <w:szCs w:val="32"/>
        </w:rPr>
        <w:t>4.持有一种权益类证券的市值与其总市值的比例不得超过</w:t>
      </w:r>
      <w:r>
        <w:rPr>
          <w:rFonts w:hint="eastAsia" w:ascii="仿宋_GB2312" w:hAnsi="Times New Roman"/>
          <w:sz w:val="32"/>
          <w:szCs w:val="32"/>
        </w:rPr>
        <w:t>5%</w:t>
      </w:r>
      <w:r>
        <w:rPr>
          <w:rFonts w:hint="eastAsia" w:ascii="仿宋_GB2312"/>
          <w:sz w:val="32"/>
          <w:szCs w:val="32"/>
        </w:rPr>
        <w:t>，但因包销导致的情形和中国证监会另有规定的除外。</w:t>
      </w:r>
    </w:p>
    <w:p>
      <w:pPr>
        <w:spacing w:before="156" w:beforeLines="50" w:after="156" w:afterLines="50" w:line="560" w:lineRule="atLeast"/>
        <w:ind w:left="624" w:leftChars="200"/>
        <w:outlineLvl w:val="2"/>
        <w:rPr>
          <w:rFonts w:ascii="仿宋_GB2312"/>
          <w:b/>
          <w:sz w:val="32"/>
          <w:szCs w:val="32"/>
        </w:rPr>
      </w:pPr>
      <w:r>
        <w:rPr>
          <w:rFonts w:hint="eastAsia" w:ascii="仿宋_GB2312"/>
          <w:b/>
          <w:sz w:val="32"/>
          <w:szCs w:val="32"/>
        </w:rPr>
        <w:t>（二）风险资本准备</w:t>
      </w:r>
    </w:p>
    <w:p>
      <w:pPr>
        <w:spacing w:before="156" w:beforeLines="50" w:after="156" w:afterLines="50" w:line="560" w:lineRule="atLeast"/>
        <w:ind w:left="0" w:leftChars="0" w:firstLine="667" w:firstLineChars="200"/>
        <w:outlineLvl w:val="9"/>
        <w:rPr>
          <w:rFonts w:ascii="仿宋_GB2312" w:hAnsi="Times New Roman"/>
          <w:b w:val="0"/>
          <w:bCs/>
          <w:sz w:val="32"/>
          <w:szCs w:val="32"/>
        </w:rPr>
      </w:pPr>
      <w:r>
        <w:rPr>
          <w:rFonts w:hint="eastAsia" w:ascii="仿宋_GB2312" w:hAnsi="Times New Roman"/>
          <w:b w:val="0"/>
          <w:bCs/>
          <w:sz w:val="32"/>
          <w:szCs w:val="32"/>
        </w:rPr>
        <w:t>证券公司开展各项业务、设立分支机构等经营行为存在导致净资本产生损失的风险，应当按一定标准计算风险资本准备，并确保各项风险资本准备有对应的净资本支撑。</w:t>
      </w:r>
    </w:p>
    <w:p>
      <w:pPr>
        <w:spacing w:before="156" w:beforeLines="50" w:after="156" w:afterLines="50" w:line="560" w:lineRule="atLeast"/>
        <w:ind w:left="0" w:leftChars="0" w:firstLine="667" w:firstLineChars="200"/>
        <w:outlineLvl w:val="9"/>
        <w:rPr>
          <w:rFonts w:ascii="仿宋_GB2312"/>
          <w:b w:val="0"/>
          <w:bCs/>
          <w:sz w:val="32"/>
          <w:szCs w:val="32"/>
        </w:rPr>
      </w:pPr>
      <w:r>
        <w:rPr>
          <w:rFonts w:hint="eastAsia" w:ascii="仿宋_GB2312" w:hAnsi="Times New Roman"/>
          <w:b w:val="0"/>
          <w:bCs/>
          <w:sz w:val="32"/>
          <w:szCs w:val="32"/>
        </w:rPr>
        <w:t>证券公司开展经营业务，或设立分支机构的，需要按照证</w:t>
      </w:r>
    </w:p>
    <w:p>
      <w:pPr>
        <w:spacing w:before="156" w:beforeLines="50" w:after="156" w:afterLines="50" w:line="560" w:lineRule="atLeast"/>
        <w:ind w:left="0" w:leftChars="0"/>
        <w:outlineLvl w:val="9"/>
        <w:rPr>
          <w:rFonts w:ascii="仿宋_GB2312"/>
          <w:b w:val="0"/>
          <w:bCs/>
          <w:sz w:val="32"/>
          <w:szCs w:val="32"/>
        </w:rPr>
      </w:pPr>
      <w:r>
        <w:rPr>
          <w:rFonts w:hint="eastAsia" w:ascii="仿宋_GB2312" w:hAnsi="Times New Roman"/>
          <w:b w:val="0"/>
          <w:bCs/>
          <w:sz w:val="32"/>
          <w:szCs w:val="32"/>
        </w:rPr>
        <w:t>监会的规定计提风险资本准备，具体如下表所示：</w:t>
      </w:r>
    </w:p>
    <w:tbl>
      <w:tblPr>
        <w:tblStyle w:val="25"/>
        <w:tblW w:w="85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1"/>
        <w:gridCol w:w="6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blHeader/>
        </w:trPr>
        <w:tc>
          <w:tcPr>
            <w:tcW w:w="1951" w:type="dxa"/>
            <w:vAlign w:val="top"/>
          </w:tcPr>
          <w:p>
            <w:pPr>
              <w:jc w:val="center"/>
              <w:rPr>
                <w:rFonts w:ascii="仿宋_GB2312"/>
                <w:b/>
                <w:sz w:val="32"/>
                <w:szCs w:val="32"/>
              </w:rPr>
            </w:pPr>
            <w:r>
              <w:rPr>
                <w:rFonts w:hint="eastAsia" w:ascii="仿宋_GB2312"/>
                <w:b/>
                <w:sz w:val="32"/>
                <w:szCs w:val="32"/>
              </w:rPr>
              <w:t>业务类型</w:t>
            </w:r>
          </w:p>
        </w:tc>
        <w:tc>
          <w:tcPr>
            <w:tcW w:w="6571" w:type="dxa"/>
            <w:vAlign w:val="top"/>
          </w:tcPr>
          <w:p>
            <w:pPr>
              <w:jc w:val="center"/>
              <w:rPr>
                <w:rFonts w:ascii="仿宋_GB2312"/>
                <w:b/>
                <w:sz w:val="32"/>
                <w:szCs w:val="32"/>
              </w:rPr>
            </w:pPr>
            <w:r>
              <w:rPr>
                <w:rFonts w:hint="eastAsia" w:ascii="仿宋_GB2312"/>
                <w:b/>
                <w:sz w:val="32"/>
                <w:szCs w:val="32"/>
              </w:rPr>
              <w:t>风险资本准备计提要求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51" w:type="dxa"/>
            <w:vAlign w:val="top"/>
          </w:tcPr>
          <w:p>
            <w:pPr>
              <w:rPr>
                <w:rFonts w:ascii="仿宋_GB2312" w:hAnsi="Times New Roman"/>
                <w:sz w:val="32"/>
                <w:szCs w:val="32"/>
              </w:rPr>
            </w:pPr>
            <w:r>
              <w:rPr>
                <w:rFonts w:hint="eastAsia" w:ascii="仿宋_GB2312"/>
                <w:sz w:val="32"/>
                <w:szCs w:val="32"/>
              </w:rPr>
              <w:t>1.证券经纪业务</w:t>
            </w:r>
          </w:p>
        </w:tc>
        <w:tc>
          <w:tcPr>
            <w:tcW w:w="6571" w:type="dxa"/>
            <w:vAlign w:val="top"/>
          </w:tcPr>
          <w:p>
            <w:pPr>
              <w:numPr>
                <w:ilvl w:val="0"/>
                <w:numId w:val="1"/>
              </w:numPr>
              <w:ind w:left="0" w:firstLine="0"/>
              <w:rPr>
                <w:rFonts w:ascii="仿宋_GB2312" w:hAnsi="Times New Roman"/>
                <w:sz w:val="32"/>
                <w:szCs w:val="32"/>
              </w:rPr>
            </w:pPr>
            <w:r>
              <w:rPr>
                <w:rFonts w:hint="eastAsia" w:ascii="仿宋_GB2312"/>
                <w:sz w:val="32"/>
                <w:szCs w:val="32"/>
              </w:rPr>
              <w:t>托管的客户交易结算资金总额的</w:t>
            </w:r>
            <w:r>
              <w:rPr>
                <w:rFonts w:hint="eastAsia" w:ascii="仿宋_GB2312" w:hAnsi="Times New Roman"/>
                <w:sz w:val="32"/>
                <w:szCs w:val="3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51" w:type="dxa"/>
            <w:vAlign w:val="top"/>
          </w:tcPr>
          <w:p>
            <w:pPr>
              <w:rPr>
                <w:rFonts w:ascii="仿宋_GB2312" w:hAnsi="Times New Roman"/>
                <w:sz w:val="32"/>
                <w:szCs w:val="32"/>
              </w:rPr>
            </w:pPr>
            <w:r>
              <w:rPr>
                <w:rFonts w:hint="eastAsia" w:ascii="仿宋_GB2312"/>
                <w:sz w:val="32"/>
                <w:szCs w:val="32"/>
              </w:rPr>
              <w:t>2.证券自营业务</w:t>
            </w:r>
          </w:p>
        </w:tc>
        <w:tc>
          <w:tcPr>
            <w:tcW w:w="6571" w:type="dxa"/>
            <w:vAlign w:val="top"/>
          </w:tcPr>
          <w:p>
            <w:pPr>
              <w:numPr>
                <w:ilvl w:val="0"/>
                <w:numId w:val="1"/>
              </w:numPr>
              <w:ind w:left="0" w:firstLine="0"/>
              <w:rPr>
                <w:rFonts w:ascii="仿宋_GB2312" w:hAnsi="Times New Roman"/>
                <w:sz w:val="32"/>
                <w:szCs w:val="32"/>
              </w:rPr>
            </w:pPr>
            <w:r>
              <w:rPr>
                <w:rFonts w:hint="eastAsia" w:ascii="仿宋_GB2312"/>
                <w:sz w:val="32"/>
                <w:szCs w:val="32"/>
              </w:rPr>
              <w:t>对未进行风险对冲的证券衍生品、权益类证券和固定收益类证券分别按投资规模的</w:t>
            </w:r>
            <w:r>
              <w:rPr>
                <w:rFonts w:hint="eastAsia" w:ascii="仿宋_GB2312" w:hAnsi="Times New Roman"/>
                <w:sz w:val="32"/>
                <w:szCs w:val="32"/>
              </w:rPr>
              <w:t>20%</w:t>
            </w:r>
            <w:r>
              <w:rPr>
                <w:rFonts w:hint="eastAsia" w:ascii="仿宋_GB2312"/>
                <w:sz w:val="32"/>
                <w:szCs w:val="32"/>
              </w:rPr>
              <w:t>、</w:t>
            </w:r>
            <w:r>
              <w:rPr>
                <w:rFonts w:hint="eastAsia" w:ascii="仿宋_GB2312" w:hAnsi="Times New Roman"/>
                <w:sz w:val="32"/>
                <w:szCs w:val="32"/>
              </w:rPr>
              <w:t>15%</w:t>
            </w:r>
            <w:r>
              <w:rPr>
                <w:rFonts w:hint="eastAsia" w:ascii="仿宋_GB2312"/>
                <w:sz w:val="32"/>
                <w:szCs w:val="32"/>
              </w:rPr>
              <w:t>、</w:t>
            </w:r>
            <w:r>
              <w:rPr>
                <w:rFonts w:hint="eastAsia" w:ascii="仿宋_GB2312" w:hAnsi="Times New Roman"/>
                <w:sz w:val="32"/>
                <w:szCs w:val="32"/>
              </w:rPr>
              <w:t>8%</w:t>
            </w:r>
          </w:p>
          <w:p>
            <w:pPr>
              <w:numPr>
                <w:ilvl w:val="0"/>
                <w:numId w:val="1"/>
              </w:numPr>
              <w:ind w:left="0" w:firstLine="0"/>
              <w:rPr>
                <w:rFonts w:ascii="仿宋_GB2312" w:hAnsi="Times New Roman"/>
                <w:sz w:val="32"/>
                <w:szCs w:val="32"/>
              </w:rPr>
            </w:pPr>
            <w:r>
              <w:rPr>
                <w:rFonts w:hint="eastAsia" w:ascii="仿宋_GB2312"/>
                <w:sz w:val="32"/>
                <w:szCs w:val="32"/>
              </w:rPr>
              <w:t>对已进行风险对冲的证券衍生品、权益类证券和固定收益类证券按投资规模的</w:t>
            </w:r>
            <w:r>
              <w:rPr>
                <w:rFonts w:hint="eastAsia" w:ascii="仿宋_GB2312" w:hAnsi="Times New Roman"/>
                <w:sz w:val="32"/>
                <w:szCs w:val="32"/>
              </w:rPr>
              <w:t>5%</w:t>
            </w:r>
          </w:p>
          <w:p>
            <w:pPr>
              <w:numPr>
                <w:ilvl w:val="0"/>
                <w:numId w:val="1"/>
              </w:numPr>
              <w:ind w:left="0" w:firstLine="0"/>
              <w:rPr>
                <w:rFonts w:ascii="仿宋_GB2312" w:hAnsi="Times New Roman"/>
                <w:sz w:val="32"/>
                <w:szCs w:val="32"/>
              </w:rPr>
            </w:pPr>
            <w:r>
              <w:rPr>
                <w:rFonts w:hint="eastAsia" w:ascii="仿宋_GB2312"/>
                <w:sz w:val="32"/>
                <w:szCs w:val="32"/>
              </w:rPr>
              <w:t>股指期货投资规模以股指期货合约价值总额的</w:t>
            </w:r>
            <w:r>
              <w:rPr>
                <w:rFonts w:hint="eastAsia" w:ascii="仿宋_GB2312" w:hAnsi="Times New Roman"/>
                <w:sz w:val="32"/>
                <w:szCs w:val="32"/>
              </w:rPr>
              <w:t>15%</w:t>
            </w:r>
            <w:r>
              <w:rPr>
                <w:rFonts w:hint="eastAsia" w:ascii="仿宋_GB2312"/>
                <w:sz w:val="32"/>
                <w:szCs w:val="32"/>
              </w:rPr>
              <w:t>，利率互换投资规模以利率互换合约名义本金总额的</w:t>
            </w:r>
            <w:r>
              <w:rPr>
                <w:rFonts w:hint="eastAsia" w:ascii="仿宋_GB2312" w:hAnsi="Times New Roman"/>
                <w:sz w:val="32"/>
                <w:szCs w:val="32"/>
              </w:rPr>
              <w:t>3%</w:t>
            </w:r>
          </w:p>
          <w:p>
            <w:pPr>
              <w:numPr>
                <w:ilvl w:val="0"/>
                <w:numId w:val="1"/>
              </w:numPr>
              <w:ind w:left="0" w:firstLine="0"/>
              <w:rPr>
                <w:rFonts w:ascii="仿宋_GB2312" w:hAnsi="Times New Roman"/>
                <w:sz w:val="32"/>
                <w:szCs w:val="32"/>
              </w:rPr>
            </w:pPr>
            <w:r>
              <w:rPr>
                <w:rFonts w:hint="eastAsia" w:ascii="仿宋_GB2312"/>
                <w:sz w:val="32"/>
                <w:szCs w:val="32"/>
              </w:rPr>
              <w:t>证券公司违反规定超比例自营的，在整改完成前应当将超比例部分按投资成本的</w:t>
            </w:r>
            <w:r>
              <w:rPr>
                <w:rFonts w:hint="eastAsia" w:ascii="仿宋_GB2312" w:hAnsi="Times New Roman"/>
                <w:sz w:val="32"/>
                <w:szCs w:val="32"/>
              </w:rPr>
              <w:t>100%</w:t>
            </w:r>
            <w:r>
              <w:rPr>
                <w:rFonts w:hint="eastAsia" w:ascii="仿宋_GB2312"/>
                <w:sz w:val="32"/>
                <w:szCs w:val="32"/>
              </w:rPr>
              <w:t>计算风险资本准备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951" w:type="dxa"/>
            <w:vAlign w:val="top"/>
          </w:tcPr>
          <w:p>
            <w:pPr>
              <w:rPr>
                <w:rFonts w:ascii="仿宋_GB2312" w:hAnsi="Times New Roman"/>
                <w:sz w:val="32"/>
                <w:szCs w:val="32"/>
              </w:rPr>
            </w:pPr>
            <w:r>
              <w:rPr>
                <w:rFonts w:hint="eastAsia" w:ascii="仿宋_GB2312"/>
                <w:sz w:val="32"/>
                <w:szCs w:val="32"/>
              </w:rPr>
              <w:t>3.证券承销业务</w:t>
            </w:r>
          </w:p>
        </w:tc>
        <w:tc>
          <w:tcPr>
            <w:tcW w:w="6571" w:type="dxa"/>
            <w:vAlign w:val="top"/>
          </w:tcPr>
          <w:p>
            <w:pPr>
              <w:numPr>
                <w:ilvl w:val="0"/>
                <w:numId w:val="1"/>
              </w:numPr>
              <w:ind w:left="0" w:firstLine="0"/>
              <w:rPr>
                <w:rFonts w:ascii="仿宋_GB2312" w:hAnsi="Times New Roman"/>
                <w:sz w:val="32"/>
                <w:szCs w:val="32"/>
              </w:rPr>
            </w:pPr>
            <w:r>
              <w:rPr>
                <w:rFonts w:hint="eastAsia" w:ascii="仿宋_GB2312"/>
                <w:sz w:val="32"/>
                <w:szCs w:val="32"/>
              </w:rPr>
              <w:t>按包销再融资项目股票、</w:t>
            </w:r>
            <w:r>
              <w:rPr>
                <w:rFonts w:hint="eastAsia" w:ascii="仿宋_GB2312" w:hAnsi="Times New Roman"/>
                <w:sz w:val="32"/>
                <w:szCs w:val="32"/>
              </w:rPr>
              <w:t>IPO</w:t>
            </w:r>
            <w:r>
              <w:rPr>
                <w:rFonts w:hint="eastAsia" w:ascii="仿宋_GB2312"/>
                <w:sz w:val="32"/>
                <w:szCs w:val="32"/>
              </w:rPr>
              <w:t>项目股票、公司债券、政府债券金额的</w:t>
            </w:r>
            <w:r>
              <w:rPr>
                <w:rFonts w:hint="eastAsia" w:ascii="仿宋_GB2312" w:hAnsi="Times New Roman"/>
                <w:sz w:val="32"/>
                <w:szCs w:val="32"/>
              </w:rPr>
              <w:t>30%</w:t>
            </w:r>
            <w:r>
              <w:rPr>
                <w:rFonts w:hint="eastAsia" w:ascii="仿宋_GB2312"/>
                <w:sz w:val="32"/>
                <w:szCs w:val="32"/>
              </w:rPr>
              <w:t>、</w:t>
            </w:r>
            <w:r>
              <w:rPr>
                <w:rFonts w:hint="eastAsia" w:ascii="仿宋_GB2312" w:hAnsi="Times New Roman"/>
                <w:sz w:val="32"/>
                <w:szCs w:val="32"/>
              </w:rPr>
              <w:t>15%</w:t>
            </w:r>
            <w:r>
              <w:rPr>
                <w:rFonts w:hint="eastAsia" w:ascii="仿宋_GB2312"/>
                <w:sz w:val="32"/>
                <w:szCs w:val="32"/>
              </w:rPr>
              <w:t>、</w:t>
            </w:r>
            <w:r>
              <w:rPr>
                <w:rFonts w:hint="eastAsia" w:ascii="仿宋_GB2312" w:hAnsi="Times New Roman"/>
                <w:sz w:val="32"/>
                <w:szCs w:val="32"/>
              </w:rPr>
              <w:t>8%</w:t>
            </w:r>
            <w:r>
              <w:rPr>
                <w:rFonts w:hint="eastAsia" w:ascii="仿宋_GB2312"/>
                <w:sz w:val="32"/>
                <w:szCs w:val="32"/>
              </w:rPr>
              <w:t>、</w:t>
            </w:r>
            <w:r>
              <w:rPr>
                <w:rFonts w:hint="eastAsia" w:ascii="仿宋_GB2312" w:hAnsi="Times New Roman"/>
                <w:sz w:val="32"/>
                <w:szCs w:val="32"/>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51" w:type="dxa"/>
            <w:vAlign w:val="top"/>
          </w:tcPr>
          <w:p>
            <w:pPr>
              <w:rPr>
                <w:rFonts w:ascii="仿宋_GB2312" w:hAnsi="Times New Roman"/>
                <w:sz w:val="32"/>
                <w:szCs w:val="32"/>
              </w:rPr>
            </w:pPr>
            <w:r>
              <w:rPr>
                <w:rFonts w:hint="eastAsia" w:ascii="仿宋_GB2312"/>
                <w:sz w:val="32"/>
                <w:szCs w:val="32"/>
              </w:rPr>
              <w:t>4.资产管理业务</w:t>
            </w:r>
          </w:p>
        </w:tc>
        <w:tc>
          <w:tcPr>
            <w:tcW w:w="6571" w:type="dxa"/>
            <w:vAlign w:val="top"/>
          </w:tcPr>
          <w:p>
            <w:pPr>
              <w:numPr>
                <w:ilvl w:val="0"/>
                <w:numId w:val="1"/>
              </w:numPr>
              <w:ind w:left="0" w:firstLine="0"/>
              <w:rPr>
                <w:rFonts w:ascii="仿宋_GB2312" w:hAnsi="Times New Roman"/>
                <w:sz w:val="32"/>
                <w:szCs w:val="32"/>
              </w:rPr>
            </w:pPr>
            <w:r>
              <w:rPr>
                <w:rFonts w:hint="eastAsia" w:ascii="仿宋_GB2312"/>
                <w:sz w:val="32"/>
                <w:szCs w:val="32"/>
              </w:rPr>
              <w:t>专项、集合、限额特定、定向资产管理业务规模的</w:t>
            </w:r>
            <w:r>
              <w:rPr>
                <w:rFonts w:hint="eastAsia" w:ascii="仿宋_GB2312" w:hAnsi="Times New Roman"/>
                <w:sz w:val="32"/>
                <w:szCs w:val="32"/>
              </w:rPr>
              <w:t>2%</w:t>
            </w:r>
            <w:r>
              <w:rPr>
                <w:rFonts w:hint="eastAsia" w:ascii="仿宋_GB2312"/>
                <w:sz w:val="32"/>
                <w:szCs w:val="32"/>
              </w:rPr>
              <w:t>、</w:t>
            </w:r>
            <w:r>
              <w:rPr>
                <w:rFonts w:hint="eastAsia" w:ascii="仿宋_GB2312" w:hAnsi="Times New Roman"/>
                <w:sz w:val="32"/>
                <w:szCs w:val="32"/>
              </w:rPr>
              <w:t>2%</w:t>
            </w:r>
            <w:r>
              <w:rPr>
                <w:rFonts w:hint="eastAsia" w:ascii="仿宋_GB2312"/>
                <w:sz w:val="32"/>
                <w:szCs w:val="32"/>
              </w:rPr>
              <w:t>、</w:t>
            </w:r>
            <w:r>
              <w:rPr>
                <w:rFonts w:hint="eastAsia" w:ascii="仿宋_GB2312" w:hAnsi="Times New Roman"/>
                <w:sz w:val="32"/>
                <w:szCs w:val="32"/>
              </w:rPr>
              <w:t>1%</w:t>
            </w:r>
            <w:r>
              <w:rPr>
                <w:rFonts w:hint="eastAsia" w:ascii="仿宋_GB2312"/>
                <w:sz w:val="32"/>
                <w:szCs w:val="32"/>
              </w:rPr>
              <w:t>、</w:t>
            </w:r>
            <w:r>
              <w:rPr>
                <w:rFonts w:hint="eastAsia" w:ascii="仿宋_GB2312" w:hAnsi="Times New Roman"/>
                <w:sz w:val="32"/>
                <w:szCs w:val="3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51" w:type="dxa"/>
            <w:vAlign w:val="top"/>
          </w:tcPr>
          <w:p>
            <w:pPr>
              <w:rPr>
                <w:rFonts w:ascii="仿宋_GB2312" w:hAnsi="Times New Roman"/>
                <w:sz w:val="32"/>
                <w:szCs w:val="32"/>
              </w:rPr>
            </w:pPr>
            <w:r>
              <w:rPr>
                <w:rFonts w:hint="eastAsia" w:ascii="仿宋_GB2312"/>
                <w:sz w:val="32"/>
                <w:szCs w:val="32"/>
              </w:rPr>
              <w:t>5.融资融券业务</w:t>
            </w:r>
          </w:p>
        </w:tc>
        <w:tc>
          <w:tcPr>
            <w:tcW w:w="6571" w:type="dxa"/>
            <w:vAlign w:val="top"/>
          </w:tcPr>
          <w:p>
            <w:pPr>
              <w:numPr>
                <w:ilvl w:val="0"/>
                <w:numId w:val="1"/>
              </w:numPr>
              <w:ind w:left="0" w:firstLine="0"/>
              <w:rPr>
                <w:rFonts w:ascii="仿宋_GB2312" w:hAnsi="Times New Roman"/>
                <w:sz w:val="32"/>
                <w:szCs w:val="32"/>
              </w:rPr>
            </w:pPr>
            <w:r>
              <w:rPr>
                <w:rFonts w:hint="eastAsia" w:ascii="仿宋_GB2312"/>
                <w:sz w:val="32"/>
                <w:szCs w:val="32"/>
              </w:rPr>
              <w:t>客户融资业务规模的</w:t>
            </w:r>
            <w:r>
              <w:rPr>
                <w:rFonts w:hint="eastAsia" w:ascii="仿宋_GB2312" w:hAnsi="Times New Roman"/>
                <w:sz w:val="32"/>
                <w:szCs w:val="32"/>
              </w:rPr>
              <w:t>5%</w:t>
            </w:r>
            <w:r>
              <w:rPr>
                <w:rFonts w:hint="eastAsia" w:ascii="仿宋_GB2312"/>
                <w:sz w:val="32"/>
                <w:szCs w:val="32"/>
              </w:rPr>
              <w:t>、融券业务规模的</w:t>
            </w:r>
            <w:r>
              <w:rPr>
                <w:rFonts w:hint="eastAsia" w:ascii="仿宋_GB2312" w:hAnsi="Times New Roman"/>
                <w:sz w:val="32"/>
                <w:szCs w:val="32"/>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51" w:type="dxa"/>
            <w:vAlign w:val="top"/>
          </w:tcPr>
          <w:p>
            <w:pPr>
              <w:rPr>
                <w:rFonts w:ascii="仿宋_GB2312" w:hAnsi="Times New Roman"/>
                <w:sz w:val="32"/>
                <w:szCs w:val="32"/>
              </w:rPr>
            </w:pPr>
            <w:r>
              <w:rPr>
                <w:rFonts w:hint="eastAsia" w:ascii="仿宋_GB2312"/>
                <w:sz w:val="32"/>
                <w:szCs w:val="32"/>
              </w:rPr>
              <w:t>6.设立分支机构</w:t>
            </w:r>
          </w:p>
        </w:tc>
        <w:tc>
          <w:tcPr>
            <w:tcW w:w="6571" w:type="dxa"/>
            <w:vAlign w:val="top"/>
          </w:tcPr>
          <w:p>
            <w:pPr>
              <w:numPr>
                <w:ilvl w:val="0"/>
                <w:numId w:val="1"/>
              </w:numPr>
              <w:ind w:left="0" w:firstLine="0"/>
              <w:rPr>
                <w:rFonts w:ascii="仿宋_GB2312" w:hAnsi="Times New Roman"/>
                <w:sz w:val="32"/>
                <w:szCs w:val="32"/>
              </w:rPr>
            </w:pPr>
            <w:r>
              <w:rPr>
                <w:rFonts w:hint="eastAsia" w:ascii="仿宋_GB2312"/>
                <w:sz w:val="32"/>
                <w:szCs w:val="32"/>
              </w:rPr>
              <w:t>对分公司、证券营业部，分别按每家</w:t>
            </w:r>
            <w:r>
              <w:rPr>
                <w:rFonts w:hint="eastAsia" w:ascii="仿宋_GB2312" w:hAnsi="Times New Roman"/>
                <w:sz w:val="32"/>
                <w:szCs w:val="32"/>
              </w:rPr>
              <w:t>2000</w:t>
            </w:r>
            <w:r>
              <w:rPr>
                <w:rFonts w:hint="eastAsia" w:ascii="仿宋_GB2312"/>
                <w:sz w:val="32"/>
                <w:szCs w:val="32"/>
              </w:rPr>
              <w:t>万元、</w:t>
            </w:r>
            <w:r>
              <w:rPr>
                <w:rFonts w:hint="eastAsia" w:ascii="仿宋_GB2312" w:hAnsi="Times New Roman"/>
                <w:sz w:val="32"/>
                <w:szCs w:val="32"/>
              </w:rPr>
              <w:t>300</w:t>
            </w:r>
            <w:r>
              <w:rPr>
                <w:rFonts w:hint="eastAsia" w:ascii="仿宋_GB2312"/>
                <w:sz w:val="32"/>
                <w:szCs w:val="32"/>
              </w:rPr>
              <w:t>万元计算风险资本准备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951" w:type="dxa"/>
            <w:vAlign w:val="top"/>
          </w:tcPr>
          <w:p>
            <w:pPr>
              <w:rPr>
                <w:rFonts w:ascii="仿宋_GB2312" w:hAnsi="Times New Roman"/>
                <w:sz w:val="32"/>
                <w:szCs w:val="32"/>
              </w:rPr>
            </w:pPr>
            <w:r>
              <w:rPr>
                <w:rFonts w:hint="eastAsia" w:ascii="仿宋_GB2312"/>
                <w:sz w:val="32"/>
                <w:szCs w:val="32"/>
              </w:rPr>
              <w:t>7.</w:t>
            </w:r>
            <w:r>
              <w:rPr>
                <w:rFonts w:hint="eastAsia"/>
              </w:rPr>
              <w:t>营运风险资本准备</w:t>
            </w:r>
          </w:p>
        </w:tc>
        <w:tc>
          <w:tcPr>
            <w:tcW w:w="6571" w:type="dxa"/>
            <w:vAlign w:val="top"/>
          </w:tcPr>
          <w:p>
            <w:pPr>
              <w:numPr>
                <w:ilvl w:val="0"/>
                <w:numId w:val="1"/>
              </w:numPr>
              <w:ind w:left="0" w:firstLine="0"/>
              <w:rPr>
                <w:rFonts w:ascii="仿宋_GB2312" w:hAnsi="Times New Roman"/>
                <w:sz w:val="32"/>
                <w:szCs w:val="32"/>
              </w:rPr>
            </w:pPr>
            <w:r>
              <w:rPr>
                <w:rFonts w:hint="eastAsia" w:ascii="仿宋_GB2312"/>
                <w:sz w:val="32"/>
                <w:szCs w:val="32"/>
              </w:rPr>
              <w:t>按上一年营业费用总额的</w:t>
            </w:r>
            <w:r>
              <w:rPr>
                <w:rFonts w:hint="eastAsia" w:ascii="仿宋_GB2312" w:hAnsi="Times New Roman"/>
                <w:sz w:val="32"/>
                <w:szCs w:val="32"/>
              </w:rPr>
              <w:t>10%</w:t>
            </w:r>
            <w:r>
              <w:rPr>
                <w:rFonts w:hint="eastAsia" w:ascii="仿宋_GB2312"/>
                <w:sz w:val="32"/>
                <w:szCs w:val="32"/>
              </w:rPr>
              <w:t>计算营运风险资本准备</w:t>
            </w:r>
          </w:p>
        </w:tc>
      </w:tr>
    </w:tbl>
    <w:p>
      <w:pPr>
        <w:spacing w:before="156" w:beforeLines="50" w:after="156" w:afterLines="50"/>
        <w:ind w:firstLine="664" w:firstLineChars="200"/>
        <w:rPr>
          <w:rFonts w:ascii="仿宋_GB2312" w:hAnsi="Times New Roman"/>
          <w:sz w:val="32"/>
          <w:szCs w:val="32"/>
        </w:rPr>
      </w:pPr>
      <w:r>
        <w:rPr>
          <w:rFonts w:hint="eastAsia" w:ascii="仿宋_GB2312"/>
          <w:sz w:val="32"/>
          <w:szCs w:val="32"/>
        </w:rPr>
        <w:t>为与证券公司的风险管理能力相匹配，现阶段中国证监会对处于不同风险分类的证券公司实施不同的风险资本准备计算比例：</w:t>
      </w:r>
    </w:p>
    <w:p>
      <w:pPr>
        <w:spacing w:before="156" w:beforeLines="50" w:after="156" w:afterLines="50"/>
        <w:ind w:firstLine="664" w:firstLineChars="200"/>
        <w:rPr>
          <w:rFonts w:ascii="仿宋_GB2312" w:hAnsi="Times New Roman"/>
          <w:sz w:val="32"/>
          <w:szCs w:val="32"/>
        </w:rPr>
      </w:pPr>
      <w:r>
        <w:rPr>
          <w:rFonts w:hint="eastAsia" w:ascii="仿宋_GB2312" w:hAnsi="Times New Roman"/>
          <w:sz w:val="32"/>
          <w:szCs w:val="32"/>
        </w:rPr>
        <w:t>1.A</w:t>
      </w:r>
      <w:r>
        <w:rPr>
          <w:rFonts w:hint="eastAsia" w:ascii="仿宋_GB2312"/>
          <w:sz w:val="32"/>
          <w:szCs w:val="32"/>
        </w:rPr>
        <w:t>、</w:t>
      </w:r>
      <w:r>
        <w:rPr>
          <w:rFonts w:hint="eastAsia" w:ascii="仿宋_GB2312" w:hAnsi="Times New Roman"/>
          <w:sz w:val="32"/>
          <w:szCs w:val="32"/>
        </w:rPr>
        <w:t>B</w:t>
      </w:r>
      <w:r>
        <w:rPr>
          <w:rFonts w:hint="eastAsia" w:ascii="仿宋_GB2312"/>
          <w:sz w:val="32"/>
          <w:szCs w:val="32"/>
        </w:rPr>
        <w:t>、</w:t>
      </w:r>
      <w:r>
        <w:rPr>
          <w:rFonts w:hint="eastAsia" w:ascii="仿宋_GB2312" w:hAnsi="Times New Roman"/>
          <w:sz w:val="32"/>
          <w:szCs w:val="32"/>
        </w:rPr>
        <w:t>C</w:t>
      </w:r>
      <w:r>
        <w:rPr>
          <w:rFonts w:hint="eastAsia" w:ascii="仿宋_GB2312"/>
          <w:sz w:val="32"/>
          <w:szCs w:val="32"/>
        </w:rPr>
        <w:t>、</w:t>
      </w:r>
      <w:r>
        <w:rPr>
          <w:rFonts w:hint="eastAsia" w:ascii="仿宋_GB2312" w:hAnsi="Times New Roman"/>
          <w:sz w:val="32"/>
          <w:szCs w:val="32"/>
        </w:rPr>
        <w:t>D</w:t>
      </w:r>
      <w:r>
        <w:rPr>
          <w:rFonts w:hint="eastAsia" w:ascii="仿宋_GB2312"/>
          <w:sz w:val="32"/>
          <w:szCs w:val="32"/>
        </w:rPr>
        <w:t>类公司分别按照上述第一条（一）至（五）项规定的基准计算标准的</w:t>
      </w:r>
      <w:r>
        <w:rPr>
          <w:rFonts w:hint="eastAsia" w:ascii="仿宋_GB2312" w:hAnsi="Times New Roman"/>
          <w:sz w:val="32"/>
          <w:szCs w:val="32"/>
        </w:rPr>
        <w:t>0.3</w:t>
      </w:r>
      <w:r>
        <w:rPr>
          <w:rFonts w:hint="eastAsia" w:ascii="仿宋_GB2312"/>
          <w:sz w:val="32"/>
          <w:szCs w:val="32"/>
        </w:rPr>
        <w:t>倍、</w:t>
      </w:r>
      <w:r>
        <w:rPr>
          <w:rFonts w:hint="eastAsia" w:ascii="仿宋_GB2312" w:hAnsi="Times New Roman"/>
          <w:sz w:val="32"/>
          <w:szCs w:val="32"/>
        </w:rPr>
        <w:t>0.4</w:t>
      </w:r>
      <w:r>
        <w:rPr>
          <w:rFonts w:hint="eastAsia" w:ascii="仿宋_GB2312"/>
          <w:sz w:val="32"/>
          <w:szCs w:val="32"/>
        </w:rPr>
        <w:t>倍、</w:t>
      </w:r>
      <w:r>
        <w:rPr>
          <w:rFonts w:hint="eastAsia" w:ascii="仿宋_GB2312" w:hAnsi="Times New Roman"/>
          <w:sz w:val="32"/>
          <w:szCs w:val="32"/>
        </w:rPr>
        <w:t>1</w:t>
      </w:r>
      <w:r>
        <w:rPr>
          <w:rFonts w:hint="eastAsia" w:ascii="仿宋_GB2312"/>
          <w:sz w:val="32"/>
          <w:szCs w:val="32"/>
        </w:rPr>
        <w:t>倍、</w:t>
      </w:r>
      <w:r>
        <w:rPr>
          <w:rFonts w:hint="eastAsia" w:ascii="仿宋_GB2312" w:hAnsi="Times New Roman"/>
          <w:sz w:val="32"/>
          <w:szCs w:val="32"/>
        </w:rPr>
        <w:t>2</w:t>
      </w:r>
      <w:r>
        <w:rPr>
          <w:rFonts w:hint="eastAsia" w:ascii="仿宋_GB2312"/>
          <w:sz w:val="32"/>
          <w:szCs w:val="32"/>
        </w:rPr>
        <w:t>倍计算有关风险资本准备；</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2.连续三年为</w:t>
      </w:r>
      <w:r>
        <w:rPr>
          <w:rFonts w:hint="eastAsia" w:ascii="仿宋_GB2312" w:hAnsi="Times New Roman"/>
          <w:sz w:val="32"/>
          <w:szCs w:val="32"/>
        </w:rPr>
        <w:t>A</w:t>
      </w:r>
      <w:r>
        <w:rPr>
          <w:rFonts w:hint="eastAsia" w:ascii="仿宋_GB2312"/>
          <w:sz w:val="32"/>
          <w:szCs w:val="32"/>
        </w:rPr>
        <w:t>类的公司按照上述第一条（一）至（五）项规定的基准计算标准的</w:t>
      </w:r>
      <w:r>
        <w:rPr>
          <w:rFonts w:hint="eastAsia" w:ascii="仿宋_GB2312" w:hAnsi="Times New Roman"/>
          <w:sz w:val="32"/>
          <w:szCs w:val="32"/>
        </w:rPr>
        <w:t>0.2</w:t>
      </w:r>
      <w:r>
        <w:rPr>
          <w:rFonts w:hint="eastAsia" w:ascii="仿宋_GB2312"/>
          <w:sz w:val="32"/>
          <w:szCs w:val="32"/>
        </w:rPr>
        <w:t>倍计算有关风险资本准备。</w:t>
      </w:r>
    </w:p>
    <w:p>
      <w:pPr>
        <w:spacing w:before="156" w:beforeLines="50" w:after="156" w:afterLines="50"/>
        <w:ind w:left="624" w:leftChars="200"/>
        <w:outlineLvl w:val="2"/>
        <w:rPr>
          <w:rFonts w:ascii="仿宋_GB2312" w:hAnsi="Times New Roman"/>
          <w:b/>
          <w:sz w:val="32"/>
          <w:szCs w:val="32"/>
        </w:rPr>
      </w:pPr>
      <w:r>
        <w:rPr>
          <w:rFonts w:hint="eastAsia" w:ascii="仿宋_GB2312"/>
          <w:b/>
          <w:sz w:val="32"/>
          <w:szCs w:val="32"/>
        </w:rPr>
        <w:t>（三）净资本</w:t>
      </w:r>
      <w:r>
        <w:rPr>
          <w:rFonts w:hint="eastAsia" w:ascii="仿宋_GB2312" w:hAnsi="Times New Roman"/>
          <w:b/>
          <w:sz w:val="32"/>
          <w:szCs w:val="32"/>
        </w:rPr>
        <w:t>/</w:t>
      </w:r>
      <w:r>
        <w:rPr>
          <w:rFonts w:hint="eastAsia" w:ascii="仿宋_GB2312"/>
          <w:b/>
          <w:sz w:val="32"/>
          <w:szCs w:val="32"/>
        </w:rPr>
        <w:t>风险资本准备</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净资本</w:t>
      </w:r>
      <w:r>
        <w:rPr>
          <w:rFonts w:hint="eastAsia" w:ascii="仿宋_GB2312" w:hAnsi="Times New Roman"/>
          <w:sz w:val="32"/>
          <w:szCs w:val="32"/>
        </w:rPr>
        <w:t>/</w:t>
      </w:r>
      <w:r>
        <w:rPr>
          <w:rFonts w:hint="eastAsia" w:ascii="仿宋_GB2312"/>
          <w:sz w:val="32"/>
          <w:szCs w:val="32"/>
        </w:rPr>
        <w:t>风险资本准备比例衡量证券公司的净资本对风险资本的覆盖程度。风险资本准备越高，表示证券公司净资本存在损失的风险越高，对证券公司净资本的要求越高。</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根据监管要求，净资本与各项风险资本准备之和的比例不得低于</w:t>
      </w:r>
      <w:r>
        <w:rPr>
          <w:rFonts w:hint="eastAsia" w:ascii="仿宋_GB2312" w:hAnsi="Times New Roman"/>
          <w:sz w:val="32"/>
          <w:szCs w:val="32"/>
        </w:rPr>
        <w:t>100%</w:t>
      </w:r>
      <w:r>
        <w:rPr>
          <w:rFonts w:hint="eastAsia" w:ascii="仿宋_GB2312"/>
          <w:sz w:val="32"/>
          <w:szCs w:val="32"/>
        </w:rPr>
        <w:t>。对证券公司进行评估，若净资本</w:t>
      </w:r>
      <w:r>
        <w:rPr>
          <w:rFonts w:hint="eastAsia" w:ascii="仿宋_GB2312" w:hAnsi="Times New Roman"/>
          <w:sz w:val="32"/>
          <w:szCs w:val="32"/>
        </w:rPr>
        <w:t>/</w:t>
      </w:r>
      <w:r>
        <w:rPr>
          <w:rFonts w:hint="eastAsia" w:ascii="仿宋_GB2312"/>
          <w:sz w:val="32"/>
          <w:szCs w:val="32"/>
        </w:rPr>
        <w:t>风险资本准备比例低于监管要求或出现预警，应分析出现该现象的原因。一方面可能是业务发展过快，超过了企业的风险控制能力，应考虑通过限制业务规模、合理配置资产等方式控制企业经营风险；另一方面可考虑通过发行资本工具、降低分红水平等方式对资本进行补充。</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需要注意的是，由于不同监管分类的证券公司适用不同的风险资本准备计提比例，所以处于较低分类的证券公司在进行规模扩张时将面临更严格的净资本要求。</w:t>
      </w:r>
    </w:p>
    <w:p>
      <w:pPr>
        <w:spacing w:before="156" w:beforeLines="50" w:after="156" w:afterLines="50"/>
        <w:ind w:left="624" w:leftChars="200"/>
        <w:outlineLvl w:val="2"/>
        <w:rPr>
          <w:rFonts w:ascii="仿宋_GB2312" w:hAnsi="Times New Roman"/>
          <w:b/>
          <w:sz w:val="32"/>
          <w:szCs w:val="32"/>
        </w:rPr>
      </w:pPr>
      <w:r>
        <w:rPr>
          <w:rFonts w:hint="eastAsia" w:ascii="仿宋_GB2312"/>
          <w:b/>
          <w:sz w:val="32"/>
          <w:szCs w:val="32"/>
        </w:rPr>
        <w:t>（四）净资本</w:t>
      </w:r>
      <w:r>
        <w:rPr>
          <w:rFonts w:hint="eastAsia" w:ascii="仿宋_GB2312" w:hAnsi="Times New Roman"/>
          <w:b/>
          <w:sz w:val="32"/>
          <w:szCs w:val="32"/>
        </w:rPr>
        <w:t>/</w:t>
      </w:r>
      <w:r>
        <w:rPr>
          <w:rFonts w:hint="eastAsia" w:ascii="仿宋_GB2312"/>
          <w:b/>
          <w:sz w:val="32"/>
          <w:szCs w:val="32"/>
        </w:rPr>
        <w:t>净资产</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净资本可视为净资产中流动性较高、可以快速变现的部分，净资本</w:t>
      </w:r>
      <w:r>
        <w:rPr>
          <w:rFonts w:hint="eastAsia" w:ascii="仿宋_GB2312" w:hAnsi="Times New Roman"/>
          <w:sz w:val="32"/>
          <w:szCs w:val="32"/>
        </w:rPr>
        <w:t>/</w:t>
      </w:r>
      <w:r>
        <w:rPr>
          <w:rFonts w:hint="eastAsia" w:ascii="仿宋_GB2312"/>
          <w:sz w:val="32"/>
          <w:szCs w:val="32"/>
        </w:rPr>
        <w:t>净资产比例衡量证券公司抵御流动性风险的能力。</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根据监管要求，净资本</w:t>
      </w:r>
      <w:r>
        <w:rPr>
          <w:rFonts w:hint="eastAsia" w:ascii="仿宋_GB2312" w:hAnsi="Times New Roman"/>
          <w:sz w:val="32"/>
          <w:szCs w:val="32"/>
        </w:rPr>
        <w:t>/</w:t>
      </w:r>
      <w:r>
        <w:rPr>
          <w:rFonts w:hint="eastAsia" w:ascii="仿宋_GB2312"/>
          <w:sz w:val="32"/>
          <w:szCs w:val="32"/>
        </w:rPr>
        <w:t>净资产比例不得低于</w:t>
      </w:r>
      <w:r>
        <w:rPr>
          <w:rFonts w:hint="eastAsia" w:ascii="仿宋_GB2312" w:hAnsi="Times New Roman"/>
          <w:sz w:val="32"/>
          <w:szCs w:val="32"/>
        </w:rPr>
        <w:t>40%</w:t>
      </w:r>
      <w:r>
        <w:rPr>
          <w:rFonts w:hint="eastAsia" w:ascii="仿宋_GB2312"/>
          <w:sz w:val="32"/>
          <w:szCs w:val="32"/>
        </w:rPr>
        <w:t>。对证券公司进行评估，应计算其净资本</w:t>
      </w:r>
      <w:r>
        <w:rPr>
          <w:rFonts w:hint="eastAsia" w:ascii="仿宋_GB2312" w:hAnsi="Times New Roman"/>
          <w:sz w:val="32"/>
          <w:szCs w:val="32"/>
        </w:rPr>
        <w:t>/</w:t>
      </w:r>
      <w:r>
        <w:rPr>
          <w:rFonts w:hint="eastAsia" w:ascii="仿宋_GB2312"/>
          <w:sz w:val="32"/>
          <w:szCs w:val="32"/>
        </w:rPr>
        <w:t>净资产比例，预测结果应符合历史趋势和证券公司未来走势。净资本</w:t>
      </w:r>
      <w:r>
        <w:rPr>
          <w:rFonts w:hint="eastAsia" w:ascii="仿宋_GB2312" w:hAnsi="Times New Roman"/>
          <w:sz w:val="32"/>
          <w:szCs w:val="32"/>
        </w:rPr>
        <w:t>/</w:t>
      </w:r>
      <w:r>
        <w:rPr>
          <w:rFonts w:hint="eastAsia" w:ascii="仿宋_GB2312"/>
          <w:sz w:val="32"/>
          <w:szCs w:val="32"/>
        </w:rPr>
        <w:t>净资产比例不符合监管要求的，应考虑其资产配置是否合理。</w:t>
      </w:r>
    </w:p>
    <w:p>
      <w:pPr>
        <w:spacing w:before="156" w:beforeLines="50" w:after="156" w:afterLines="50"/>
        <w:ind w:left="624" w:leftChars="200"/>
        <w:outlineLvl w:val="2"/>
        <w:rPr>
          <w:rFonts w:ascii="仿宋_GB2312" w:hAnsi="Times New Roman"/>
          <w:b/>
          <w:sz w:val="32"/>
          <w:szCs w:val="32"/>
        </w:rPr>
      </w:pPr>
      <w:r>
        <w:rPr>
          <w:rFonts w:hint="eastAsia" w:ascii="仿宋_GB2312"/>
          <w:b/>
          <w:sz w:val="32"/>
          <w:szCs w:val="32"/>
        </w:rPr>
        <w:t>（五）净资本</w:t>
      </w:r>
      <w:r>
        <w:rPr>
          <w:rFonts w:hint="eastAsia" w:ascii="仿宋_GB2312" w:hAnsi="Times New Roman"/>
          <w:b/>
          <w:sz w:val="32"/>
          <w:szCs w:val="32"/>
        </w:rPr>
        <w:t>/</w:t>
      </w:r>
      <w:r>
        <w:rPr>
          <w:rFonts w:hint="eastAsia" w:ascii="仿宋_GB2312"/>
          <w:b/>
          <w:sz w:val="32"/>
          <w:szCs w:val="32"/>
        </w:rPr>
        <w:t>负债、净资产</w:t>
      </w:r>
      <w:r>
        <w:rPr>
          <w:rFonts w:hint="eastAsia" w:ascii="仿宋_GB2312" w:hAnsi="Times New Roman"/>
          <w:b/>
          <w:sz w:val="32"/>
          <w:szCs w:val="32"/>
        </w:rPr>
        <w:t>/</w:t>
      </w:r>
      <w:r>
        <w:rPr>
          <w:rFonts w:hint="eastAsia" w:ascii="仿宋_GB2312"/>
          <w:b/>
          <w:sz w:val="32"/>
          <w:szCs w:val="32"/>
        </w:rPr>
        <w:t>负债</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净资本</w:t>
      </w:r>
      <w:r>
        <w:rPr>
          <w:rFonts w:hint="eastAsia" w:ascii="仿宋_GB2312" w:hAnsi="Times New Roman"/>
          <w:sz w:val="32"/>
          <w:szCs w:val="32"/>
        </w:rPr>
        <w:t>/</w:t>
      </w:r>
      <w:r>
        <w:rPr>
          <w:rFonts w:hint="eastAsia" w:ascii="仿宋_GB2312"/>
          <w:sz w:val="32"/>
          <w:szCs w:val="32"/>
        </w:rPr>
        <w:t>负债、净资产</w:t>
      </w:r>
      <w:r>
        <w:rPr>
          <w:rFonts w:hint="eastAsia" w:ascii="仿宋_GB2312" w:hAnsi="Times New Roman"/>
          <w:sz w:val="32"/>
          <w:szCs w:val="32"/>
        </w:rPr>
        <w:t>/</w:t>
      </w:r>
      <w:r>
        <w:rPr>
          <w:rFonts w:hint="eastAsia" w:ascii="仿宋_GB2312"/>
          <w:sz w:val="32"/>
          <w:szCs w:val="32"/>
        </w:rPr>
        <w:t>负债比例衡量证券公司的以自有资本金偿还负债的能力。</w:t>
      </w:r>
    </w:p>
    <w:p>
      <w:pPr>
        <w:spacing w:before="156" w:beforeLines="50" w:after="156" w:afterLines="50"/>
        <w:ind w:firstLine="664" w:firstLineChars="200"/>
        <w:rPr>
          <w:rFonts w:ascii="仿宋_GB2312"/>
          <w:sz w:val="32"/>
          <w:szCs w:val="32"/>
        </w:rPr>
      </w:pPr>
      <w:r>
        <w:rPr>
          <w:rFonts w:hint="eastAsia" w:ascii="仿宋_GB2312"/>
          <w:sz w:val="32"/>
          <w:szCs w:val="32"/>
        </w:rPr>
        <w:t>根据监管要求，净资本</w:t>
      </w:r>
      <w:r>
        <w:rPr>
          <w:rFonts w:hint="eastAsia" w:ascii="仿宋_GB2312" w:hAnsi="Times New Roman"/>
          <w:sz w:val="32"/>
          <w:szCs w:val="32"/>
        </w:rPr>
        <w:t>/</w:t>
      </w:r>
      <w:r>
        <w:rPr>
          <w:rFonts w:hint="eastAsia" w:ascii="仿宋_GB2312"/>
          <w:sz w:val="32"/>
          <w:szCs w:val="32"/>
        </w:rPr>
        <w:t>负债比例不得低于</w:t>
      </w:r>
      <w:r>
        <w:rPr>
          <w:rFonts w:hint="eastAsia" w:ascii="仿宋_GB2312" w:hAnsi="Times New Roman"/>
          <w:sz w:val="32"/>
          <w:szCs w:val="32"/>
        </w:rPr>
        <w:t>8%</w:t>
      </w:r>
      <w:r>
        <w:rPr>
          <w:rFonts w:hint="eastAsia" w:ascii="仿宋_GB2312"/>
          <w:sz w:val="32"/>
          <w:szCs w:val="32"/>
        </w:rPr>
        <w:t>，净资产</w:t>
      </w:r>
      <w:r>
        <w:rPr>
          <w:rFonts w:hint="eastAsia" w:ascii="仿宋_GB2312" w:hAnsi="Times New Roman"/>
          <w:sz w:val="32"/>
          <w:szCs w:val="32"/>
        </w:rPr>
        <w:t>/</w:t>
      </w:r>
      <w:r>
        <w:rPr>
          <w:rFonts w:hint="eastAsia" w:ascii="仿宋_GB2312"/>
          <w:sz w:val="32"/>
          <w:szCs w:val="32"/>
        </w:rPr>
        <w:t>负债比例不得低于</w:t>
      </w:r>
      <w:r>
        <w:rPr>
          <w:rFonts w:hint="eastAsia" w:ascii="仿宋_GB2312" w:hAnsi="Times New Roman"/>
          <w:sz w:val="32"/>
          <w:szCs w:val="32"/>
        </w:rPr>
        <w:t>20%</w:t>
      </w:r>
      <w:r>
        <w:rPr>
          <w:rFonts w:hint="eastAsia" w:ascii="仿宋_GB2312"/>
          <w:sz w:val="32"/>
          <w:szCs w:val="32"/>
        </w:rPr>
        <w:t>。对证券公司进行评估，应计算其净资本</w:t>
      </w:r>
      <w:r>
        <w:rPr>
          <w:rFonts w:hint="eastAsia" w:ascii="仿宋_GB2312" w:hAnsi="Times New Roman"/>
          <w:sz w:val="32"/>
          <w:szCs w:val="32"/>
        </w:rPr>
        <w:t>/</w:t>
      </w:r>
      <w:r>
        <w:rPr>
          <w:rFonts w:hint="eastAsia" w:ascii="仿宋_GB2312"/>
          <w:sz w:val="32"/>
          <w:szCs w:val="32"/>
        </w:rPr>
        <w:t>负债、净资产</w:t>
      </w:r>
      <w:r>
        <w:rPr>
          <w:rFonts w:hint="eastAsia" w:ascii="仿宋_GB2312" w:hAnsi="Times New Roman"/>
          <w:sz w:val="32"/>
          <w:szCs w:val="32"/>
        </w:rPr>
        <w:t>/</w:t>
      </w:r>
      <w:r>
        <w:rPr>
          <w:rFonts w:hint="eastAsia" w:ascii="仿宋_GB2312"/>
          <w:sz w:val="32"/>
          <w:szCs w:val="32"/>
        </w:rPr>
        <w:t>负债比例，若低于监管要求或出现预警，应考虑限制业务发展规模，或通过股本增资、限制分红比例等方式对证券公司净资本进行补足。</w:t>
      </w:r>
    </w:p>
    <w:p>
      <w:pPr>
        <w:spacing w:before="156" w:beforeLines="50" w:after="156" w:afterLines="50"/>
        <w:ind w:left="624" w:leftChars="200"/>
        <w:outlineLvl w:val="2"/>
        <w:rPr>
          <w:rFonts w:ascii="仿宋_GB2312"/>
          <w:b/>
          <w:sz w:val="32"/>
          <w:szCs w:val="32"/>
        </w:rPr>
      </w:pPr>
      <w:r>
        <w:rPr>
          <w:rFonts w:hint="eastAsia" w:ascii="仿宋_GB2312"/>
          <w:b/>
          <w:sz w:val="32"/>
          <w:szCs w:val="32"/>
        </w:rPr>
        <w:t>（六）流动性覆盖率</w:t>
      </w:r>
    </w:p>
    <w:p>
      <w:pPr>
        <w:spacing w:before="156" w:beforeLines="50" w:after="156" w:afterLines="50"/>
        <w:ind w:firstLine="664" w:firstLineChars="200"/>
        <w:rPr>
          <w:rFonts w:ascii="仿宋_GB2312"/>
          <w:sz w:val="32"/>
          <w:szCs w:val="32"/>
        </w:rPr>
      </w:pPr>
      <w:r>
        <w:rPr>
          <w:rFonts w:hint="eastAsia" w:ascii="仿宋_GB2312"/>
          <w:sz w:val="32"/>
          <w:szCs w:val="32"/>
        </w:rPr>
        <w:t>流动性覆盖率</w:t>
      </w:r>
      <w:r>
        <w:rPr>
          <w:rFonts w:hint="eastAsia" w:cs="宋体"/>
          <w:sz w:val="32"/>
          <w:szCs w:val="32"/>
        </w:rPr>
        <w:t>﹦</w:t>
      </w:r>
      <w:r>
        <w:rPr>
          <w:rFonts w:hint="eastAsia" w:ascii="仿宋_GB2312"/>
          <w:sz w:val="32"/>
          <w:szCs w:val="32"/>
        </w:rPr>
        <w:t>优质流动性资产/未来30天现金净流出量×100%</w:t>
      </w:r>
    </w:p>
    <w:p>
      <w:pPr>
        <w:spacing w:before="156" w:beforeLines="50" w:after="156" w:afterLines="50"/>
        <w:ind w:firstLine="664" w:firstLineChars="200"/>
        <w:rPr>
          <w:rFonts w:ascii="仿宋_GB2312"/>
          <w:sz w:val="32"/>
          <w:szCs w:val="32"/>
        </w:rPr>
      </w:pPr>
      <w:r>
        <w:rPr>
          <w:rFonts w:hint="eastAsia" w:ascii="仿宋_GB2312"/>
          <w:sz w:val="32"/>
          <w:szCs w:val="32"/>
        </w:rPr>
        <w:t>其中，优质流动性资产是指可快速变现且风险较小的资产，如货币资金，结算备付金，未冻结和质押的国债、中央银行票据、金融债券、地方政府债等。</w:t>
      </w:r>
    </w:p>
    <w:p>
      <w:pPr>
        <w:spacing w:before="156" w:beforeLines="50" w:after="156" w:afterLines="50"/>
        <w:ind w:firstLine="664" w:firstLineChars="200"/>
        <w:rPr>
          <w:rFonts w:ascii="仿宋_GB2312"/>
          <w:sz w:val="32"/>
          <w:szCs w:val="32"/>
        </w:rPr>
      </w:pPr>
      <w:r>
        <w:rPr>
          <w:rFonts w:hint="eastAsia" w:ascii="仿宋_GB2312"/>
          <w:sz w:val="32"/>
          <w:szCs w:val="32"/>
        </w:rPr>
        <w:t>流动性覆盖率衡量证券公司对于短期流动性风险的抵御能力。根据监管要求，证券公司的流动性覆盖率应不低于100%，在2014年12月31日前应达到80%，在2015年6月30日前应达到100%。</w:t>
      </w:r>
    </w:p>
    <w:p>
      <w:pPr>
        <w:spacing w:before="156" w:beforeLines="50" w:after="156" w:afterLines="50"/>
        <w:ind w:left="624" w:leftChars="200"/>
        <w:outlineLvl w:val="2"/>
        <w:rPr>
          <w:rFonts w:ascii="仿宋_GB2312"/>
          <w:b/>
          <w:sz w:val="32"/>
          <w:szCs w:val="32"/>
        </w:rPr>
      </w:pPr>
      <w:r>
        <w:rPr>
          <w:rFonts w:hint="eastAsia" w:ascii="仿宋_GB2312"/>
          <w:b/>
          <w:sz w:val="32"/>
          <w:szCs w:val="32"/>
        </w:rPr>
        <w:t>（七）净稳定资金率</w:t>
      </w:r>
    </w:p>
    <w:p>
      <w:pPr>
        <w:spacing w:before="156" w:beforeLines="50" w:after="156" w:afterLines="50"/>
        <w:ind w:firstLine="664" w:firstLineChars="200"/>
        <w:rPr>
          <w:rFonts w:ascii="仿宋_GB2312"/>
          <w:sz w:val="32"/>
          <w:szCs w:val="32"/>
        </w:rPr>
      </w:pPr>
      <w:r>
        <w:rPr>
          <w:rFonts w:hint="eastAsia" w:ascii="仿宋_GB2312"/>
          <w:sz w:val="32"/>
          <w:szCs w:val="32"/>
        </w:rPr>
        <w:t>净稳定资金率</w:t>
      </w:r>
      <w:r>
        <w:rPr>
          <w:rFonts w:hint="eastAsia" w:cs="宋体"/>
          <w:sz w:val="32"/>
          <w:szCs w:val="32"/>
        </w:rPr>
        <w:t>﹦</w:t>
      </w:r>
      <w:r>
        <w:rPr>
          <w:rFonts w:hint="eastAsia" w:ascii="仿宋_GB2312"/>
          <w:sz w:val="32"/>
          <w:szCs w:val="32"/>
        </w:rPr>
        <w:t>可用稳定资金/所需的稳定资金×100%</w:t>
      </w:r>
    </w:p>
    <w:p>
      <w:pPr>
        <w:spacing w:before="156" w:beforeLines="50" w:after="156" w:afterLines="50"/>
        <w:ind w:firstLine="664" w:firstLineChars="200"/>
        <w:rPr>
          <w:rFonts w:ascii="仿宋_GB2312"/>
          <w:sz w:val="32"/>
          <w:szCs w:val="32"/>
        </w:rPr>
      </w:pPr>
      <w:r>
        <w:rPr>
          <w:rFonts w:hint="eastAsia" w:ascii="仿宋_GB2312"/>
          <w:sz w:val="32"/>
          <w:szCs w:val="32"/>
        </w:rPr>
        <w:t>其中，可用稳定资本主要由股东和债权人投入的资本金构成，包括调整后净资产和剩余存续期大于1年的借款和其他负债；所需稳定资金按照证券公司各项资产乘以对应折算率计算得到，一般地，资产风险越高、剩余存续期越长，对应的折算率越高。</w:t>
      </w:r>
    </w:p>
    <w:p>
      <w:pPr>
        <w:spacing w:before="156" w:beforeLines="50" w:after="156" w:afterLines="50"/>
        <w:ind w:firstLine="664" w:firstLineChars="200"/>
        <w:rPr>
          <w:rFonts w:ascii="仿宋_GB2312"/>
          <w:sz w:val="32"/>
          <w:szCs w:val="32"/>
        </w:rPr>
      </w:pPr>
      <w:r>
        <w:rPr>
          <w:rFonts w:hint="eastAsia" w:ascii="仿宋_GB2312"/>
          <w:sz w:val="32"/>
          <w:szCs w:val="32"/>
        </w:rPr>
        <w:t>净稳定资金率旨在确保证券公司减少资金运用与资金来源的期限错配，增加长期稳定资金来源，满足各类表内外业务对稳定资金的需求。根据监管要求，证券公司的净稳定资金率应不低于100%，在2014年12月31日前应达到80%，在2015年6月30日前应达到100%。</w:t>
      </w:r>
    </w:p>
    <w:p>
      <w:pPr>
        <w:spacing w:before="156" w:beforeLines="50" w:after="156" w:afterLines="50"/>
        <w:ind w:left="624" w:leftChars="200"/>
        <w:outlineLvl w:val="1"/>
        <w:rPr>
          <w:rFonts w:ascii="仿宋_GB2312"/>
          <w:b/>
          <w:sz w:val="32"/>
          <w:szCs w:val="32"/>
        </w:rPr>
      </w:pPr>
      <w:r>
        <w:rPr>
          <w:rFonts w:hint="eastAsia" w:ascii="仿宋_GB2312"/>
          <w:b/>
          <w:sz w:val="32"/>
          <w:szCs w:val="32"/>
        </w:rPr>
        <w:t>四、评估中应关注的问题</w:t>
      </w:r>
    </w:p>
    <w:p>
      <w:pPr>
        <w:spacing w:before="156" w:beforeLines="50" w:after="156" w:afterLines="50"/>
        <w:ind w:firstLine="664" w:firstLineChars="200"/>
        <w:rPr>
          <w:rFonts w:ascii="仿宋_GB2312"/>
          <w:sz w:val="32"/>
          <w:szCs w:val="32"/>
        </w:rPr>
      </w:pPr>
      <w:r>
        <w:rPr>
          <w:rFonts w:hint="eastAsia" w:ascii="仿宋_GB2312"/>
          <w:sz w:val="32"/>
          <w:szCs w:val="32"/>
        </w:rPr>
        <w:t>证券公司监管指标体系以净资本为核心。</w:t>
      </w:r>
    </w:p>
    <w:p>
      <w:pPr>
        <w:spacing w:before="156" w:beforeLines="50" w:after="156" w:afterLines="50"/>
        <w:ind w:firstLine="664" w:firstLineChars="200"/>
        <w:rPr>
          <w:rFonts w:ascii="仿宋_GB2312"/>
          <w:sz w:val="32"/>
          <w:szCs w:val="32"/>
        </w:rPr>
      </w:pPr>
      <w:r>
        <w:rPr>
          <w:rFonts w:hint="eastAsia" w:ascii="仿宋_GB2312"/>
          <w:sz w:val="32"/>
          <w:szCs w:val="32"/>
        </w:rPr>
        <w:t>证券公司净资本或者其他风险控制指标不符合规定标准的，监管机构会责令公司限期改正。整改期内，中国证监会及其派出机构会区别情形，对证券公司采取下列措施：（1）停止批准新业务；（2）停止批准增设、收购营业性分支机构；（3）限制分配红利；（4）限制转让财产或在财产上设定其他权利。</w:t>
      </w:r>
    </w:p>
    <w:p>
      <w:pPr>
        <w:spacing w:before="156" w:beforeLines="50" w:after="156" w:afterLines="50"/>
        <w:ind w:firstLine="664" w:firstLineChars="200"/>
        <w:rPr>
          <w:rFonts w:ascii="仿宋_GB2312"/>
          <w:sz w:val="32"/>
          <w:szCs w:val="32"/>
        </w:rPr>
      </w:pPr>
      <w:r>
        <w:rPr>
          <w:rFonts w:hint="eastAsia" w:ascii="仿宋_GB2312"/>
          <w:sz w:val="32"/>
          <w:szCs w:val="32"/>
        </w:rPr>
        <w:t>证券公司未按期完成整改的，自整改期限到期的次日起，监管机构会区别情形，对其采取下列措施：（1）限制业务活动；（2）责令暂停部分业务；（3）限制向董事、监事、高级管理人员支付报酬、提供福利；（4）责令更换董事、监事、高级管理人员或者限制其权利；（5）责令控股股东转让股权或者限制有关股东行使股东权利；（6）认定董事、监事、高级管理人员为不适当人选。</w:t>
      </w:r>
    </w:p>
    <w:p>
      <w:pPr>
        <w:spacing w:before="156" w:beforeLines="50" w:after="156" w:afterLines="50"/>
        <w:ind w:firstLine="664" w:firstLineChars="200"/>
        <w:rPr>
          <w:rFonts w:ascii="仿宋_GB2312"/>
          <w:sz w:val="32"/>
          <w:szCs w:val="32"/>
        </w:rPr>
      </w:pPr>
      <w:r>
        <w:rPr>
          <w:rFonts w:hint="eastAsia" w:ascii="仿宋_GB2312"/>
          <w:sz w:val="32"/>
          <w:szCs w:val="32"/>
        </w:rPr>
        <w:t>证券公司未按期完成整改、风险控制指标情况继续恶化，严重危及该证券公司的稳健运行的，中国证监会可以撤销其有关业务许可。</w:t>
      </w:r>
    </w:p>
    <w:p>
      <w:pPr>
        <w:spacing w:before="156" w:beforeLines="50" w:after="156" w:afterLines="50"/>
        <w:ind w:firstLine="664" w:firstLineChars="200"/>
        <w:rPr>
          <w:rFonts w:ascii="仿宋_GB2312"/>
          <w:sz w:val="32"/>
          <w:szCs w:val="32"/>
        </w:rPr>
      </w:pPr>
      <w:r>
        <w:rPr>
          <w:rFonts w:hint="eastAsia" w:ascii="仿宋_GB2312"/>
          <w:sz w:val="32"/>
          <w:szCs w:val="32"/>
        </w:rPr>
        <w:t>证券公司风险控制指标无法达标，严重危害证券市场秩序、损害投资者利益的，中国证监会可以区别情形，对其采取下列措施：（1）责令停业整顿；（2）指定其他机构托管、接管；（3）撤销经营证券业务许可；（4）撤销。</w:t>
      </w:r>
    </w:p>
    <w:p>
      <w:pPr>
        <w:spacing w:before="156" w:beforeLines="50" w:after="156" w:afterLines="50"/>
        <w:ind w:firstLine="664" w:firstLineChars="200"/>
        <w:rPr>
          <w:rFonts w:ascii="仿宋_GB2312"/>
          <w:sz w:val="32"/>
          <w:szCs w:val="32"/>
        </w:rPr>
      </w:pPr>
      <w:r>
        <w:rPr>
          <w:rFonts w:hint="eastAsia" w:ascii="仿宋_GB2312"/>
          <w:sz w:val="32"/>
          <w:szCs w:val="32"/>
        </w:rPr>
        <w:t>对证券公司进行评估，评估机构应对评估对象进行尽职调查，了解其净资本水平是否符合监管要求、是否有达到监管要求的可行计划和具体措施、预测期计划达到的资本充足水平、资本补充方式等。对于净资本水平不足的证券公司，可以通过发行资本工具、降低分红水平等方式对资本金进行补充。此外，还可以考虑对净资本偏低的证券公司采取较高折现率，以反映其在经营过程中所面对的风险。</w:t>
      </w:r>
      <w:r>
        <w:rPr>
          <w:rFonts w:hint="eastAsia" w:ascii="仿宋_GB2312" w:hAnsi="Times New Roman"/>
          <w:sz w:val="32"/>
          <w:szCs w:val="32"/>
        </w:rPr>
        <w:t>对于净资本水平不足的证券公司，评估机构应在评估报告中披露相关风险。</w:t>
      </w:r>
    </w:p>
    <w:p>
      <w:pPr>
        <w:spacing w:before="156" w:beforeLines="50" w:after="156" w:afterLines="50"/>
        <w:ind w:firstLine="664" w:firstLineChars="200"/>
        <w:rPr>
          <w:rFonts w:ascii="仿宋_GB2312"/>
          <w:sz w:val="32"/>
          <w:szCs w:val="32"/>
        </w:rPr>
      </w:pPr>
      <w:r>
        <w:rPr>
          <w:rFonts w:hint="eastAsia" w:ascii="仿宋_GB2312"/>
          <w:sz w:val="32"/>
          <w:szCs w:val="32"/>
        </w:rPr>
        <w:t>流动性风险监管指标衡量证券公司以合理成本及时获得充足资金，偿付到期债务、履行其他支付义务和满足正常业务资金需求的能力。证券公司合理配置一些较高风险资产，可以提升其利润表现。需要注意的是，脱离风险控制的高收益并不足以支持证券公司的价值提升。对证券公司进行评估，评估对象流动性风险监管指标偏低的，评估机构可以在预测时调整其资产配置，合理增持风险较低、流动性较强的资产，使其在过渡期内达到流动性监管要求。此外，还可以考虑对流动性不足的证券公司采取较高折现率，以反映其在经营过程中所面对的风险。</w:t>
      </w:r>
      <w:r>
        <w:rPr>
          <w:rFonts w:hint="eastAsia" w:ascii="仿宋_GB2312" w:hAnsi="Times New Roman"/>
          <w:sz w:val="32"/>
          <w:szCs w:val="32"/>
        </w:rPr>
        <w:t>对于流动性不足的证券公司，评估机构应在评估报告中披露相关风险。</w:t>
      </w:r>
    </w:p>
    <w:p>
      <w:pPr>
        <w:widowControl w:val="0"/>
        <w:wordWrap/>
        <w:autoSpaceDE w:val="0"/>
        <w:autoSpaceDN w:val="0"/>
        <w:adjustRightInd w:val="0"/>
        <w:snapToGrid w:val="0"/>
        <w:spacing w:before="157" w:beforeLines="50" w:after="157" w:afterLines="50" w:line="588" w:lineRule="atLeast"/>
        <w:ind w:left="0" w:leftChars="0" w:right="0" w:firstLine="0" w:firstLineChars="0"/>
        <w:jc w:val="center"/>
        <w:textAlignment w:val="auto"/>
        <w:outlineLvl w:val="9"/>
        <w:rPr>
          <w:rFonts w:hint="eastAsia" w:ascii="仿宋_GB2312"/>
          <w:b/>
          <w:sz w:val="32"/>
          <w:szCs w:val="32"/>
        </w:rPr>
      </w:pPr>
      <w:r>
        <w:rPr>
          <w:rFonts w:hint="eastAsia" w:ascii="仿宋_GB2312"/>
          <w:b/>
          <w:sz w:val="32"/>
          <w:szCs w:val="32"/>
        </w:rPr>
        <w:t>第四章 保险公司</w:t>
      </w:r>
    </w:p>
    <w:p>
      <w:pPr>
        <w:spacing w:before="156" w:beforeLines="50" w:after="156" w:afterLines="50"/>
        <w:ind w:firstLine="667" w:firstLineChars="200"/>
        <w:outlineLvl w:val="1"/>
        <w:rPr>
          <w:rFonts w:ascii="仿宋_GB2312" w:hAnsi="Times New Roman"/>
          <w:b/>
          <w:sz w:val="32"/>
          <w:szCs w:val="32"/>
        </w:rPr>
      </w:pPr>
      <w:r>
        <w:rPr>
          <w:rFonts w:hint="eastAsia" w:ascii="仿宋_GB2312"/>
          <w:b/>
          <w:sz w:val="32"/>
          <w:szCs w:val="32"/>
        </w:rPr>
        <w:t>一、监管机构</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保险公司开展各项经营业务，主要受中国保监会、财政部和中国人民银行监管，上市保险公司同时受到中国证监会监管。</w:t>
      </w:r>
    </w:p>
    <w:p>
      <w:pPr>
        <w:spacing w:before="156" w:beforeLines="50" w:after="156" w:afterLines="50"/>
        <w:ind w:firstLine="667" w:firstLineChars="200"/>
        <w:outlineLvl w:val="1"/>
        <w:rPr>
          <w:rFonts w:ascii="仿宋_GB2312" w:hAnsi="Times New Roman"/>
          <w:b/>
          <w:sz w:val="32"/>
          <w:szCs w:val="32"/>
        </w:rPr>
      </w:pPr>
      <w:r>
        <w:rPr>
          <w:rFonts w:hint="eastAsia" w:ascii="仿宋_GB2312"/>
          <w:b/>
          <w:sz w:val="32"/>
          <w:szCs w:val="32"/>
        </w:rPr>
        <w:t>二、监管指标概述</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按照业务类型进行划分，保险公司分为财险公司和寿险公司，二者在经营方面存在较大差异，分别适用不同的业务监管指标。本章将保险企业评估中应关注的金融监管指标分为保险公司综合监管指标、财险公司监管指标和寿险公司监管指标三大类，分别进行介绍。</w:t>
      </w:r>
    </w:p>
    <w:p>
      <w:pPr>
        <w:spacing w:before="156" w:beforeLines="50" w:after="156" w:afterLines="50"/>
        <w:ind w:left="624" w:leftChars="200"/>
        <w:outlineLvl w:val="1"/>
        <w:rPr>
          <w:rFonts w:ascii="仿宋_GB2312" w:hAnsi="Times New Roman"/>
          <w:b/>
          <w:color w:val="000000"/>
          <w:sz w:val="32"/>
          <w:szCs w:val="32"/>
        </w:rPr>
      </w:pPr>
      <w:r>
        <w:rPr>
          <w:rFonts w:hint="eastAsia" w:ascii="仿宋_GB2312"/>
          <w:b/>
          <w:color w:val="000000"/>
          <w:sz w:val="32"/>
          <w:szCs w:val="32"/>
        </w:rPr>
        <w:t>三、保险公司综合监管指标</w:t>
      </w:r>
    </w:p>
    <w:p>
      <w:pPr>
        <w:spacing w:before="156" w:beforeLines="50" w:after="156" w:afterLines="50"/>
        <w:ind w:left="624" w:leftChars="200"/>
        <w:outlineLvl w:val="2"/>
        <w:rPr>
          <w:rFonts w:ascii="仿宋_GB2312" w:hAnsi="Times New Roman"/>
          <w:b/>
          <w:sz w:val="32"/>
          <w:szCs w:val="32"/>
        </w:rPr>
      </w:pPr>
      <w:r>
        <w:rPr>
          <w:rFonts w:hint="eastAsia" w:ascii="仿宋_GB2312"/>
          <w:b/>
          <w:sz w:val="32"/>
          <w:szCs w:val="32"/>
        </w:rPr>
        <w:t>（一）实际资本</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保险公司的实际资本，是指认可资产与认可负债的差额。认可资产</w:t>
      </w:r>
      <w:r>
        <w:rPr>
          <w:rFonts w:hint="eastAsia" w:ascii="仿宋_GB2312" w:hAnsi="Times New Roman"/>
          <w:sz w:val="32"/>
          <w:szCs w:val="32"/>
        </w:rPr>
        <w:t>（</w:t>
      </w:r>
      <w:r>
        <w:rPr>
          <w:rFonts w:hint="eastAsia" w:ascii="仿宋_GB2312"/>
          <w:sz w:val="32"/>
          <w:szCs w:val="32"/>
        </w:rPr>
        <w:t>负债）是保险公司在评估偿付能力时依据中国保监会的规定所确认的资产</w:t>
      </w:r>
      <w:r>
        <w:rPr>
          <w:rFonts w:hint="eastAsia" w:ascii="仿宋_GB2312" w:hAnsi="Times New Roman"/>
          <w:sz w:val="32"/>
          <w:szCs w:val="32"/>
        </w:rPr>
        <w:t>（</w:t>
      </w:r>
      <w:r>
        <w:rPr>
          <w:rFonts w:hint="eastAsia" w:ascii="仿宋_GB2312"/>
          <w:sz w:val="32"/>
          <w:szCs w:val="32"/>
        </w:rPr>
        <w:t>负债）。</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实际资本是保险公司能够履行对保单持有人赔付义务的资本，用于衡量保险公司的偿付能力。实际资本包括投入资本、剩余综合收益和计入实际资本的资本性负债。</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1.投入资本，指保险公司的所有者和捐赠者通过资本交易投入的资本。保险公司所有者通过非资本交易和事项投入的资本不属于投入资本，例如，保险公司用盈余公积和未分配利润转增的资本不计入投入资本，在剩余综合收益中反映。</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2.剩余综合收益，指保险公司的综合收益减去分配的现金股利（或利润）后的余额。</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3.计入实际资本的资本性负债，指保险公司按照《保险公司偿付能力报告编报规则第</w:t>
      </w:r>
      <w:r>
        <w:rPr>
          <w:rFonts w:hint="eastAsia" w:ascii="仿宋_GB2312" w:hAnsi="Times New Roman"/>
          <w:sz w:val="32"/>
          <w:szCs w:val="32"/>
        </w:rPr>
        <w:t>6</w:t>
      </w:r>
      <w:r>
        <w:rPr>
          <w:rFonts w:hint="eastAsia" w:ascii="仿宋_GB2312"/>
          <w:sz w:val="32"/>
          <w:szCs w:val="32"/>
        </w:rPr>
        <w:t>号：认可负债》的规定不确认为认可负债而计入实际资本的资本性负债。目前我国保险公司的资本性负债主要是次级债。</w:t>
      </w:r>
    </w:p>
    <w:p>
      <w:pPr>
        <w:spacing w:before="156" w:beforeLines="50" w:after="156" w:afterLines="50"/>
        <w:ind w:left="624" w:leftChars="200"/>
        <w:outlineLvl w:val="2"/>
        <w:rPr>
          <w:rFonts w:ascii="仿宋_GB2312" w:hAnsi="Times New Roman"/>
          <w:b/>
          <w:sz w:val="32"/>
          <w:szCs w:val="32"/>
        </w:rPr>
      </w:pPr>
      <w:r>
        <w:rPr>
          <w:rFonts w:hint="eastAsia" w:ascii="仿宋_GB2312"/>
          <w:b/>
          <w:sz w:val="32"/>
          <w:szCs w:val="32"/>
        </w:rPr>
        <w:t>（二）最低资本</w:t>
      </w:r>
    </w:p>
    <w:p>
      <w:pPr>
        <w:spacing w:before="156" w:beforeLines="50" w:after="156" w:afterLines="50"/>
        <w:ind w:firstLine="664" w:firstLineChars="200"/>
        <w:rPr>
          <w:rFonts w:ascii="仿宋_GB2312"/>
          <w:sz w:val="32"/>
          <w:szCs w:val="32"/>
        </w:rPr>
      </w:pPr>
      <w:r>
        <w:rPr>
          <w:rFonts w:hint="eastAsia" w:ascii="仿宋_GB2312"/>
          <w:sz w:val="32"/>
          <w:szCs w:val="32"/>
        </w:rPr>
        <w:t>最低资本，是指保险公司为应对资产风险、承保风险等风险对偿付能力的不利影响，依据中国保监会的规定而应当具有的资本数额。财险公司和寿险公司对应不同的最低资本要求，具体如下表所示：</w:t>
      </w:r>
    </w:p>
    <w:tbl>
      <w:tblPr>
        <w:tblStyle w:val="25"/>
        <w:tblW w:w="85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6"/>
        <w:gridCol w:w="1559"/>
        <w:gridCol w:w="4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blHeader/>
        </w:trPr>
        <w:tc>
          <w:tcPr>
            <w:tcW w:w="1242" w:type="dxa"/>
            <w:vAlign w:val="center"/>
          </w:tcPr>
          <w:p>
            <w:pPr>
              <w:spacing w:before="31" w:beforeLines="10" w:after="31" w:afterLines="10"/>
              <w:rPr>
                <w:rFonts w:ascii="仿宋_GB2312" w:hAnsi="Times New Roman"/>
                <w:b/>
                <w:sz w:val="28"/>
                <w:szCs w:val="28"/>
              </w:rPr>
            </w:pPr>
            <w:r>
              <w:rPr>
                <w:rFonts w:hint="eastAsia" w:ascii="仿宋_GB2312"/>
                <w:b/>
                <w:sz w:val="28"/>
                <w:szCs w:val="28"/>
              </w:rPr>
              <w:t>公司类型</w:t>
            </w:r>
          </w:p>
        </w:tc>
        <w:tc>
          <w:tcPr>
            <w:tcW w:w="7280" w:type="dxa"/>
            <w:gridSpan w:val="3"/>
            <w:vAlign w:val="center"/>
          </w:tcPr>
          <w:p>
            <w:pPr>
              <w:spacing w:before="31" w:beforeLines="10" w:after="31" w:afterLines="10"/>
              <w:jc w:val="center"/>
              <w:rPr>
                <w:rFonts w:ascii="仿宋_GB2312" w:hAnsi="Times New Roman"/>
                <w:b/>
                <w:sz w:val="28"/>
                <w:szCs w:val="28"/>
              </w:rPr>
            </w:pPr>
            <w:r>
              <w:rPr>
                <w:rFonts w:hint="eastAsia" w:ascii="仿宋_GB2312"/>
                <w:b/>
                <w:sz w:val="28"/>
                <w:szCs w:val="28"/>
              </w:rPr>
              <w:t>保险业务类型及最低资本要求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Merge w:val="restart"/>
            <w:vAlign w:val="center"/>
          </w:tcPr>
          <w:p>
            <w:pPr>
              <w:spacing w:before="31" w:beforeLines="10" w:after="31" w:afterLines="10"/>
              <w:jc w:val="center"/>
              <w:rPr>
                <w:rFonts w:ascii="仿宋_GB2312" w:hAnsi="Times New Roman"/>
                <w:sz w:val="28"/>
                <w:szCs w:val="28"/>
              </w:rPr>
            </w:pPr>
            <w:r>
              <w:rPr>
                <w:rFonts w:hint="eastAsia" w:ascii="仿宋_GB2312"/>
                <w:sz w:val="28"/>
                <w:szCs w:val="28"/>
              </w:rPr>
              <w:t>财险公司</w:t>
            </w:r>
          </w:p>
        </w:tc>
        <w:tc>
          <w:tcPr>
            <w:tcW w:w="1276" w:type="dxa"/>
            <w:vAlign w:val="center"/>
          </w:tcPr>
          <w:p>
            <w:pPr>
              <w:spacing w:before="31" w:beforeLines="10" w:after="31" w:afterLines="10"/>
              <w:jc w:val="center"/>
              <w:rPr>
                <w:rFonts w:ascii="仿宋_GB2312" w:hAnsi="Times New Roman"/>
                <w:sz w:val="28"/>
                <w:szCs w:val="28"/>
              </w:rPr>
            </w:pPr>
            <w:r>
              <w:rPr>
                <w:rFonts w:hint="eastAsia" w:ascii="仿宋_GB2312"/>
                <w:sz w:val="28"/>
                <w:szCs w:val="28"/>
              </w:rPr>
              <w:t>非寿险保障型业务</w:t>
            </w:r>
          </w:p>
        </w:tc>
        <w:tc>
          <w:tcPr>
            <w:tcW w:w="6004" w:type="dxa"/>
            <w:gridSpan w:val="2"/>
            <w:vAlign w:val="top"/>
          </w:tcPr>
          <w:p>
            <w:pPr>
              <w:spacing w:before="31" w:beforeLines="10" w:after="31" w:afterLines="10"/>
              <w:rPr>
                <w:rFonts w:ascii="仿宋_GB2312" w:hAnsi="Times New Roman"/>
                <w:sz w:val="28"/>
                <w:szCs w:val="28"/>
              </w:rPr>
            </w:pPr>
            <w:r>
              <w:rPr>
                <w:rFonts w:hint="eastAsia" w:ascii="仿宋_GB2312"/>
                <w:sz w:val="28"/>
                <w:szCs w:val="28"/>
              </w:rPr>
              <w:t>下述两项中数额较大的一项：</w:t>
            </w:r>
          </w:p>
          <w:p>
            <w:pPr>
              <w:spacing w:before="31" w:beforeLines="10" w:after="31" w:afterLines="10"/>
              <w:rPr>
                <w:rFonts w:ascii="仿宋_GB2312" w:hAnsi="Times New Roman"/>
                <w:sz w:val="28"/>
                <w:szCs w:val="28"/>
              </w:rPr>
            </w:pPr>
            <w:r>
              <w:rPr>
                <w:rFonts w:hint="eastAsia" w:ascii="仿宋_GB2312"/>
                <w:sz w:val="28"/>
                <w:szCs w:val="28"/>
              </w:rPr>
              <w:t>（</w:t>
            </w:r>
            <w:r>
              <w:rPr>
                <w:rFonts w:hint="eastAsia" w:ascii="仿宋_GB2312" w:hAnsi="Times New Roman"/>
                <w:sz w:val="28"/>
                <w:szCs w:val="28"/>
              </w:rPr>
              <w:t>1</w:t>
            </w:r>
            <w:r>
              <w:rPr>
                <w:rFonts w:hint="eastAsia" w:ascii="仿宋_GB2312"/>
                <w:sz w:val="28"/>
                <w:szCs w:val="28"/>
              </w:rPr>
              <w:t>）最近会计年度公司自留保费减营业税及附加后</w:t>
            </w:r>
            <w:r>
              <w:rPr>
                <w:rFonts w:hint="eastAsia" w:ascii="仿宋_GB2312" w:hAnsi="Times New Roman"/>
                <w:sz w:val="28"/>
                <w:szCs w:val="28"/>
              </w:rPr>
              <w:t>1</w:t>
            </w:r>
            <w:r>
              <w:rPr>
                <w:rFonts w:hint="eastAsia" w:ascii="仿宋_GB2312"/>
                <w:sz w:val="28"/>
                <w:szCs w:val="28"/>
              </w:rPr>
              <w:t>亿元人民币以下部分的</w:t>
            </w:r>
            <w:r>
              <w:rPr>
                <w:rFonts w:hint="eastAsia" w:ascii="仿宋_GB2312" w:hAnsi="Times New Roman"/>
                <w:sz w:val="28"/>
                <w:szCs w:val="28"/>
              </w:rPr>
              <w:t>18</w:t>
            </w:r>
            <w:r>
              <w:rPr>
                <w:rFonts w:hint="eastAsia" w:ascii="仿宋_GB2312"/>
                <w:sz w:val="28"/>
                <w:szCs w:val="28"/>
              </w:rPr>
              <w:t>%和</w:t>
            </w:r>
            <w:r>
              <w:rPr>
                <w:rFonts w:hint="eastAsia" w:ascii="仿宋_GB2312" w:hAnsi="Times New Roman"/>
                <w:sz w:val="28"/>
                <w:szCs w:val="28"/>
              </w:rPr>
              <w:t>1</w:t>
            </w:r>
            <w:r>
              <w:rPr>
                <w:rFonts w:hint="eastAsia" w:ascii="仿宋_GB2312"/>
                <w:sz w:val="28"/>
                <w:szCs w:val="28"/>
              </w:rPr>
              <w:t>亿元人民币以上部分的</w:t>
            </w:r>
            <w:r>
              <w:rPr>
                <w:rFonts w:hint="eastAsia" w:ascii="仿宋_GB2312" w:hAnsi="Times New Roman"/>
                <w:sz w:val="28"/>
                <w:szCs w:val="28"/>
              </w:rPr>
              <w:t>16</w:t>
            </w:r>
            <w:r>
              <w:rPr>
                <w:rFonts w:hint="eastAsia" w:ascii="仿宋_GB2312"/>
                <w:sz w:val="28"/>
                <w:szCs w:val="28"/>
              </w:rPr>
              <w:t>%；</w:t>
            </w:r>
          </w:p>
          <w:p>
            <w:pPr>
              <w:spacing w:before="31" w:beforeLines="10" w:after="31" w:afterLines="10"/>
              <w:rPr>
                <w:rFonts w:ascii="仿宋_GB2312" w:hAnsi="Times New Roman"/>
                <w:sz w:val="28"/>
                <w:szCs w:val="28"/>
              </w:rPr>
            </w:pPr>
            <w:r>
              <w:rPr>
                <w:rFonts w:hint="eastAsia" w:ascii="仿宋_GB2312"/>
                <w:sz w:val="28"/>
                <w:szCs w:val="28"/>
              </w:rPr>
              <w:t>（</w:t>
            </w:r>
            <w:r>
              <w:rPr>
                <w:rFonts w:hint="eastAsia" w:ascii="仿宋_GB2312" w:hAnsi="Times New Roman"/>
                <w:sz w:val="28"/>
                <w:szCs w:val="28"/>
              </w:rPr>
              <w:t>2</w:t>
            </w:r>
            <w:r>
              <w:rPr>
                <w:rFonts w:hint="eastAsia" w:ascii="仿宋_GB2312"/>
                <w:sz w:val="28"/>
                <w:szCs w:val="28"/>
              </w:rPr>
              <w:t>）公司最近</w:t>
            </w:r>
            <w:r>
              <w:rPr>
                <w:rFonts w:hint="eastAsia" w:ascii="仿宋_GB2312" w:hAnsi="Times New Roman"/>
                <w:sz w:val="28"/>
                <w:szCs w:val="28"/>
              </w:rPr>
              <w:t>3</w:t>
            </w:r>
            <w:r>
              <w:rPr>
                <w:rFonts w:hint="eastAsia" w:ascii="仿宋_GB2312"/>
                <w:sz w:val="28"/>
                <w:szCs w:val="28"/>
              </w:rPr>
              <w:t>年平均综合赔款金额</w:t>
            </w:r>
            <w:r>
              <w:rPr>
                <w:rFonts w:hint="eastAsia" w:ascii="仿宋_GB2312" w:hAnsi="Times New Roman"/>
                <w:sz w:val="28"/>
                <w:szCs w:val="28"/>
              </w:rPr>
              <w:t>7,000</w:t>
            </w:r>
            <w:r>
              <w:rPr>
                <w:rFonts w:hint="eastAsia" w:ascii="仿宋_GB2312"/>
                <w:sz w:val="28"/>
                <w:szCs w:val="28"/>
              </w:rPr>
              <w:t>万元以下部分的</w:t>
            </w:r>
            <w:r>
              <w:rPr>
                <w:rFonts w:hint="eastAsia" w:ascii="仿宋_GB2312" w:hAnsi="Times New Roman"/>
                <w:sz w:val="28"/>
                <w:szCs w:val="28"/>
              </w:rPr>
              <w:t>26</w:t>
            </w:r>
            <w:r>
              <w:rPr>
                <w:rFonts w:hint="eastAsia" w:ascii="仿宋_GB2312"/>
                <w:sz w:val="28"/>
                <w:szCs w:val="28"/>
              </w:rPr>
              <w:t>%和</w:t>
            </w:r>
            <w:r>
              <w:rPr>
                <w:rFonts w:hint="eastAsia" w:ascii="仿宋_GB2312" w:hAnsi="Times New Roman"/>
                <w:sz w:val="28"/>
                <w:szCs w:val="28"/>
              </w:rPr>
              <w:t>7,000</w:t>
            </w:r>
            <w:r>
              <w:rPr>
                <w:rFonts w:hint="eastAsia" w:ascii="仿宋_GB2312"/>
                <w:sz w:val="28"/>
                <w:szCs w:val="28"/>
              </w:rPr>
              <w:t>万元以上部分的</w:t>
            </w:r>
            <w:r>
              <w:rPr>
                <w:rFonts w:hint="eastAsia" w:ascii="仿宋_GB2312" w:hAnsi="Times New Roman"/>
                <w:sz w:val="28"/>
                <w:szCs w:val="28"/>
              </w:rPr>
              <w:t>23</w:t>
            </w:r>
            <w:r>
              <w:rPr>
                <w:rFonts w:hint="eastAsia" w:ascii="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Merge w:val="continue"/>
            <w:vAlign w:val="center"/>
          </w:tcPr>
          <w:p>
            <w:pPr>
              <w:spacing w:before="31" w:beforeLines="10" w:after="31" w:afterLines="10"/>
              <w:outlineLvl w:val="9"/>
              <w:rPr>
                <w:rFonts w:ascii="仿宋_GB2312" w:hAnsi="Times New Roman" w:cs="黑体"/>
                <w:b/>
                <w:bCs/>
                <w:sz w:val="28"/>
                <w:szCs w:val="28"/>
              </w:rPr>
            </w:pPr>
          </w:p>
        </w:tc>
        <w:tc>
          <w:tcPr>
            <w:tcW w:w="1276" w:type="dxa"/>
            <w:vMerge w:val="restart"/>
            <w:vAlign w:val="center"/>
          </w:tcPr>
          <w:p>
            <w:pPr>
              <w:spacing w:before="31" w:beforeLines="10" w:after="31" w:afterLines="10"/>
              <w:jc w:val="center"/>
              <w:rPr>
                <w:rFonts w:ascii="仿宋_GB2312" w:hAnsi="Times New Roman"/>
                <w:sz w:val="28"/>
                <w:szCs w:val="28"/>
              </w:rPr>
            </w:pPr>
            <w:r>
              <w:rPr>
                <w:rFonts w:hint="eastAsia" w:ascii="仿宋_GB2312"/>
                <w:sz w:val="28"/>
                <w:szCs w:val="28"/>
              </w:rPr>
              <w:t>非寿险投资型业务</w:t>
            </w:r>
          </w:p>
        </w:tc>
        <w:tc>
          <w:tcPr>
            <w:tcW w:w="1559" w:type="dxa"/>
            <w:vAlign w:val="center"/>
          </w:tcPr>
          <w:p>
            <w:pPr>
              <w:spacing w:before="31" w:beforeLines="10" w:after="31" w:afterLines="10"/>
              <w:jc w:val="center"/>
              <w:rPr>
                <w:rFonts w:ascii="仿宋_GB2312"/>
                <w:sz w:val="28"/>
                <w:szCs w:val="28"/>
              </w:rPr>
            </w:pPr>
            <w:r>
              <w:rPr>
                <w:rFonts w:hint="eastAsia" w:ascii="仿宋_GB2312"/>
                <w:sz w:val="28"/>
                <w:szCs w:val="28"/>
              </w:rPr>
              <w:t>风险保费</w:t>
            </w:r>
          </w:p>
          <w:p>
            <w:pPr>
              <w:spacing w:before="31" w:beforeLines="10" w:after="31" w:afterLines="10"/>
              <w:jc w:val="center"/>
              <w:rPr>
                <w:rFonts w:ascii="仿宋_GB2312" w:hAnsi="Times New Roman"/>
                <w:sz w:val="28"/>
                <w:szCs w:val="28"/>
              </w:rPr>
            </w:pPr>
            <w:r>
              <w:rPr>
                <w:rFonts w:hint="eastAsia" w:ascii="仿宋_GB2312"/>
                <w:sz w:val="28"/>
                <w:szCs w:val="28"/>
              </w:rPr>
              <w:t>部分</w:t>
            </w:r>
          </w:p>
        </w:tc>
        <w:tc>
          <w:tcPr>
            <w:tcW w:w="4445" w:type="dxa"/>
            <w:vAlign w:val="top"/>
          </w:tcPr>
          <w:p>
            <w:pPr>
              <w:spacing w:before="31" w:beforeLines="10" w:after="31" w:afterLines="10"/>
              <w:rPr>
                <w:rFonts w:ascii="仿宋_GB2312" w:hAnsi="Times New Roman"/>
                <w:sz w:val="28"/>
                <w:szCs w:val="28"/>
              </w:rPr>
            </w:pPr>
            <w:r>
              <w:rPr>
                <w:rFonts w:hint="eastAsia" w:ascii="仿宋_GB2312"/>
                <w:sz w:val="28"/>
                <w:szCs w:val="28"/>
              </w:rPr>
              <w:t>适用非寿险保障型业务最低资本评估标准。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vMerge w:val="continue"/>
            <w:vAlign w:val="center"/>
          </w:tcPr>
          <w:p>
            <w:pPr>
              <w:spacing w:before="31" w:beforeLines="10" w:after="31" w:afterLines="10"/>
              <w:outlineLvl w:val="9"/>
              <w:rPr>
                <w:rFonts w:ascii="仿宋_GB2312" w:hAnsi="Times New Roman" w:cs="黑体"/>
                <w:b/>
                <w:bCs/>
                <w:sz w:val="28"/>
                <w:szCs w:val="28"/>
              </w:rPr>
            </w:pPr>
          </w:p>
        </w:tc>
        <w:tc>
          <w:tcPr>
            <w:tcW w:w="1276" w:type="dxa"/>
            <w:vMerge w:val="continue"/>
            <w:vAlign w:val="center"/>
          </w:tcPr>
          <w:p>
            <w:pPr>
              <w:spacing w:before="31" w:beforeLines="10" w:after="31" w:afterLines="10"/>
              <w:outlineLvl w:val="9"/>
              <w:rPr>
                <w:rFonts w:ascii="仿宋_GB2312" w:hAnsi="Times New Roman" w:cs="黑体"/>
                <w:b/>
                <w:bCs/>
                <w:sz w:val="28"/>
                <w:szCs w:val="28"/>
              </w:rPr>
            </w:pPr>
          </w:p>
        </w:tc>
        <w:tc>
          <w:tcPr>
            <w:tcW w:w="1559" w:type="dxa"/>
            <w:vAlign w:val="center"/>
          </w:tcPr>
          <w:p>
            <w:pPr>
              <w:spacing w:before="31" w:beforeLines="10" w:after="31" w:afterLines="10"/>
              <w:jc w:val="center"/>
              <w:rPr>
                <w:rFonts w:ascii="仿宋_GB2312" w:hAnsi="Times New Roman"/>
                <w:sz w:val="28"/>
                <w:szCs w:val="28"/>
              </w:rPr>
            </w:pPr>
            <w:r>
              <w:rPr>
                <w:rFonts w:hint="eastAsia" w:ascii="仿宋_GB2312"/>
                <w:sz w:val="28"/>
                <w:szCs w:val="28"/>
              </w:rPr>
              <w:t>投资金部分</w:t>
            </w:r>
          </w:p>
        </w:tc>
        <w:tc>
          <w:tcPr>
            <w:tcW w:w="4445" w:type="dxa"/>
            <w:vAlign w:val="top"/>
          </w:tcPr>
          <w:p>
            <w:pPr>
              <w:spacing w:before="31" w:beforeLines="10" w:after="31" w:afterLines="10"/>
              <w:rPr>
                <w:rFonts w:ascii="仿宋_GB2312" w:hAnsi="Times New Roman"/>
                <w:sz w:val="28"/>
                <w:szCs w:val="28"/>
              </w:rPr>
            </w:pPr>
            <w:r>
              <w:rPr>
                <w:rFonts w:hint="eastAsia" w:ascii="仿宋_GB2312"/>
                <w:sz w:val="28"/>
                <w:szCs w:val="28"/>
              </w:rPr>
              <w:t>下述两项之和：</w:t>
            </w:r>
          </w:p>
          <w:p>
            <w:pPr>
              <w:spacing w:before="31" w:beforeLines="10" w:after="31" w:afterLines="10"/>
              <w:rPr>
                <w:rFonts w:ascii="仿宋_GB2312" w:hAnsi="Times New Roman"/>
                <w:sz w:val="28"/>
                <w:szCs w:val="28"/>
              </w:rPr>
            </w:pPr>
            <w:r>
              <w:rPr>
                <w:rFonts w:hint="eastAsia" w:ascii="仿宋_GB2312"/>
                <w:sz w:val="28"/>
                <w:szCs w:val="28"/>
              </w:rPr>
              <w:t>（</w:t>
            </w:r>
            <w:r>
              <w:rPr>
                <w:rFonts w:hint="eastAsia" w:ascii="仿宋_GB2312" w:hAnsi="Times New Roman"/>
                <w:sz w:val="28"/>
                <w:szCs w:val="28"/>
              </w:rPr>
              <w:t>1</w:t>
            </w:r>
            <w:r>
              <w:rPr>
                <w:rFonts w:hint="eastAsia" w:ascii="仿宋_GB2312"/>
                <w:sz w:val="28"/>
                <w:szCs w:val="28"/>
              </w:rPr>
              <w:t>）预定收益型非寿险投资型产品投资金部分期末责任准备金的</w:t>
            </w:r>
            <w:r>
              <w:rPr>
                <w:rFonts w:hint="eastAsia" w:ascii="仿宋_GB2312" w:hAnsi="Times New Roman"/>
                <w:sz w:val="28"/>
                <w:szCs w:val="28"/>
              </w:rPr>
              <w:t>4</w:t>
            </w:r>
            <w:r>
              <w:rPr>
                <w:rFonts w:hint="eastAsia" w:ascii="仿宋_GB2312"/>
                <w:sz w:val="28"/>
                <w:szCs w:val="28"/>
              </w:rPr>
              <w:t>%；</w:t>
            </w:r>
          </w:p>
          <w:p>
            <w:pPr>
              <w:spacing w:before="31" w:beforeLines="10" w:after="31" w:afterLines="10"/>
              <w:rPr>
                <w:rFonts w:ascii="仿宋_GB2312" w:hAnsi="Times New Roman"/>
                <w:sz w:val="28"/>
                <w:szCs w:val="28"/>
              </w:rPr>
            </w:pPr>
            <w:r>
              <w:rPr>
                <w:rFonts w:hint="eastAsia" w:ascii="仿宋_GB2312"/>
                <w:sz w:val="28"/>
                <w:szCs w:val="28"/>
              </w:rPr>
              <w:t>（</w:t>
            </w:r>
            <w:r>
              <w:rPr>
                <w:rFonts w:hint="eastAsia" w:ascii="仿宋_GB2312" w:hAnsi="Times New Roman"/>
                <w:sz w:val="28"/>
                <w:szCs w:val="28"/>
              </w:rPr>
              <w:t>2</w:t>
            </w:r>
            <w:r>
              <w:rPr>
                <w:rFonts w:hint="eastAsia" w:ascii="仿宋_GB2312"/>
                <w:sz w:val="28"/>
                <w:szCs w:val="28"/>
              </w:rPr>
              <w:t>）非预定收益型非寿险投资型产品投资金部分期末责任准备金的</w:t>
            </w:r>
            <w:r>
              <w:rPr>
                <w:rFonts w:hint="eastAsia" w:ascii="仿宋_GB2312" w:hAnsi="Times New Roman"/>
                <w:sz w:val="28"/>
                <w:szCs w:val="28"/>
              </w:rPr>
              <w:t>1</w:t>
            </w:r>
            <w:r>
              <w:rPr>
                <w:rFonts w:hint="eastAsia" w:ascii="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Merge w:val="restart"/>
            <w:vAlign w:val="center"/>
          </w:tcPr>
          <w:p>
            <w:pPr>
              <w:spacing w:before="31" w:beforeLines="10" w:after="31" w:afterLines="10"/>
              <w:jc w:val="center"/>
              <w:rPr>
                <w:rFonts w:ascii="仿宋_GB2312" w:hAnsi="Times New Roman"/>
                <w:sz w:val="28"/>
                <w:szCs w:val="28"/>
              </w:rPr>
            </w:pPr>
            <w:r>
              <w:rPr>
                <w:rFonts w:hint="eastAsia" w:ascii="仿宋_GB2312"/>
                <w:sz w:val="28"/>
                <w:szCs w:val="28"/>
              </w:rPr>
              <w:t>寿险公司</w:t>
            </w:r>
          </w:p>
        </w:tc>
        <w:tc>
          <w:tcPr>
            <w:tcW w:w="1276" w:type="dxa"/>
            <w:vAlign w:val="center"/>
          </w:tcPr>
          <w:p>
            <w:pPr>
              <w:spacing w:before="31" w:beforeLines="10" w:after="31" w:afterLines="10"/>
              <w:jc w:val="center"/>
              <w:rPr>
                <w:rFonts w:hint="eastAsia" w:ascii="仿宋_GB2312"/>
                <w:sz w:val="28"/>
                <w:szCs w:val="28"/>
              </w:rPr>
            </w:pPr>
            <w:r>
              <w:rPr>
                <w:rFonts w:hint="eastAsia" w:ascii="仿宋_GB2312"/>
                <w:sz w:val="28"/>
                <w:szCs w:val="28"/>
              </w:rPr>
              <w:t>长期</w:t>
            </w:r>
          </w:p>
          <w:p>
            <w:pPr>
              <w:spacing w:before="31" w:beforeLines="10" w:after="31" w:afterLines="10"/>
              <w:jc w:val="center"/>
              <w:rPr>
                <w:rFonts w:ascii="仿宋_GB2312" w:hAnsi="Times New Roman"/>
                <w:sz w:val="28"/>
                <w:szCs w:val="28"/>
              </w:rPr>
            </w:pPr>
            <w:r>
              <w:rPr>
                <w:rFonts w:hint="eastAsia" w:ascii="仿宋_GB2312"/>
                <w:sz w:val="28"/>
                <w:szCs w:val="28"/>
              </w:rPr>
              <w:t>人身险业务</w:t>
            </w:r>
          </w:p>
        </w:tc>
        <w:tc>
          <w:tcPr>
            <w:tcW w:w="6004" w:type="dxa"/>
            <w:gridSpan w:val="2"/>
            <w:vAlign w:val="top"/>
          </w:tcPr>
          <w:p>
            <w:pPr>
              <w:spacing w:before="31" w:beforeLines="10" w:after="31" w:afterLines="10"/>
              <w:rPr>
                <w:rFonts w:ascii="仿宋_GB2312" w:hAnsi="Times New Roman"/>
                <w:sz w:val="28"/>
                <w:szCs w:val="28"/>
              </w:rPr>
            </w:pPr>
            <w:r>
              <w:rPr>
                <w:rFonts w:hint="eastAsia" w:ascii="仿宋_GB2312"/>
                <w:sz w:val="28"/>
                <w:szCs w:val="28"/>
              </w:rPr>
              <w:t>下述两项之和：</w:t>
            </w:r>
          </w:p>
          <w:p>
            <w:pPr>
              <w:spacing w:before="31" w:beforeLines="10" w:after="31" w:afterLines="10"/>
              <w:rPr>
                <w:rFonts w:ascii="仿宋_GB2312" w:hAnsi="Times New Roman"/>
                <w:sz w:val="28"/>
                <w:szCs w:val="28"/>
              </w:rPr>
            </w:pPr>
            <w:r>
              <w:rPr>
                <w:rFonts w:hint="eastAsia" w:ascii="仿宋_GB2312"/>
                <w:sz w:val="28"/>
                <w:szCs w:val="28"/>
              </w:rPr>
              <w:t>（</w:t>
            </w:r>
            <w:r>
              <w:rPr>
                <w:rFonts w:hint="eastAsia" w:ascii="仿宋_GB2312" w:hAnsi="Times New Roman"/>
                <w:sz w:val="28"/>
                <w:szCs w:val="28"/>
              </w:rPr>
              <w:t>1</w:t>
            </w:r>
            <w:r>
              <w:rPr>
                <w:rFonts w:hint="eastAsia" w:ascii="仿宋_GB2312"/>
                <w:sz w:val="28"/>
                <w:szCs w:val="28"/>
              </w:rPr>
              <w:t>）投资连结保险产品期末责任准备金的</w:t>
            </w:r>
            <w:r>
              <w:rPr>
                <w:rFonts w:hint="eastAsia" w:ascii="仿宋_GB2312" w:hAnsi="Times New Roman"/>
                <w:sz w:val="28"/>
                <w:szCs w:val="28"/>
              </w:rPr>
              <w:t>1</w:t>
            </w:r>
            <w:r>
              <w:rPr>
                <w:rFonts w:hint="eastAsia" w:ascii="仿宋_GB2312"/>
                <w:sz w:val="28"/>
                <w:szCs w:val="28"/>
              </w:rPr>
              <w:t>%和其他寿险产品期末责任准备金的</w:t>
            </w:r>
            <w:r>
              <w:rPr>
                <w:rFonts w:hint="eastAsia" w:ascii="仿宋_GB2312" w:hAnsi="Times New Roman"/>
                <w:sz w:val="28"/>
                <w:szCs w:val="28"/>
              </w:rPr>
              <w:t>4</w:t>
            </w:r>
            <w:r>
              <w:rPr>
                <w:rFonts w:hint="eastAsia" w:ascii="仿宋_GB2312"/>
                <w:sz w:val="28"/>
                <w:szCs w:val="28"/>
              </w:rPr>
              <w:t>%；</w:t>
            </w:r>
          </w:p>
          <w:p>
            <w:pPr>
              <w:spacing w:before="31" w:beforeLines="10" w:after="31" w:afterLines="10"/>
              <w:rPr>
                <w:rFonts w:ascii="仿宋_GB2312" w:hAnsi="Times New Roman"/>
                <w:sz w:val="28"/>
                <w:szCs w:val="28"/>
              </w:rPr>
            </w:pPr>
            <w:r>
              <w:rPr>
                <w:rFonts w:hint="eastAsia" w:ascii="仿宋_GB2312"/>
                <w:sz w:val="28"/>
                <w:szCs w:val="28"/>
              </w:rPr>
              <w:t>（</w:t>
            </w:r>
            <w:r>
              <w:rPr>
                <w:rFonts w:hint="eastAsia" w:ascii="仿宋_GB2312" w:hAnsi="Times New Roman"/>
                <w:sz w:val="28"/>
                <w:szCs w:val="28"/>
              </w:rPr>
              <w:t>2</w:t>
            </w:r>
            <w:r>
              <w:rPr>
                <w:rFonts w:hint="eastAsia" w:ascii="仿宋_GB2312"/>
                <w:sz w:val="28"/>
                <w:szCs w:val="28"/>
              </w:rPr>
              <w:t>）保险期间小于</w:t>
            </w:r>
            <w:r>
              <w:rPr>
                <w:rFonts w:hint="eastAsia" w:ascii="仿宋_GB2312" w:hAnsi="Times New Roman"/>
                <w:sz w:val="28"/>
                <w:szCs w:val="28"/>
              </w:rPr>
              <w:t>3</w:t>
            </w:r>
            <w:r>
              <w:rPr>
                <w:rFonts w:hint="eastAsia" w:ascii="仿宋_GB2312"/>
                <w:sz w:val="28"/>
                <w:szCs w:val="28"/>
              </w:rPr>
              <w:t>年的定期死亡保险风险保额的</w:t>
            </w:r>
            <w:r>
              <w:rPr>
                <w:rFonts w:hint="eastAsia" w:ascii="仿宋_GB2312" w:hAnsi="Times New Roman"/>
                <w:sz w:val="28"/>
                <w:szCs w:val="28"/>
              </w:rPr>
              <w:t>0.1</w:t>
            </w:r>
            <w:r>
              <w:rPr>
                <w:rFonts w:hint="eastAsia" w:ascii="仿宋_GB2312"/>
                <w:sz w:val="28"/>
                <w:szCs w:val="28"/>
              </w:rPr>
              <w:t>%，保险期间为</w:t>
            </w:r>
            <w:r>
              <w:rPr>
                <w:rFonts w:hint="eastAsia" w:ascii="仿宋_GB2312" w:hAnsi="Times New Roman"/>
                <w:sz w:val="28"/>
                <w:szCs w:val="28"/>
              </w:rPr>
              <w:t>3</w:t>
            </w:r>
            <w:r>
              <w:rPr>
                <w:rFonts w:hint="eastAsia" w:ascii="仿宋_GB2312"/>
                <w:sz w:val="28"/>
                <w:szCs w:val="28"/>
              </w:rPr>
              <w:t>年到</w:t>
            </w:r>
            <w:r>
              <w:rPr>
                <w:rFonts w:hint="eastAsia" w:ascii="仿宋_GB2312" w:hAnsi="Times New Roman"/>
                <w:sz w:val="28"/>
                <w:szCs w:val="28"/>
              </w:rPr>
              <w:t>5</w:t>
            </w:r>
            <w:r>
              <w:rPr>
                <w:rFonts w:hint="eastAsia" w:ascii="仿宋_GB2312"/>
                <w:sz w:val="28"/>
                <w:szCs w:val="28"/>
              </w:rPr>
              <w:t>年的定期死亡保险风险保额的</w:t>
            </w:r>
            <w:r>
              <w:rPr>
                <w:rFonts w:hint="eastAsia" w:ascii="仿宋_GB2312" w:hAnsi="Times New Roman"/>
                <w:sz w:val="28"/>
                <w:szCs w:val="28"/>
              </w:rPr>
              <w:t>0.15</w:t>
            </w:r>
            <w:r>
              <w:rPr>
                <w:rFonts w:hint="eastAsia" w:ascii="仿宋_GB2312"/>
                <w:sz w:val="28"/>
                <w:szCs w:val="28"/>
              </w:rPr>
              <w:t>%，保险期间超过</w:t>
            </w:r>
            <w:r>
              <w:rPr>
                <w:rFonts w:hint="eastAsia" w:ascii="仿宋_GB2312" w:hAnsi="Times New Roman"/>
                <w:sz w:val="28"/>
                <w:szCs w:val="28"/>
              </w:rPr>
              <w:t>5</w:t>
            </w:r>
            <w:r>
              <w:rPr>
                <w:rFonts w:hint="eastAsia" w:ascii="仿宋_GB2312"/>
                <w:sz w:val="28"/>
                <w:szCs w:val="28"/>
              </w:rPr>
              <w:t>年的定期死亡保险和其他险种风险保额的</w:t>
            </w:r>
            <w:r>
              <w:rPr>
                <w:rFonts w:hint="eastAsia" w:ascii="仿宋_GB2312" w:hAnsi="Times New Roman"/>
                <w:sz w:val="28"/>
                <w:szCs w:val="28"/>
              </w:rPr>
              <w:t>0.3</w:t>
            </w:r>
            <w:r>
              <w:rPr>
                <w:rFonts w:hint="eastAsia" w:ascii="仿宋_GB2312"/>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Merge w:val="continue"/>
            <w:vAlign w:val="center"/>
          </w:tcPr>
          <w:p>
            <w:pPr>
              <w:spacing w:before="31" w:beforeLines="10" w:after="31" w:afterLines="10"/>
              <w:outlineLvl w:val="9"/>
              <w:rPr>
                <w:rFonts w:ascii="仿宋_GB2312" w:hAnsi="Times New Roman" w:cs="黑体"/>
                <w:b/>
                <w:bCs/>
                <w:sz w:val="28"/>
                <w:szCs w:val="28"/>
              </w:rPr>
            </w:pPr>
          </w:p>
        </w:tc>
        <w:tc>
          <w:tcPr>
            <w:tcW w:w="1276" w:type="dxa"/>
            <w:vAlign w:val="center"/>
          </w:tcPr>
          <w:p>
            <w:pPr>
              <w:spacing w:before="31" w:beforeLines="10" w:after="31" w:afterLines="10"/>
              <w:jc w:val="center"/>
              <w:rPr>
                <w:rFonts w:hint="eastAsia" w:ascii="仿宋_GB2312"/>
                <w:sz w:val="28"/>
                <w:szCs w:val="28"/>
              </w:rPr>
            </w:pPr>
            <w:r>
              <w:rPr>
                <w:rFonts w:hint="eastAsia" w:ascii="仿宋_GB2312"/>
                <w:sz w:val="28"/>
                <w:szCs w:val="28"/>
              </w:rPr>
              <w:t>短期</w:t>
            </w:r>
          </w:p>
          <w:p>
            <w:pPr>
              <w:spacing w:before="31" w:beforeLines="10" w:after="31" w:afterLines="10"/>
              <w:jc w:val="center"/>
              <w:rPr>
                <w:rFonts w:hint="eastAsia" w:ascii="仿宋_GB2312"/>
                <w:sz w:val="28"/>
                <w:szCs w:val="28"/>
              </w:rPr>
            </w:pPr>
            <w:r>
              <w:rPr>
                <w:rFonts w:hint="eastAsia" w:ascii="仿宋_GB2312"/>
                <w:sz w:val="28"/>
                <w:szCs w:val="28"/>
              </w:rPr>
              <w:t>人身险　　　　</w:t>
            </w:r>
          </w:p>
          <w:p>
            <w:pPr>
              <w:spacing w:before="31" w:beforeLines="10" w:after="31" w:afterLines="10"/>
              <w:jc w:val="center"/>
              <w:rPr>
                <w:rFonts w:ascii="仿宋_GB2312" w:hAnsi="Times New Roman"/>
                <w:sz w:val="24"/>
              </w:rPr>
            </w:pPr>
            <w:r>
              <w:rPr>
                <w:rFonts w:hint="eastAsia" w:ascii="仿宋_GB2312"/>
                <w:sz w:val="28"/>
                <w:szCs w:val="28"/>
              </w:rPr>
              <w:t>业务</w:t>
            </w:r>
          </w:p>
        </w:tc>
        <w:tc>
          <w:tcPr>
            <w:tcW w:w="6004" w:type="dxa"/>
            <w:gridSpan w:val="2"/>
            <w:vAlign w:val="top"/>
          </w:tcPr>
          <w:p>
            <w:pPr>
              <w:spacing w:before="31" w:beforeLines="10" w:after="31" w:afterLines="10"/>
              <w:rPr>
                <w:rFonts w:ascii="仿宋_GB2312" w:hAnsi="Times New Roman"/>
                <w:sz w:val="28"/>
                <w:szCs w:val="28"/>
              </w:rPr>
            </w:pPr>
            <w:r>
              <w:rPr>
                <w:rFonts w:hint="eastAsia" w:ascii="仿宋_GB2312"/>
                <w:sz w:val="28"/>
                <w:szCs w:val="28"/>
              </w:rPr>
              <w:t>适用非寿险保障型业务最低资本评估标准。</w:t>
            </w:r>
          </w:p>
        </w:tc>
      </w:tr>
    </w:tbl>
    <w:p>
      <w:pPr>
        <w:spacing w:before="156" w:beforeLines="50" w:after="156" w:afterLines="50"/>
        <w:ind w:left="624" w:leftChars="200"/>
        <w:outlineLvl w:val="2"/>
        <w:rPr>
          <w:rFonts w:ascii="仿宋_GB2312" w:hAnsi="Times New Roman"/>
          <w:b/>
          <w:sz w:val="32"/>
          <w:szCs w:val="32"/>
        </w:rPr>
      </w:pPr>
      <w:r>
        <w:rPr>
          <w:rFonts w:hint="eastAsia" w:ascii="仿宋_GB2312"/>
          <w:b/>
          <w:sz w:val="32"/>
          <w:szCs w:val="32"/>
        </w:rPr>
        <w:t>（三）偿付能力充足率</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偿付能力充足率</w:t>
      </w:r>
      <w:r>
        <w:rPr>
          <w:rFonts w:hint="eastAsia" w:cs="宋体"/>
          <w:sz w:val="32"/>
          <w:szCs w:val="32"/>
        </w:rPr>
        <w:t>﹦</w:t>
      </w:r>
      <w:r>
        <w:rPr>
          <w:rFonts w:hint="eastAsia" w:ascii="仿宋_GB2312" w:hAnsi="仿宋_GB2312" w:cs="仿宋_GB2312"/>
          <w:sz w:val="32"/>
          <w:szCs w:val="32"/>
        </w:rPr>
        <w:t>实际资本</w:t>
      </w:r>
      <w:r>
        <w:rPr>
          <w:rFonts w:hint="eastAsia" w:ascii="仿宋_GB2312" w:hAnsi="Times New Roman"/>
          <w:sz w:val="32"/>
          <w:szCs w:val="32"/>
        </w:rPr>
        <w:t>/</w:t>
      </w:r>
      <w:r>
        <w:rPr>
          <w:rFonts w:hint="eastAsia" w:ascii="仿宋_GB2312"/>
          <w:sz w:val="32"/>
          <w:szCs w:val="32"/>
        </w:rPr>
        <w:t>最低资本</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保险公司的偿付能力充足率又称资本充足率，衡量保险公司对保单持有人进行偿付的能力。</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中国保监会规定，保险公司偿付能力充足率不应低于</w:t>
      </w:r>
      <w:r>
        <w:rPr>
          <w:rFonts w:hint="eastAsia" w:ascii="仿宋_GB2312" w:hAnsi="Times New Roman"/>
          <w:sz w:val="32"/>
          <w:szCs w:val="32"/>
        </w:rPr>
        <w:t>100%</w:t>
      </w:r>
      <w:r>
        <w:rPr>
          <w:rFonts w:hint="eastAsia" w:ascii="仿宋_GB2312"/>
          <w:sz w:val="32"/>
          <w:szCs w:val="32"/>
        </w:rPr>
        <w:t>，并根据偿付能力充足率将保险公司划分为三类：不足类公司（偿付能力充足率低于</w:t>
      </w:r>
      <w:r>
        <w:rPr>
          <w:rFonts w:hint="eastAsia" w:ascii="仿宋_GB2312" w:hAnsi="Times New Roman"/>
          <w:sz w:val="32"/>
          <w:szCs w:val="32"/>
        </w:rPr>
        <w:t>100%</w:t>
      </w:r>
      <w:r>
        <w:rPr>
          <w:rFonts w:hint="eastAsia" w:ascii="仿宋_GB2312"/>
          <w:sz w:val="32"/>
          <w:szCs w:val="32"/>
        </w:rPr>
        <w:t>），充足Ⅰ类公司（偿付能力充足率在</w:t>
      </w:r>
      <w:r>
        <w:rPr>
          <w:rFonts w:hint="eastAsia" w:ascii="仿宋_GB2312" w:hAnsi="Times New Roman"/>
          <w:sz w:val="32"/>
          <w:szCs w:val="32"/>
        </w:rPr>
        <w:t>100%</w:t>
      </w:r>
      <w:r>
        <w:rPr>
          <w:rFonts w:hint="eastAsia" w:ascii="仿宋_GB2312"/>
          <w:sz w:val="32"/>
          <w:szCs w:val="32"/>
        </w:rPr>
        <w:t>和</w:t>
      </w:r>
      <w:r>
        <w:rPr>
          <w:rFonts w:hint="eastAsia" w:ascii="仿宋_GB2312" w:hAnsi="Times New Roman"/>
          <w:sz w:val="32"/>
          <w:szCs w:val="32"/>
        </w:rPr>
        <w:t>150%</w:t>
      </w:r>
      <w:r>
        <w:rPr>
          <w:rFonts w:hint="eastAsia" w:ascii="仿宋_GB2312"/>
          <w:sz w:val="32"/>
          <w:szCs w:val="32"/>
        </w:rPr>
        <w:t>之间）和充足Ⅱ类公司（偿付能力充足率高于</w:t>
      </w:r>
      <w:r>
        <w:rPr>
          <w:rFonts w:hint="eastAsia" w:ascii="仿宋_GB2312" w:hAnsi="Times New Roman"/>
          <w:sz w:val="32"/>
          <w:szCs w:val="32"/>
        </w:rPr>
        <w:t>150%</w:t>
      </w:r>
      <w:r>
        <w:rPr>
          <w:rFonts w:hint="eastAsia" w:ascii="仿宋_GB2312"/>
          <w:sz w:val="32"/>
          <w:szCs w:val="32"/>
        </w:rPr>
        <w:t>）。不同类别公司适用不同的监管政策。</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偿付能力充足率对保险公司的业务发展进行约束。对保险公司进行评估，保险公司偿付能力充足率不足或出现预警的，应考虑适当调整业务发展规模，或降低对股东的分红。此外，保险公司应根据业务发展需要建立相应的资本补充机制，如提升盈利能力、进行资本融资等。</w:t>
      </w:r>
    </w:p>
    <w:p>
      <w:pPr>
        <w:spacing w:before="156" w:beforeLines="50" w:after="156" w:afterLines="50"/>
        <w:ind w:left="624" w:leftChars="200"/>
        <w:outlineLvl w:val="2"/>
        <w:rPr>
          <w:rFonts w:ascii="仿宋_GB2312" w:hAnsi="Times New Roman"/>
          <w:b/>
          <w:sz w:val="32"/>
          <w:szCs w:val="32"/>
        </w:rPr>
      </w:pPr>
      <w:r>
        <w:rPr>
          <w:rFonts w:hint="eastAsia" w:ascii="仿宋_GB2312"/>
          <w:b/>
          <w:sz w:val="32"/>
          <w:szCs w:val="32"/>
        </w:rPr>
        <w:t>（四）次级债</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保险公司次级债，是指保险公司为了弥补临时性或者阶段性资本不足，经批准募集，期限在五年以上（含五年），且本金和利息的清偿顺序列于保单责任和其他负债之后、先于保险公司股权资本的保险公司债务。</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对保险公司进行评估，保险公司有计划通过发行次级债对资本金进行补充的，应符合以下规定：</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1.偿付能力充足率低于</w:t>
      </w:r>
      <w:r>
        <w:rPr>
          <w:rFonts w:hint="eastAsia" w:ascii="仿宋_GB2312" w:hAnsi="Times New Roman"/>
          <w:sz w:val="32"/>
          <w:szCs w:val="32"/>
        </w:rPr>
        <w:t>150%</w:t>
      </w:r>
      <w:r>
        <w:rPr>
          <w:rFonts w:hint="eastAsia" w:ascii="仿宋_GB2312"/>
          <w:sz w:val="32"/>
          <w:szCs w:val="32"/>
        </w:rPr>
        <w:t>或者预计未来两年内偿付能力充足率将低于</w:t>
      </w:r>
      <w:r>
        <w:rPr>
          <w:rFonts w:hint="eastAsia" w:ascii="仿宋_GB2312" w:hAnsi="Times New Roman"/>
          <w:sz w:val="32"/>
          <w:szCs w:val="32"/>
        </w:rPr>
        <w:t>150%</w:t>
      </w:r>
      <w:r>
        <w:rPr>
          <w:rFonts w:hint="eastAsia" w:ascii="仿宋_GB2312"/>
          <w:sz w:val="32"/>
          <w:szCs w:val="32"/>
        </w:rPr>
        <w:t>；</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2.经审计的上年度末净资产不低于人民币</w:t>
      </w:r>
      <w:r>
        <w:rPr>
          <w:rFonts w:hint="eastAsia" w:ascii="仿宋_GB2312" w:hAnsi="Times New Roman"/>
          <w:sz w:val="32"/>
          <w:szCs w:val="32"/>
        </w:rPr>
        <w:t>5</w:t>
      </w:r>
      <w:r>
        <w:rPr>
          <w:rFonts w:hint="eastAsia" w:ascii="仿宋_GB2312"/>
          <w:sz w:val="32"/>
          <w:szCs w:val="32"/>
        </w:rPr>
        <w:t>亿元；</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3.募集后，累计未偿付的次级债本息额不超过上年度末经审计的净资产的</w:t>
      </w:r>
      <w:r>
        <w:rPr>
          <w:rFonts w:hint="eastAsia" w:ascii="仿宋_GB2312" w:hAnsi="Times New Roman"/>
          <w:sz w:val="32"/>
          <w:szCs w:val="32"/>
        </w:rPr>
        <w:t>50%</w:t>
      </w:r>
      <w:r>
        <w:rPr>
          <w:rFonts w:hint="eastAsia" w:ascii="仿宋_GB2312"/>
          <w:sz w:val="32"/>
          <w:szCs w:val="32"/>
        </w:rPr>
        <w:t>；</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4.只有在确保偿还次级债本息后偿付能力充足率不低于</w:t>
      </w:r>
      <w:r>
        <w:rPr>
          <w:rFonts w:hint="eastAsia" w:ascii="仿宋_GB2312" w:hAnsi="Times New Roman"/>
          <w:sz w:val="32"/>
          <w:szCs w:val="32"/>
        </w:rPr>
        <w:t>100%</w:t>
      </w:r>
      <w:r>
        <w:rPr>
          <w:rFonts w:hint="eastAsia" w:ascii="仿宋_GB2312"/>
          <w:sz w:val="32"/>
          <w:szCs w:val="32"/>
        </w:rPr>
        <w:t>的前提下，才能安排偿付本息；</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5.募集人不能按时偿付次级债本息的，期间不得安排股利发放。</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次级债的偿还义务优先于股权，以收益法对保险公司进行评估，应合理安排偿还次级债本息及发放股利的顺序。若在次级债本息不能按时清偿的情况下安排股利发放，可能导致股权价值高估。</w:t>
      </w:r>
    </w:p>
    <w:p>
      <w:pPr>
        <w:spacing w:before="156" w:beforeLines="50" w:after="156" w:afterLines="50" w:line="560" w:lineRule="atLeast"/>
        <w:ind w:firstLine="664" w:firstLineChars="200"/>
        <w:rPr>
          <w:rFonts w:ascii="仿宋_GB2312" w:hAnsi="Times New Roman"/>
          <w:sz w:val="32"/>
          <w:szCs w:val="32"/>
        </w:rPr>
      </w:pPr>
      <w:r>
        <w:rPr>
          <w:rFonts w:hint="eastAsia" w:ascii="仿宋_GB2312"/>
          <w:sz w:val="32"/>
          <w:szCs w:val="32"/>
        </w:rPr>
        <w:t>需要注意的是，保险公司计入附属资本的次级债金额不得超过净资产的</w:t>
      </w:r>
      <w:r>
        <w:rPr>
          <w:rFonts w:hint="eastAsia" w:ascii="仿宋_GB2312" w:hAnsi="Times New Roman"/>
          <w:sz w:val="32"/>
          <w:szCs w:val="32"/>
        </w:rPr>
        <w:t>50%</w:t>
      </w:r>
      <w:r>
        <w:rPr>
          <w:rFonts w:hint="eastAsia" w:ascii="仿宋_GB2312"/>
          <w:sz w:val="32"/>
          <w:szCs w:val="32"/>
        </w:rPr>
        <w:t>，所以保险公司并不能单纯采用发行次级债的方式进行资本补充。</w:t>
      </w:r>
    </w:p>
    <w:p>
      <w:pPr>
        <w:spacing w:before="156" w:beforeLines="50" w:after="156" w:afterLines="50" w:line="560" w:lineRule="atLeast"/>
        <w:ind w:left="624" w:leftChars="200"/>
        <w:outlineLvl w:val="2"/>
        <w:rPr>
          <w:rFonts w:ascii="仿宋_GB2312" w:hAnsi="Times New Roman"/>
          <w:b/>
          <w:sz w:val="32"/>
          <w:szCs w:val="32"/>
        </w:rPr>
      </w:pPr>
      <w:r>
        <w:rPr>
          <w:rFonts w:hint="eastAsia" w:ascii="仿宋_GB2312"/>
          <w:b/>
          <w:sz w:val="32"/>
          <w:szCs w:val="32"/>
        </w:rPr>
        <w:t>（五）保证金</w:t>
      </w:r>
    </w:p>
    <w:p>
      <w:pPr>
        <w:spacing w:before="156" w:beforeLines="50" w:after="156" w:afterLines="50" w:line="560" w:lineRule="atLeast"/>
        <w:ind w:firstLine="664" w:firstLineChars="200"/>
        <w:rPr>
          <w:rFonts w:ascii="仿宋_GB2312" w:hAnsi="Times New Roman"/>
          <w:sz w:val="32"/>
          <w:szCs w:val="32"/>
        </w:rPr>
      </w:pPr>
      <w:r>
        <w:rPr>
          <w:rFonts w:hint="eastAsia" w:ascii="仿宋_GB2312"/>
          <w:sz w:val="32"/>
          <w:szCs w:val="32"/>
        </w:rPr>
        <w:t>保险公司应当按照其注册资本总额的</w:t>
      </w:r>
      <w:r>
        <w:rPr>
          <w:rFonts w:hint="eastAsia" w:ascii="仿宋_GB2312" w:hAnsi="Times New Roman"/>
          <w:sz w:val="32"/>
          <w:szCs w:val="32"/>
        </w:rPr>
        <w:t>20%</w:t>
      </w:r>
      <w:r>
        <w:rPr>
          <w:rFonts w:hint="eastAsia" w:ascii="仿宋_GB2312"/>
          <w:sz w:val="32"/>
          <w:szCs w:val="32"/>
        </w:rPr>
        <w:t>提取保证金，存入国务院保险监督管理机构指定的银行，除公司清算时用于清偿债务外，不得动用。</w:t>
      </w:r>
    </w:p>
    <w:p>
      <w:pPr>
        <w:spacing w:before="156" w:beforeLines="50" w:after="156" w:afterLines="50" w:line="560" w:lineRule="atLeast"/>
        <w:ind w:firstLine="664" w:firstLineChars="200"/>
        <w:rPr>
          <w:rFonts w:ascii="仿宋_GB2312" w:hAnsi="Times New Roman"/>
          <w:sz w:val="32"/>
          <w:szCs w:val="32"/>
        </w:rPr>
      </w:pPr>
      <w:r>
        <w:rPr>
          <w:rFonts w:hint="eastAsia" w:ascii="仿宋_GB2312"/>
          <w:sz w:val="32"/>
          <w:szCs w:val="32"/>
        </w:rPr>
        <w:t>存出资本保证金不得随意支取，以收益法对保险公司进行评估，应将存出资本保证金视为保险公司持续经营所必需的资金，不得作为溢余资金处理，否则会造成评估价值偏高。</w:t>
      </w:r>
    </w:p>
    <w:p>
      <w:pPr>
        <w:spacing w:before="156" w:beforeLines="50" w:after="156" w:afterLines="50"/>
        <w:ind w:left="624" w:leftChars="200"/>
        <w:outlineLvl w:val="2"/>
        <w:rPr>
          <w:rFonts w:ascii="仿宋_GB2312" w:hAnsi="Times New Roman"/>
          <w:b/>
          <w:sz w:val="32"/>
          <w:szCs w:val="32"/>
        </w:rPr>
      </w:pPr>
      <w:r>
        <w:rPr>
          <w:rFonts w:hint="eastAsia" w:ascii="仿宋_GB2312"/>
          <w:b/>
          <w:sz w:val="32"/>
          <w:szCs w:val="32"/>
        </w:rPr>
        <w:t>（六）保险保障基金</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保险保障基金是保险公司根据监管要求缴纳的，在一定情况下，用于救助保单持有人、保单受让公司或者处置保险业风险的非政府性行业风险救助基金。</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有下列情形之一的，保险公司可以动用保险保障基金：</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1.保险公司被依法撤销或者依法实施破产，其清算财产不足以偿付保单利益的；</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2.中国保监会经商有关部门认定，保险公司存在重大风险，可能严重危及社会公共利益和金融稳定的。</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保险保障基金分为财产保险保障基金和人身保险保障基金，具体监管要求如下：</w:t>
      </w:r>
    </w:p>
    <w:tbl>
      <w:tblPr>
        <w:tblStyle w:val="25"/>
        <w:tblW w:w="85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0"/>
        <w:gridCol w:w="868"/>
        <w:gridCol w:w="2268"/>
        <w:gridCol w:w="2268"/>
        <w:gridCol w:w="2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blHeader/>
        </w:trPr>
        <w:tc>
          <w:tcPr>
            <w:tcW w:w="3936" w:type="dxa"/>
            <w:gridSpan w:val="3"/>
            <w:vAlign w:val="top"/>
          </w:tcPr>
          <w:p>
            <w:pPr>
              <w:spacing w:before="31" w:beforeLines="10" w:after="31" w:afterLines="10"/>
              <w:jc w:val="center"/>
              <w:rPr>
                <w:rFonts w:ascii="仿宋_GB2312" w:hAnsi="Times New Roman"/>
                <w:b/>
                <w:sz w:val="28"/>
                <w:szCs w:val="28"/>
              </w:rPr>
            </w:pPr>
            <w:r>
              <w:rPr>
                <w:rFonts w:hint="eastAsia" w:ascii="仿宋_GB2312"/>
                <w:b/>
                <w:sz w:val="28"/>
                <w:szCs w:val="28"/>
              </w:rPr>
              <w:t>保险类型</w:t>
            </w:r>
          </w:p>
        </w:tc>
        <w:tc>
          <w:tcPr>
            <w:tcW w:w="2268" w:type="dxa"/>
            <w:vAlign w:val="top"/>
          </w:tcPr>
          <w:p>
            <w:pPr>
              <w:spacing w:before="31" w:beforeLines="10" w:after="31" w:afterLines="10"/>
              <w:jc w:val="center"/>
              <w:rPr>
                <w:rFonts w:ascii="仿宋_GB2312" w:hAnsi="Times New Roman"/>
                <w:b/>
                <w:sz w:val="28"/>
                <w:szCs w:val="28"/>
              </w:rPr>
            </w:pPr>
            <w:r>
              <w:rPr>
                <w:rFonts w:hint="eastAsia" w:ascii="仿宋_GB2312"/>
                <w:b/>
                <w:sz w:val="28"/>
                <w:szCs w:val="28"/>
              </w:rPr>
              <w:t>缴纳标准</w:t>
            </w:r>
          </w:p>
        </w:tc>
        <w:tc>
          <w:tcPr>
            <w:tcW w:w="2318" w:type="dxa"/>
            <w:vAlign w:val="top"/>
          </w:tcPr>
          <w:p>
            <w:pPr>
              <w:spacing w:before="31" w:beforeLines="10" w:after="31" w:afterLines="10"/>
              <w:jc w:val="center"/>
              <w:rPr>
                <w:rFonts w:ascii="仿宋_GB2312" w:hAnsi="Times New Roman"/>
                <w:b/>
                <w:sz w:val="28"/>
                <w:szCs w:val="28"/>
              </w:rPr>
            </w:pPr>
            <w:r>
              <w:rPr>
                <w:rFonts w:hint="eastAsia" w:ascii="仿宋_GB2312"/>
                <w:b/>
                <w:sz w:val="28"/>
                <w:szCs w:val="28"/>
              </w:rPr>
              <w:t>暂停缴纳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00" w:type="dxa"/>
            <w:vMerge w:val="restart"/>
            <w:vAlign w:val="center"/>
          </w:tcPr>
          <w:p>
            <w:pPr>
              <w:spacing w:before="31" w:beforeLines="10" w:after="31" w:afterLines="10"/>
              <w:jc w:val="center"/>
              <w:rPr>
                <w:rFonts w:ascii="仿宋_GB2312" w:hAnsi="Times New Roman"/>
                <w:sz w:val="28"/>
                <w:szCs w:val="28"/>
              </w:rPr>
            </w:pPr>
            <w:r>
              <w:rPr>
                <w:rFonts w:hint="eastAsia" w:ascii="仿宋_GB2312"/>
                <w:sz w:val="28"/>
                <w:szCs w:val="28"/>
              </w:rPr>
              <w:t>财产</w:t>
            </w:r>
          </w:p>
          <w:p>
            <w:pPr>
              <w:spacing w:before="31" w:beforeLines="10" w:after="31" w:afterLines="10"/>
              <w:jc w:val="center"/>
              <w:rPr>
                <w:rFonts w:ascii="仿宋_GB2312" w:hAnsi="Times New Roman"/>
                <w:sz w:val="28"/>
                <w:szCs w:val="28"/>
              </w:rPr>
            </w:pPr>
            <w:r>
              <w:rPr>
                <w:rFonts w:hint="eastAsia" w:ascii="仿宋_GB2312"/>
                <w:sz w:val="28"/>
                <w:szCs w:val="28"/>
              </w:rPr>
              <w:t>保险</w:t>
            </w:r>
          </w:p>
        </w:tc>
        <w:tc>
          <w:tcPr>
            <w:tcW w:w="3136" w:type="dxa"/>
            <w:gridSpan w:val="2"/>
            <w:vAlign w:val="top"/>
          </w:tcPr>
          <w:p>
            <w:pPr>
              <w:spacing w:before="31" w:beforeLines="10" w:after="31" w:afterLines="10"/>
              <w:rPr>
                <w:rFonts w:ascii="仿宋_GB2312" w:hAnsi="Times New Roman"/>
                <w:sz w:val="28"/>
                <w:szCs w:val="28"/>
              </w:rPr>
            </w:pPr>
            <w:r>
              <w:rPr>
                <w:rFonts w:hint="eastAsia" w:ascii="仿宋_GB2312"/>
                <w:sz w:val="28"/>
                <w:szCs w:val="28"/>
              </w:rPr>
              <w:t>非投资型</w:t>
            </w:r>
          </w:p>
        </w:tc>
        <w:tc>
          <w:tcPr>
            <w:tcW w:w="2268" w:type="dxa"/>
            <w:vAlign w:val="top"/>
          </w:tcPr>
          <w:p>
            <w:pPr>
              <w:spacing w:before="31" w:beforeLines="10" w:after="31" w:afterLines="10"/>
              <w:rPr>
                <w:rFonts w:ascii="仿宋_GB2312" w:hAnsi="Times New Roman"/>
                <w:sz w:val="28"/>
                <w:szCs w:val="28"/>
              </w:rPr>
            </w:pPr>
            <w:r>
              <w:rPr>
                <w:rFonts w:hint="eastAsia" w:ascii="仿宋_GB2312"/>
                <w:sz w:val="28"/>
                <w:szCs w:val="28"/>
              </w:rPr>
              <w:t>保费收入的</w:t>
            </w:r>
            <w:r>
              <w:rPr>
                <w:rFonts w:ascii="仿宋_GB2312" w:hAnsi="Times New Roman"/>
                <w:sz w:val="28"/>
                <w:szCs w:val="28"/>
              </w:rPr>
              <w:t>0.8%</w:t>
            </w:r>
          </w:p>
        </w:tc>
        <w:tc>
          <w:tcPr>
            <w:tcW w:w="2318" w:type="dxa"/>
            <w:vMerge w:val="restart"/>
            <w:vAlign w:val="top"/>
          </w:tcPr>
          <w:p>
            <w:pPr>
              <w:spacing w:before="31" w:beforeLines="10" w:after="31" w:afterLines="10"/>
              <w:rPr>
                <w:rFonts w:ascii="仿宋_GB2312" w:hAnsi="Times New Roman"/>
                <w:sz w:val="28"/>
                <w:szCs w:val="28"/>
              </w:rPr>
            </w:pPr>
            <w:r>
              <w:rPr>
                <w:rFonts w:hint="eastAsia" w:ascii="仿宋_GB2312"/>
                <w:sz w:val="28"/>
                <w:szCs w:val="28"/>
              </w:rPr>
              <w:t>保险保障基金余额达到公司总资产</w:t>
            </w:r>
            <w:r>
              <w:rPr>
                <w:rFonts w:ascii="仿宋_GB2312" w:hAnsi="Times New Roman"/>
                <w:sz w:val="28"/>
                <w:szCs w:val="28"/>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00" w:type="dxa"/>
            <w:vMerge w:val="continue"/>
            <w:vAlign w:val="center"/>
          </w:tcPr>
          <w:p>
            <w:pPr>
              <w:keepNext/>
              <w:spacing w:before="31" w:beforeLines="10" w:after="31" w:afterLines="10"/>
              <w:jc w:val="center"/>
              <w:outlineLvl w:val="2"/>
              <w:rPr>
                <w:rFonts w:ascii="仿宋_GB2312" w:hAnsi="Times New Roman" w:cs="黑体"/>
                <w:b/>
                <w:bCs/>
                <w:sz w:val="28"/>
                <w:szCs w:val="28"/>
              </w:rPr>
            </w:pPr>
          </w:p>
        </w:tc>
        <w:tc>
          <w:tcPr>
            <w:tcW w:w="3136" w:type="dxa"/>
            <w:gridSpan w:val="2"/>
            <w:vAlign w:val="top"/>
          </w:tcPr>
          <w:p>
            <w:pPr>
              <w:spacing w:before="31" w:beforeLines="10" w:after="31" w:afterLines="10"/>
              <w:rPr>
                <w:rFonts w:ascii="仿宋_GB2312" w:hAnsi="Times New Roman"/>
                <w:sz w:val="28"/>
                <w:szCs w:val="28"/>
              </w:rPr>
            </w:pPr>
            <w:r>
              <w:rPr>
                <w:rFonts w:hint="eastAsia" w:ascii="仿宋_GB2312"/>
                <w:sz w:val="28"/>
                <w:szCs w:val="28"/>
              </w:rPr>
              <w:t>投资型、有保证收益</w:t>
            </w:r>
          </w:p>
        </w:tc>
        <w:tc>
          <w:tcPr>
            <w:tcW w:w="2268" w:type="dxa"/>
            <w:vAlign w:val="top"/>
          </w:tcPr>
          <w:p>
            <w:pPr>
              <w:spacing w:before="31" w:beforeLines="10" w:after="31" w:afterLines="10"/>
              <w:rPr>
                <w:rFonts w:ascii="仿宋_GB2312" w:hAnsi="Times New Roman"/>
                <w:sz w:val="28"/>
                <w:szCs w:val="28"/>
              </w:rPr>
            </w:pPr>
            <w:r>
              <w:rPr>
                <w:rFonts w:hint="eastAsia" w:ascii="仿宋_GB2312"/>
                <w:sz w:val="28"/>
                <w:szCs w:val="28"/>
              </w:rPr>
              <w:t>业务收入的</w:t>
            </w:r>
            <w:r>
              <w:rPr>
                <w:rFonts w:ascii="仿宋_GB2312" w:hAnsi="Times New Roman"/>
                <w:sz w:val="28"/>
                <w:szCs w:val="28"/>
              </w:rPr>
              <w:t>0.08%</w:t>
            </w:r>
          </w:p>
        </w:tc>
        <w:tc>
          <w:tcPr>
            <w:tcW w:w="2318" w:type="dxa"/>
            <w:vMerge w:val="continue"/>
            <w:vAlign w:val="top"/>
          </w:tcPr>
          <w:p>
            <w:pPr>
              <w:keepNext/>
              <w:spacing w:before="31" w:beforeLines="10" w:after="31" w:afterLines="10"/>
              <w:outlineLvl w:val="2"/>
              <w:rPr>
                <w:rFonts w:ascii="仿宋_GB2312" w:hAnsi="Times New Roman" w:cs="黑体"/>
                <w:b/>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800" w:type="dxa"/>
            <w:vMerge w:val="continue"/>
            <w:vAlign w:val="center"/>
          </w:tcPr>
          <w:p>
            <w:pPr>
              <w:keepNext/>
              <w:spacing w:before="31" w:beforeLines="10" w:after="31" w:afterLines="10"/>
              <w:jc w:val="center"/>
              <w:outlineLvl w:val="2"/>
              <w:rPr>
                <w:rFonts w:ascii="仿宋_GB2312" w:hAnsi="Times New Roman" w:cs="黑体"/>
                <w:b/>
                <w:bCs/>
                <w:sz w:val="28"/>
                <w:szCs w:val="28"/>
              </w:rPr>
            </w:pPr>
          </w:p>
        </w:tc>
        <w:tc>
          <w:tcPr>
            <w:tcW w:w="3136" w:type="dxa"/>
            <w:gridSpan w:val="2"/>
            <w:vAlign w:val="top"/>
          </w:tcPr>
          <w:p>
            <w:pPr>
              <w:spacing w:before="31" w:beforeLines="10" w:after="31" w:afterLines="10"/>
              <w:rPr>
                <w:rFonts w:ascii="仿宋_GB2312" w:hAnsi="Times New Roman"/>
                <w:sz w:val="28"/>
                <w:szCs w:val="28"/>
              </w:rPr>
            </w:pPr>
            <w:r>
              <w:rPr>
                <w:rFonts w:hint="eastAsia" w:ascii="仿宋_GB2312"/>
                <w:sz w:val="28"/>
                <w:szCs w:val="28"/>
              </w:rPr>
              <w:t>投资型、无保证收益</w:t>
            </w:r>
          </w:p>
        </w:tc>
        <w:tc>
          <w:tcPr>
            <w:tcW w:w="2268" w:type="dxa"/>
            <w:vAlign w:val="top"/>
          </w:tcPr>
          <w:p>
            <w:pPr>
              <w:spacing w:before="31" w:beforeLines="10" w:after="31" w:afterLines="10"/>
              <w:rPr>
                <w:rFonts w:ascii="仿宋_GB2312" w:hAnsi="Times New Roman"/>
                <w:sz w:val="28"/>
                <w:szCs w:val="28"/>
              </w:rPr>
            </w:pPr>
            <w:r>
              <w:rPr>
                <w:rFonts w:hint="eastAsia" w:ascii="仿宋_GB2312"/>
                <w:sz w:val="28"/>
                <w:szCs w:val="28"/>
              </w:rPr>
              <w:t>业务收入的</w:t>
            </w:r>
            <w:r>
              <w:rPr>
                <w:rFonts w:ascii="仿宋_GB2312" w:hAnsi="Times New Roman"/>
                <w:sz w:val="28"/>
                <w:szCs w:val="28"/>
              </w:rPr>
              <w:t>0.05%</w:t>
            </w:r>
          </w:p>
        </w:tc>
        <w:tc>
          <w:tcPr>
            <w:tcW w:w="2318" w:type="dxa"/>
            <w:vMerge w:val="continue"/>
            <w:vAlign w:val="top"/>
          </w:tcPr>
          <w:p>
            <w:pPr>
              <w:keepNext/>
              <w:spacing w:before="31" w:beforeLines="10" w:after="31" w:afterLines="10"/>
              <w:outlineLvl w:val="2"/>
              <w:rPr>
                <w:rFonts w:ascii="仿宋_GB2312" w:hAnsi="Times New Roman" w:cs="黑体"/>
                <w:b/>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00" w:type="dxa"/>
            <w:vMerge w:val="restart"/>
            <w:vAlign w:val="center"/>
          </w:tcPr>
          <w:p>
            <w:pPr>
              <w:spacing w:before="31" w:beforeLines="10" w:after="31" w:afterLines="10"/>
              <w:jc w:val="center"/>
              <w:rPr>
                <w:rFonts w:ascii="仿宋_GB2312" w:hAnsi="Times New Roman"/>
                <w:sz w:val="28"/>
                <w:szCs w:val="28"/>
              </w:rPr>
            </w:pPr>
            <w:r>
              <w:rPr>
                <w:rFonts w:hint="eastAsia" w:ascii="仿宋_GB2312"/>
                <w:sz w:val="28"/>
                <w:szCs w:val="28"/>
              </w:rPr>
              <w:t>人身</w:t>
            </w:r>
          </w:p>
          <w:p>
            <w:pPr>
              <w:spacing w:before="31" w:beforeLines="10" w:after="31" w:afterLines="10"/>
              <w:jc w:val="center"/>
              <w:rPr>
                <w:rFonts w:ascii="仿宋_GB2312" w:hAnsi="Times New Roman"/>
                <w:sz w:val="28"/>
                <w:szCs w:val="28"/>
              </w:rPr>
            </w:pPr>
            <w:r>
              <w:rPr>
                <w:rFonts w:hint="eastAsia" w:ascii="仿宋_GB2312"/>
                <w:sz w:val="28"/>
                <w:szCs w:val="28"/>
              </w:rPr>
              <w:t>保险</w:t>
            </w:r>
          </w:p>
        </w:tc>
        <w:tc>
          <w:tcPr>
            <w:tcW w:w="868" w:type="dxa"/>
            <w:vMerge w:val="restart"/>
            <w:vAlign w:val="center"/>
          </w:tcPr>
          <w:p>
            <w:pPr>
              <w:spacing w:before="31" w:beforeLines="10" w:after="31" w:afterLines="10"/>
              <w:jc w:val="center"/>
              <w:rPr>
                <w:rFonts w:ascii="仿宋_GB2312" w:hAnsi="Times New Roman"/>
                <w:sz w:val="28"/>
                <w:szCs w:val="28"/>
              </w:rPr>
            </w:pPr>
            <w:r>
              <w:rPr>
                <w:rFonts w:hint="eastAsia" w:ascii="仿宋_GB2312"/>
                <w:sz w:val="28"/>
                <w:szCs w:val="28"/>
              </w:rPr>
              <w:t>人寿</w:t>
            </w:r>
          </w:p>
          <w:p>
            <w:pPr>
              <w:spacing w:before="31" w:beforeLines="10" w:after="31" w:afterLines="10"/>
              <w:jc w:val="center"/>
              <w:rPr>
                <w:rFonts w:ascii="仿宋_GB2312" w:hAnsi="Times New Roman"/>
                <w:sz w:val="28"/>
                <w:szCs w:val="28"/>
              </w:rPr>
            </w:pPr>
            <w:r>
              <w:rPr>
                <w:rFonts w:hint="eastAsia" w:ascii="仿宋_GB2312"/>
                <w:sz w:val="28"/>
                <w:szCs w:val="28"/>
              </w:rPr>
              <w:t>保险</w:t>
            </w:r>
          </w:p>
        </w:tc>
        <w:tc>
          <w:tcPr>
            <w:tcW w:w="2268" w:type="dxa"/>
            <w:vAlign w:val="top"/>
          </w:tcPr>
          <w:p>
            <w:pPr>
              <w:spacing w:before="31" w:beforeLines="10" w:after="31" w:afterLines="10"/>
              <w:rPr>
                <w:rFonts w:ascii="仿宋_GB2312" w:hAnsi="Times New Roman"/>
                <w:sz w:val="28"/>
                <w:szCs w:val="28"/>
              </w:rPr>
            </w:pPr>
            <w:r>
              <w:rPr>
                <w:rFonts w:hint="eastAsia" w:ascii="仿宋_GB2312"/>
                <w:sz w:val="28"/>
                <w:szCs w:val="28"/>
              </w:rPr>
              <w:t>有保证收益</w:t>
            </w:r>
          </w:p>
        </w:tc>
        <w:tc>
          <w:tcPr>
            <w:tcW w:w="2268" w:type="dxa"/>
            <w:vAlign w:val="top"/>
          </w:tcPr>
          <w:p>
            <w:pPr>
              <w:spacing w:before="31" w:beforeLines="10" w:after="31" w:afterLines="10"/>
              <w:rPr>
                <w:rFonts w:ascii="仿宋_GB2312" w:hAnsi="Times New Roman"/>
                <w:sz w:val="28"/>
                <w:szCs w:val="28"/>
              </w:rPr>
            </w:pPr>
            <w:r>
              <w:rPr>
                <w:rFonts w:hint="eastAsia" w:ascii="仿宋_GB2312"/>
                <w:sz w:val="28"/>
                <w:szCs w:val="28"/>
              </w:rPr>
              <w:t>业务收入的</w:t>
            </w:r>
            <w:r>
              <w:rPr>
                <w:rFonts w:ascii="仿宋_GB2312" w:hAnsi="Times New Roman"/>
                <w:sz w:val="28"/>
                <w:szCs w:val="28"/>
              </w:rPr>
              <w:t>0.15%</w:t>
            </w:r>
          </w:p>
        </w:tc>
        <w:tc>
          <w:tcPr>
            <w:tcW w:w="2318" w:type="dxa"/>
            <w:vMerge w:val="restart"/>
            <w:vAlign w:val="top"/>
          </w:tcPr>
          <w:p>
            <w:pPr>
              <w:spacing w:before="31" w:beforeLines="10" w:after="31" w:afterLines="10"/>
              <w:rPr>
                <w:rFonts w:ascii="仿宋_GB2312" w:hAnsi="Times New Roman"/>
                <w:sz w:val="28"/>
                <w:szCs w:val="28"/>
              </w:rPr>
            </w:pPr>
            <w:r>
              <w:rPr>
                <w:rFonts w:hint="eastAsia" w:ascii="仿宋_GB2312"/>
                <w:sz w:val="28"/>
                <w:szCs w:val="28"/>
              </w:rPr>
              <w:t>保险保障基金余额达到公司总资产</w:t>
            </w:r>
            <w:r>
              <w:rPr>
                <w:rFonts w:ascii="仿宋_GB2312" w:hAnsi="Times New Roman"/>
                <w:sz w:val="28"/>
                <w:szCs w:val="28"/>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00" w:type="dxa"/>
            <w:vMerge w:val="continue"/>
            <w:vAlign w:val="top"/>
          </w:tcPr>
          <w:p>
            <w:pPr>
              <w:keepNext/>
              <w:spacing w:before="31" w:beforeLines="10" w:after="31" w:afterLines="10"/>
              <w:outlineLvl w:val="2"/>
              <w:rPr>
                <w:rFonts w:ascii="仿宋_GB2312" w:hAnsi="Times New Roman" w:cs="黑体"/>
                <w:b/>
                <w:bCs/>
                <w:sz w:val="28"/>
                <w:szCs w:val="28"/>
              </w:rPr>
            </w:pPr>
          </w:p>
        </w:tc>
        <w:tc>
          <w:tcPr>
            <w:tcW w:w="868" w:type="dxa"/>
            <w:vMerge w:val="continue"/>
            <w:vAlign w:val="center"/>
          </w:tcPr>
          <w:p>
            <w:pPr>
              <w:keepNext/>
              <w:spacing w:before="31" w:beforeLines="10" w:after="31" w:afterLines="10"/>
              <w:jc w:val="center"/>
              <w:outlineLvl w:val="2"/>
              <w:rPr>
                <w:rFonts w:ascii="仿宋_GB2312" w:hAnsi="Times New Roman" w:cs="黑体"/>
                <w:b/>
                <w:bCs/>
                <w:sz w:val="28"/>
                <w:szCs w:val="28"/>
              </w:rPr>
            </w:pPr>
          </w:p>
        </w:tc>
        <w:tc>
          <w:tcPr>
            <w:tcW w:w="2268" w:type="dxa"/>
            <w:vAlign w:val="top"/>
          </w:tcPr>
          <w:p>
            <w:pPr>
              <w:spacing w:before="31" w:beforeLines="10" w:after="31" w:afterLines="10"/>
              <w:rPr>
                <w:rFonts w:ascii="仿宋_GB2312" w:hAnsi="Times New Roman"/>
                <w:sz w:val="28"/>
                <w:szCs w:val="28"/>
              </w:rPr>
            </w:pPr>
            <w:r>
              <w:rPr>
                <w:rFonts w:hint="eastAsia" w:ascii="仿宋_GB2312"/>
                <w:sz w:val="28"/>
                <w:szCs w:val="28"/>
              </w:rPr>
              <w:t>无保证收益</w:t>
            </w:r>
          </w:p>
        </w:tc>
        <w:tc>
          <w:tcPr>
            <w:tcW w:w="2268" w:type="dxa"/>
            <w:vAlign w:val="top"/>
          </w:tcPr>
          <w:p>
            <w:pPr>
              <w:spacing w:before="31" w:beforeLines="10" w:after="31" w:afterLines="10"/>
              <w:rPr>
                <w:rFonts w:ascii="仿宋_GB2312" w:hAnsi="Times New Roman"/>
                <w:sz w:val="28"/>
                <w:szCs w:val="28"/>
              </w:rPr>
            </w:pPr>
            <w:r>
              <w:rPr>
                <w:rFonts w:hint="eastAsia" w:ascii="仿宋_GB2312"/>
                <w:sz w:val="28"/>
                <w:szCs w:val="28"/>
              </w:rPr>
              <w:t>业务收入的</w:t>
            </w:r>
            <w:r>
              <w:rPr>
                <w:rFonts w:ascii="仿宋_GB2312" w:hAnsi="Times New Roman"/>
                <w:sz w:val="28"/>
                <w:szCs w:val="28"/>
              </w:rPr>
              <w:t>0.05%</w:t>
            </w:r>
          </w:p>
        </w:tc>
        <w:tc>
          <w:tcPr>
            <w:tcW w:w="2318" w:type="dxa"/>
            <w:vMerge w:val="continue"/>
            <w:vAlign w:val="top"/>
          </w:tcPr>
          <w:p>
            <w:pPr>
              <w:keepNext/>
              <w:spacing w:before="31" w:beforeLines="10" w:after="31" w:afterLines="10"/>
              <w:outlineLvl w:val="2"/>
              <w:rPr>
                <w:rFonts w:ascii="仿宋_GB2312" w:hAnsi="Times New Roman" w:cs="黑体"/>
                <w:b/>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00" w:type="dxa"/>
            <w:vMerge w:val="continue"/>
            <w:vAlign w:val="top"/>
          </w:tcPr>
          <w:p>
            <w:pPr>
              <w:keepNext/>
              <w:spacing w:before="31" w:beforeLines="10" w:after="31" w:afterLines="10"/>
              <w:outlineLvl w:val="2"/>
              <w:rPr>
                <w:rFonts w:ascii="仿宋_GB2312" w:hAnsi="Times New Roman" w:cs="黑体"/>
                <w:b/>
                <w:bCs/>
                <w:sz w:val="28"/>
                <w:szCs w:val="28"/>
              </w:rPr>
            </w:pPr>
          </w:p>
        </w:tc>
        <w:tc>
          <w:tcPr>
            <w:tcW w:w="868" w:type="dxa"/>
            <w:vMerge w:val="restart"/>
            <w:vAlign w:val="center"/>
          </w:tcPr>
          <w:p>
            <w:pPr>
              <w:spacing w:before="31" w:beforeLines="10" w:after="31" w:afterLines="10"/>
              <w:jc w:val="center"/>
              <w:rPr>
                <w:rFonts w:ascii="仿宋_GB2312" w:hAnsi="Times New Roman"/>
                <w:sz w:val="28"/>
                <w:szCs w:val="28"/>
              </w:rPr>
            </w:pPr>
            <w:r>
              <w:rPr>
                <w:rFonts w:hint="eastAsia" w:ascii="仿宋_GB2312"/>
                <w:sz w:val="28"/>
                <w:szCs w:val="28"/>
              </w:rPr>
              <w:t>健康</w:t>
            </w:r>
          </w:p>
          <w:p>
            <w:pPr>
              <w:spacing w:before="31" w:beforeLines="10" w:after="31" w:afterLines="10"/>
              <w:jc w:val="center"/>
              <w:rPr>
                <w:rFonts w:ascii="仿宋_GB2312" w:hAnsi="Times New Roman"/>
                <w:sz w:val="28"/>
                <w:szCs w:val="28"/>
              </w:rPr>
            </w:pPr>
            <w:r>
              <w:rPr>
                <w:rFonts w:hint="eastAsia" w:ascii="仿宋_GB2312"/>
                <w:sz w:val="28"/>
                <w:szCs w:val="28"/>
              </w:rPr>
              <w:t>保险</w:t>
            </w:r>
          </w:p>
        </w:tc>
        <w:tc>
          <w:tcPr>
            <w:tcW w:w="2268" w:type="dxa"/>
            <w:vAlign w:val="top"/>
          </w:tcPr>
          <w:p>
            <w:pPr>
              <w:spacing w:before="31" w:beforeLines="10" w:after="31" w:afterLines="10"/>
              <w:rPr>
                <w:rFonts w:ascii="仿宋_GB2312" w:hAnsi="Times New Roman"/>
                <w:sz w:val="28"/>
                <w:szCs w:val="28"/>
              </w:rPr>
            </w:pPr>
            <w:r>
              <w:rPr>
                <w:rFonts w:hint="eastAsia" w:ascii="仿宋_GB2312"/>
                <w:sz w:val="28"/>
                <w:szCs w:val="28"/>
              </w:rPr>
              <w:t>短期</w:t>
            </w:r>
          </w:p>
        </w:tc>
        <w:tc>
          <w:tcPr>
            <w:tcW w:w="2268" w:type="dxa"/>
            <w:vAlign w:val="top"/>
          </w:tcPr>
          <w:p>
            <w:pPr>
              <w:spacing w:before="31" w:beforeLines="10" w:after="31" w:afterLines="10"/>
              <w:rPr>
                <w:rFonts w:ascii="仿宋_GB2312" w:hAnsi="Times New Roman"/>
                <w:sz w:val="28"/>
                <w:szCs w:val="28"/>
              </w:rPr>
            </w:pPr>
            <w:r>
              <w:rPr>
                <w:rFonts w:hint="eastAsia" w:ascii="仿宋_GB2312"/>
                <w:sz w:val="28"/>
                <w:szCs w:val="28"/>
              </w:rPr>
              <w:t>保费收入的</w:t>
            </w:r>
            <w:r>
              <w:rPr>
                <w:rFonts w:ascii="仿宋_GB2312" w:hAnsi="Times New Roman"/>
                <w:sz w:val="28"/>
                <w:szCs w:val="28"/>
              </w:rPr>
              <w:t>0.8%</w:t>
            </w:r>
          </w:p>
        </w:tc>
        <w:tc>
          <w:tcPr>
            <w:tcW w:w="2318" w:type="dxa"/>
            <w:vMerge w:val="continue"/>
            <w:vAlign w:val="top"/>
          </w:tcPr>
          <w:p>
            <w:pPr>
              <w:keepNext/>
              <w:spacing w:before="31" w:beforeLines="10" w:after="31" w:afterLines="10"/>
              <w:outlineLvl w:val="2"/>
              <w:rPr>
                <w:rFonts w:ascii="仿宋_GB2312" w:hAnsi="Times New Roman" w:cs="黑体"/>
                <w:b/>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800" w:type="dxa"/>
            <w:vMerge w:val="continue"/>
            <w:vAlign w:val="top"/>
          </w:tcPr>
          <w:p>
            <w:pPr>
              <w:keepNext/>
              <w:spacing w:before="31" w:beforeLines="10" w:after="31" w:afterLines="10"/>
              <w:outlineLvl w:val="2"/>
              <w:rPr>
                <w:rFonts w:ascii="仿宋_GB2312" w:hAnsi="Times New Roman" w:cs="黑体"/>
                <w:b/>
                <w:bCs/>
                <w:sz w:val="28"/>
                <w:szCs w:val="28"/>
              </w:rPr>
            </w:pPr>
          </w:p>
        </w:tc>
        <w:tc>
          <w:tcPr>
            <w:tcW w:w="868" w:type="dxa"/>
            <w:vMerge w:val="continue"/>
            <w:vAlign w:val="center"/>
          </w:tcPr>
          <w:p>
            <w:pPr>
              <w:keepNext/>
              <w:spacing w:before="31" w:beforeLines="10" w:after="31" w:afterLines="10"/>
              <w:jc w:val="center"/>
              <w:outlineLvl w:val="2"/>
              <w:rPr>
                <w:rFonts w:ascii="仿宋_GB2312" w:hAnsi="Times New Roman" w:cs="黑体"/>
                <w:b/>
                <w:bCs/>
                <w:sz w:val="28"/>
                <w:szCs w:val="28"/>
              </w:rPr>
            </w:pPr>
          </w:p>
        </w:tc>
        <w:tc>
          <w:tcPr>
            <w:tcW w:w="2268" w:type="dxa"/>
            <w:vAlign w:val="top"/>
          </w:tcPr>
          <w:p>
            <w:pPr>
              <w:spacing w:before="31" w:beforeLines="10" w:after="31" w:afterLines="10"/>
              <w:rPr>
                <w:rFonts w:ascii="仿宋_GB2312" w:hAnsi="Times New Roman"/>
                <w:sz w:val="28"/>
                <w:szCs w:val="28"/>
              </w:rPr>
            </w:pPr>
            <w:r>
              <w:rPr>
                <w:rFonts w:hint="eastAsia" w:ascii="仿宋_GB2312"/>
                <w:sz w:val="28"/>
                <w:szCs w:val="28"/>
              </w:rPr>
              <w:t>长期</w:t>
            </w:r>
          </w:p>
        </w:tc>
        <w:tc>
          <w:tcPr>
            <w:tcW w:w="2268" w:type="dxa"/>
            <w:vAlign w:val="top"/>
          </w:tcPr>
          <w:p>
            <w:pPr>
              <w:spacing w:before="31" w:beforeLines="10" w:after="31" w:afterLines="10"/>
              <w:rPr>
                <w:rFonts w:ascii="仿宋_GB2312" w:hAnsi="Times New Roman"/>
                <w:sz w:val="28"/>
                <w:szCs w:val="28"/>
              </w:rPr>
            </w:pPr>
            <w:r>
              <w:rPr>
                <w:rFonts w:hint="eastAsia" w:ascii="仿宋_GB2312"/>
                <w:sz w:val="28"/>
                <w:szCs w:val="28"/>
              </w:rPr>
              <w:t>保费收入的</w:t>
            </w:r>
            <w:r>
              <w:rPr>
                <w:rFonts w:ascii="仿宋_GB2312" w:hAnsi="Times New Roman"/>
                <w:sz w:val="28"/>
                <w:szCs w:val="28"/>
              </w:rPr>
              <w:t>0.15%</w:t>
            </w:r>
          </w:p>
        </w:tc>
        <w:tc>
          <w:tcPr>
            <w:tcW w:w="2318" w:type="dxa"/>
            <w:vMerge w:val="continue"/>
            <w:vAlign w:val="top"/>
          </w:tcPr>
          <w:p>
            <w:pPr>
              <w:keepNext/>
              <w:spacing w:before="31" w:beforeLines="10" w:after="31" w:afterLines="10"/>
              <w:outlineLvl w:val="2"/>
              <w:rPr>
                <w:rFonts w:ascii="仿宋_GB2312" w:hAnsi="Times New Roman" w:cs="黑体"/>
                <w:b/>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00" w:type="dxa"/>
            <w:vMerge w:val="continue"/>
            <w:vAlign w:val="top"/>
          </w:tcPr>
          <w:p>
            <w:pPr>
              <w:keepNext/>
              <w:spacing w:before="31" w:beforeLines="10" w:after="31" w:afterLines="10"/>
              <w:outlineLvl w:val="2"/>
              <w:rPr>
                <w:rFonts w:ascii="仿宋_GB2312" w:hAnsi="Times New Roman" w:cs="黑体"/>
                <w:b/>
                <w:bCs/>
                <w:sz w:val="28"/>
                <w:szCs w:val="28"/>
              </w:rPr>
            </w:pPr>
          </w:p>
        </w:tc>
        <w:tc>
          <w:tcPr>
            <w:tcW w:w="868" w:type="dxa"/>
            <w:vMerge w:val="restart"/>
            <w:vAlign w:val="center"/>
          </w:tcPr>
          <w:p>
            <w:pPr>
              <w:spacing w:before="31" w:beforeLines="10" w:after="31" w:afterLines="10"/>
              <w:jc w:val="center"/>
              <w:rPr>
                <w:rFonts w:ascii="仿宋_GB2312" w:hAnsi="Times New Roman"/>
                <w:sz w:val="28"/>
                <w:szCs w:val="28"/>
              </w:rPr>
            </w:pPr>
            <w:r>
              <w:rPr>
                <w:rFonts w:hint="eastAsia" w:ascii="仿宋_GB2312"/>
                <w:sz w:val="28"/>
                <w:szCs w:val="28"/>
              </w:rPr>
              <w:t>意外</w:t>
            </w:r>
          </w:p>
          <w:p>
            <w:pPr>
              <w:spacing w:before="31" w:beforeLines="10" w:after="31" w:afterLines="10"/>
              <w:jc w:val="center"/>
              <w:rPr>
                <w:rFonts w:ascii="仿宋_GB2312" w:hAnsi="Times New Roman"/>
                <w:sz w:val="28"/>
                <w:szCs w:val="28"/>
              </w:rPr>
            </w:pPr>
            <w:r>
              <w:rPr>
                <w:rFonts w:hint="eastAsia" w:ascii="仿宋_GB2312"/>
                <w:sz w:val="28"/>
                <w:szCs w:val="28"/>
              </w:rPr>
              <w:t>伤害</w:t>
            </w:r>
          </w:p>
          <w:p>
            <w:pPr>
              <w:spacing w:before="31" w:beforeLines="10" w:after="31" w:afterLines="10"/>
              <w:jc w:val="center"/>
              <w:rPr>
                <w:rFonts w:ascii="仿宋_GB2312" w:hAnsi="Times New Roman"/>
                <w:sz w:val="28"/>
                <w:szCs w:val="28"/>
              </w:rPr>
            </w:pPr>
            <w:r>
              <w:rPr>
                <w:rFonts w:hint="eastAsia" w:ascii="仿宋_GB2312"/>
                <w:sz w:val="28"/>
                <w:szCs w:val="28"/>
              </w:rPr>
              <w:t>保险</w:t>
            </w:r>
          </w:p>
        </w:tc>
        <w:tc>
          <w:tcPr>
            <w:tcW w:w="2268" w:type="dxa"/>
            <w:vAlign w:val="top"/>
          </w:tcPr>
          <w:p>
            <w:pPr>
              <w:spacing w:before="31" w:beforeLines="10" w:after="31" w:afterLines="10"/>
              <w:rPr>
                <w:rFonts w:ascii="仿宋_GB2312" w:hAnsi="Times New Roman"/>
                <w:sz w:val="28"/>
                <w:szCs w:val="28"/>
              </w:rPr>
            </w:pPr>
            <w:r>
              <w:rPr>
                <w:rFonts w:hint="eastAsia" w:ascii="仿宋_GB2312"/>
                <w:sz w:val="28"/>
                <w:szCs w:val="28"/>
              </w:rPr>
              <w:t>非投资型</w:t>
            </w:r>
          </w:p>
        </w:tc>
        <w:tc>
          <w:tcPr>
            <w:tcW w:w="2268" w:type="dxa"/>
            <w:vAlign w:val="top"/>
          </w:tcPr>
          <w:p>
            <w:pPr>
              <w:spacing w:before="31" w:beforeLines="10" w:after="31" w:afterLines="10"/>
              <w:rPr>
                <w:rFonts w:ascii="仿宋_GB2312" w:hAnsi="Times New Roman"/>
                <w:sz w:val="28"/>
                <w:szCs w:val="28"/>
              </w:rPr>
            </w:pPr>
            <w:r>
              <w:rPr>
                <w:rFonts w:hint="eastAsia" w:ascii="仿宋_GB2312"/>
                <w:sz w:val="28"/>
                <w:szCs w:val="28"/>
              </w:rPr>
              <w:t>保费收入的</w:t>
            </w:r>
            <w:r>
              <w:rPr>
                <w:rFonts w:ascii="仿宋_GB2312" w:hAnsi="Times New Roman"/>
                <w:sz w:val="28"/>
                <w:szCs w:val="28"/>
              </w:rPr>
              <w:t>0.8%</w:t>
            </w:r>
          </w:p>
        </w:tc>
        <w:tc>
          <w:tcPr>
            <w:tcW w:w="2318" w:type="dxa"/>
            <w:vMerge w:val="continue"/>
            <w:vAlign w:val="top"/>
          </w:tcPr>
          <w:p>
            <w:pPr>
              <w:keepNext/>
              <w:spacing w:before="31" w:beforeLines="10" w:after="31" w:afterLines="10"/>
              <w:outlineLvl w:val="2"/>
              <w:rPr>
                <w:rFonts w:ascii="仿宋_GB2312" w:hAnsi="Times New Roman" w:cs="黑体"/>
                <w:b/>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00" w:type="dxa"/>
            <w:vMerge w:val="continue"/>
            <w:vAlign w:val="top"/>
          </w:tcPr>
          <w:p>
            <w:pPr>
              <w:keepNext/>
              <w:spacing w:before="31" w:beforeLines="10" w:after="31" w:afterLines="10"/>
              <w:outlineLvl w:val="2"/>
              <w:rPr>
                <w:rFonts w:ascii="仿宋_GB2312" w:hAnsi="Times New Roman" w:cs="黑体"/>
                <w:b/>
                <w:bCs/>
                <w:sz w:val="28"/>
                <w:szCs w:val="28"/>
              </w:rPr>
            </w:pPr>
          </w:p>
        </w:tc>
        <w:tc>
          <w:tcPr>
            <w:tcW w:w="868" w:type="dxa"/>
            <w:vMerge w:val="continue"/>
            <w:vAlign w:val="top"/>
          </w:tcPr>
          <w:p>
            <w:pPr>
              <w:keepNext/>
              <w:spacing w:before="31" w:beforeLines="10" w:after="31" w:afterLines="10"/>
              <w:outlineLvl w:val="2"/>
              <w:rPr>
                <w:rFonts w:ascii="仿宋_GB2312" w:hAnsi="Times New Roman" w:cs="黑体"/>
                <w:b/>
                <w:bCs/>
                <w:sz w:val="28"/>
                <w:szCs w:val="28"/>
              </w:rPr>
            </w:pPr>
          </w:p>
        </w:tc>
        <w:tc>
          <w:tcPr>
            <w:tcW w:w="2268" w:type="dxa"/>
            <w:vAlign w:val="top"/>
          </w:tcPr>
          <w:p>
            <w:pPr>
              <w:spacing w:before="31" w:beforeLines="10" w:after="31" w:afterLines="10"/>
              <w:rPr>
                <w:rFonts w:ascii="仿宋_GB2312" w:hAnsi="Times New Roman"/>
                <w:sz w:val="28"/>
                <w:szCs w:val="28"/>
              </w:rPr>
            </w:pPr>
            <w:r>
              <w:rPr>
                <w:rFonts w:hint="eastAsia" w:ascii="仿宋_GB2312"/>
                <w:sz w:val="28"/>
                <w:szCs w:val="28"/>
              </w:rPr>
              <w:t>投资型、有保证收益</w:t>
            </w:r>
          </w:p>
        </w:tc>
        <w:tc>
          <w:tcPr>
            <w:tcW w:w="2268" w:type="dxa"/>
            <w:vAlign w:val="top"/>
          </w:tcPr>
          <w:p>
            <w:pPr>
              <w:spacing w:before="31" w:beforeLines="10" w:after="31" w:afterLines="10"/>
              <w:rPr>
                <w:rFonts w:ascii="仿宋_GB2312" w:hAnsi="Times New Roman"/>
                <w:sz w:val="28"/>
                <w:szCs w:val="28"/>
              </w:rPr>
            </w:pPr>
            <w:r>
              <w:rPr>
                <w:rFonts w:hint="eastAsia" w:ascii="仿宋_GB2312"/>
                <w:sz w:val="28"/>
                <w:szCs w:val="28"/>
              </w:rPr>
              <w:t>业务收入的</w:t>
            </w:r>
            <w:r>
              <w:rPr>
                <w:rFonts w:ascii="仿宋_GB2312" w:hAnsi="Times New Roman"/>
                <w:sz w:val="28"/>
                <w:szCs w:val="28"/>
              </w:rPr>
              <w:t>0.08%</w:t>
            </w:r>
          </w:p>
        </w:tc>
        <w:tc>
          <w:tcPr>
            <w:tcW w:w="2318" w:type="dxa"/>
            <w:vMerge w:val="continue"/>
            <w:vAlign w:val="top"/>
          </w:tcPr>
          <w:p>
            <w:pPr>
              <w:keepNext/>
              <w:spacing w:before="31" w:beforeLines="10" w:after="31" w:afterLines="10"/>
              <w:outlineLvl w:val="2"/>
              <w:rPr>
                <w:rFonts w:ascii="仿宋_GB2312" w:hAnsi="Times New Roman" w:cs="黑体"/>
                <w:b/>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00" w:type="dxa"/>
            <w:vMerge w:val="continue"/>
            <w:vAlign w:val="top"/>
          </w:tcPr>
          <w:p>
            <w:pPr>
              <w:keepNext/>
              <w:spacing w:before="31" w:beforeLines="10" w:after="31" w:afterLines="10"/>
              <w:outlineLvl w:val="2"/>
              <w:rPr>
                <w:rFonts w:ascii="仿宋_GB2312" w:hAnsi="Times New Roman" w:cs="黑体"/>
                <w:b/>
                <w:bCs/>
                <w:sz w:val="28"/>
                <w:szCs w:val="28"/>
              </w:rPr>
            </w:pPr>
          </w:p>
        </w:tc>
        <w:tc>
          <w:tcPr>
            <w:tcW w:w="868" w:type="dxa"/>
            <w:vMerge w:val="continue"/>
            <w:vAlign w:val="top"/>
          </w:tcPr>
          <w:p>
            <w:pPr>
              <w:keepNext/>
              <w:spacing w:before="31" w:beforeLines="10" w:after="31" w:afterLines="10"/>
              <w:outlineLvl w:val="2"/>
              <w:rPr>
                <w:rFonts w:ascii="仿宋_GB2312" w:hAnsi="Times New Roman" w:cs="黑体"/>
                <w:b/>
                <w:bCs/>
                <w:sz w:val="28"/>
                <w:szCs w:val="28"/>
              </w:rPr>
            </w:pPr>
          </w:p>
        </w:tc>
        <w:tc>
          <w:tcPr>
            <w:tcW w:w="2268" w:type="dxa"/>
            <w:vAlign w:val="top"/>
          </w:tcPr>
          <w:p>
            <w:pPr>
              <w:spacing w:before="31" w:beforeLines="10" w:after="31" w:afterLines="10"/>
              <w:rPr>
                <w:rFonts w:ascii="仿宋_GB2312" w:hAnsi="Times New Roman"/>
                <w:sz w:val="28"/>
                <w:szCs w:val="28"/>
              </w:rPr>
            </w:pPr>
            <w:r>
              <w:rPr>
                <w:rFonts w:hint="eastAsia" w:ascii="仿宋_GB2312"/>
                <w:sz w:val="28"/>
                <w:szCs w:val="28"/>
              </w:rPr>
              <w:t>投资型、无保证收益</w:t>
            </w:r>
          </w:p>
        </w:tc>
        <w:tc>
          <w:tcPr>
            <w:tcW w:w="2268" w:type="dxa"/>
            <w:vAlign w:val="top"/>
          </w:tcPr>
          <w:p>
            <w:pPr>
              <w:spacing w:before="31" w:beforeLines="10" w:after="31" w:afterLines="10"/>
              <w:rPr>
                <w:rFonts w:ascii="仿宋_GB2312" w:hAnsi="Times New Roman"/>
                <w:sz w:val="28"/>
                <w:szCs w:val="28"/>
              </w:rPr>
            </w:pPr>
            <w:r>
              <w:rPr>
                <w:rFonts w:hint="eastAsia" w:ascii="仿宋_GB2312"/>
                <w:sz w:val="28"/>
                <w:szCs w:val="28"/>
              </w:rPr>
              <w:t>业务收入的</w:t>
            </w:r>
            <w:r>
              <w:rPr>
                <w:rFonts w:ascii="仿宋_GB2312" w:hAnsi="Times New Roman"/>
                <w:sz w:val="28"/>
                <w:szCs w:val="28"/>
              </w:rPr>
              <w:t>0.05%</w:t>
            </w:r>
          </w:p>
        </w:tc>
        <w:tc>
          <w:tcPr>
            <w:tcW w:w="2318" w:type="dxa"/>
            <w:vMerge w:val="continue"/>
            <w:vAlign w:val="top"/>
          </w:tcPr>
          <w:p>
            <w:pPr>
              <w:keepNext/>
              <w:spacing w:before="31" w:beforeLines="10" w:after="31" w:afterLines="10"/>
              <w:outlineLvl w:val="2"/>
              <w:rPr>
                <w:rFonts w:ascii="仿宋_GB2312" w:hAnsi="Times New Roman" w:cs="黑体"/>
                <w:b/>
                <w:bCs/>
                <w:sz w:val="28"/>
                <w:szCs w:val="28"/>
              </w:rPr>
            </w:pPr>
          </w:p>
        </w:tc>
      </w:tr>
    </w:tbl>
    <w:p>
      <w:pPr>
        <w:spacing w:before="156" w:beforeLines="50" w:after="156" w:afterLines="50"/>
        <w:ind w:firstLine="664" w:firstLineChars="200"/>
        <w:rPr>
          <w:rFonts w:ascii="仿宋_GB2312" w:hAnsi="Times New Roman"/>
          <w:sz w:val="32"/>
          <w:szCs w:val="32"/>
        </w:rPr>
      </w:pPr>
      <w:r>
        <w:rPr>
          <w:rFonts w:hint="eastAsia" w:ascii="仿宋_GB2312"/>
          <w:sz w:val="32"/>
          <w:szCs w:val="32"/>
        </w:rPr>
        <w:t>保险公司会计年度提取的保险保障基金，计入业务及管理费科目。对保险公司进行评估，应根据保险公司不同类型业务对应的收入，合理计算当年应计提的保险保障基金。</w:t>
      </w:r>
    </w:p>
    <w:p>
      <w:pPr>
        <w:spacing w:before="156" w:beforeLines="50" w:after="156" w:afterLines="50"/>
        <w:ind w:left="624" w:leftChars="200"/>
        <w:outlineLvl w:val="1"/>
        <w:rPr>
          <w:rFonts w:ascii="仿宋_GB2312" w:hAnsi="Times New Roman"/>
          <w:b/>
          <w:color w:val="000000"/>
          <w:sz w:val="32"/>
          <w:szCs w:val="32"/>
        </w:rPr>
      </w:pPr>
      <w:r>
        <w:rPr>
          <w:rFonts w:hint="eastAsia" w:ascii="仿宋_GB2312"/>
          <w:b/>
          <w:sz w:val="32"/>
          <w:szCs w:val="32"/>
        </w:rPr>
        <w:t>四、财险公司监</w:t>
      </w:r>
      <w:r>
        <w:rPr>
          <w:rFonts w:hint="eastAsia" w:ascii="仿宋_GB2312"/>
          <w:b/>
          <w:color w:val="000000"/>
          <w:sz w:val="32"/>
          <w:szCs w:val="32"/>
        </w:rPr>
        <w:t>管指标</w:t>
      </w:r>
    </w:p>
    <w:p>
      <w:pPr>
        <w:spacing w:before="156" w:beforeLines="50" w:after="156" w:afterLines="50"/>
        <w:ind w:left="624" w:leftChars="200"/>
        <w:outlineLvl w:val="2"/>
        <w:rPr>
          <w:rFonts w:ascii="仿宋_GB2312" w:hAnsi="Times New Roman"/>
          <w:b/>
          <w:color w:val="000000"/>
          <w:sz w:val="32"/>
          <w:szCs w:val="32"/>
        </w:rPr>
      </w:pPr>
      <w:r>
        <w:rPr>
          <w:rFonts w:hint="eastAsia" w:ascii="仿宋_GB2312"/>
          <w:b/>
          <w:color w:val="000000"/>
          <w:sz w:val="32"/>
          <w:szCs w:val="32"/>
        </w:rPr>
        <w:t>（一）综合赔付率</w:t>
      </w:r>
    </w:p>
    <w:p>
      <w:pPr>
        <w:spacing w:before="156" w:beforeLines="50" w:after="156" w:afterLines="50"/>
        <w:ind w:firstLine="664" w:firstLineChars="200"/>
        <w:rPr>
          <w:rFonts w:ascii="仿宋_GB2312" w:hAnsi="Times New Roman"/>
          <w:color w:val="000000"/>
          <w:sz w:val="32"/>
          <w:szCs w:val="32"/>
        </w:rPr>
      </w:pPr>
      <w:r>
        <w:rPr>
          <w:rFonts w:hint="eastAsia" w:ascii="仿宋_GB2312"/>
          <w:color w:val="000000"/>
          <w:sz w:val="32"/>
          <w:szCs w:val="32"/>
        </w:rPr>
        <w:t>综合赔付率</w:t>
      </w:r>
      <w:r>
        <w:rPr>
          <w:rFonts w:hint="eastAsia" w:cs="宋体"/>
          <w:color w:val="000000"/>
          <w:sz w:val="32"/>
          <w:szCs w:val="32"/>
        </w:rPr>
        <w:t>﹦</w:t>
      </w:r>
      <w:r>
        <w:rPr>
          <w:rFonts w:hint="eastAsia" w:ascii="仿宋_GB2312"/>
          <w:color w:val="000000"/>
          <w:sz w:val="32"/>
          <w:szCs w:val="32"/>
        </w:rPr>
        <w:t>（赔付支出</w:t>
      </w:r>
      <w:r>
        <w:rPr>
          <w:rFonts w:hint="eastAsia" w:cs="宋体"/>
          <w:color w:val="000000"/>
          <w:sz w:val="32"/>
          <w:szCs w:val="32"/>
        </w:rPr>
        <w:t>﹣</w:t>
      </w:r>
      <w:r>
        <w:rPr>
          <w:rFonts w:hint="eastAsia" w:ascii="仿宋_GB2312"/>
          <w:color w:val="000000"/>
          <w:sz w:val="32"/>
          <w:szCs w:val="32"/>
        </w:rPr>
        <w:t>摊回赔付支出</w:t>
      </w:r>
      <w:r>
        <w:rPr>
          <w:rFonts w:hint="eastAsia" w:cs="宋体"/>
          <w:color w:val="000000"/>
          <w:sz w:val="32"/>
          <w:szCs w:val="32"/>
        </w:rPr>
        <w:t>﹢</w:t>
      </w:r>
      <w:r>
        <w:rPr>
          <w:rFonts w:hint="eastAsia" w:ascii="仿宋_GB2312"/>
          <w:color w:val="000000"/>
          <w:sz w:val="32"/>
          <w:szCs w:val="32"/>
        </w:rPr>
        <w:t>提取保险责任准备金</w:t>
      </w:r>
      <w:r>
        <w:rPr>
          <w:rFonts w:hint="eastAsia" w:cs="宋体"/>
          <w:color w:val="000000"/>
          <w:sz w:val="32"/>
          <w:szCs w:val="32"/>
        </w:rPr>
        <w:t>﹣</w:t>
      </w:r>
      <w:r>
        <w:rPr>
          <w:rFonts w:hint="eastAsia" w:ascii="仿宋_GB2312"/>
          <w:color w:val="000000"/>
          <w:sz w:val="32"/>
          <w:szCs w:val="32"/>
        </w:rPr>
        <w:t>摊回保险责任准备金）</w:t>
      </w:r>
      <w:r>
        <w:rPr>
          <w:rFonts w:hint="eastAsia" w:ascii="仿宋_GB2312" w:hAnsi="Times New Roman"/>
          <w:color w:val="000000"/>
          <w:sz w:val="32"/>
          <w:szCs w:val="32"/>
        </w:rPr>
        <w:t>/</w:t>
      </w:r>
      <w:r>
        <w:rPr>
          <w:rFonts w:hint="eastAsia" w:ascii="仿宋_GB2312"/>
          <w:color w:val="000000"/>
          <w:sz w:val="32"/>
          <w:szCs w:val="32"/>
        </w:rPr>
        <w:t>已赚保费</w:t>
      </w:r>
    </w:p>
    <w:p>
      <w:pPr>
        <w:spacing w:before="156" w:beforeLines="50" w:after="156" w:afterLines="50"/>
        <w:ind w:firstLine="664" w:firstLineChars="200"/>
        <w:rPr>
          <w:rFonts w:ascii="仿宋_GB2312" w:hAnsi="Times New Roman"/>
          <w:color w:val="000000"/>
          <w:sz w:val="32"/>
          <w:szCs w:val="32"/>
        </w:rPr>
      </w:pPr>
      <w:r>
        <w:rPr>
          <w:rFonts w:hint="eastAsia" w:ascii="仿宋_GB2312"/>
          <w:color w:val="000000"/>
          <w:sz w:val="32"/>
          <w:szCs w:val="32"/>
        </w:rPr>
        <w:t>综合赔付率衡量财险公司的赔付支出情况。对财险公司进行评估，应根据预测结果计算其综合赔付率，预测期间的综合赔付率应符合该公司历史趋势和发展预期。</w:t>
      </w:r>
    </w:p>
    <w:p>
      <w:pPr>
        <w:spacing w:before="156" w:beforeLines="50" w:after="156" w:afterLines="50"/>
        <w:ind w:left="624" w:leftChars="200"/>
        <w:outlineLvl w:val="2"/>
        <w:rPr>
          <w:rFonts w:ascii="仿宋_GB2312" w:hAnsi="Times New Roman"/>
          <w:b/>
          <w:sz w:val="32"/>
          <w:szCs w:val="32"/>
        </w:rPr>
      </w:pPr>
      <w:r>
        <w:rPr>
          <w:rFonts w:hint="eastAsia" w:ascii="仿宋_GB2312"/>
          <w:b/>
          <w:color w:val="000000"/>
          <w:sz w:val="32"/>
          <w:szCs w:val="32"/>
        </w:rPr>
        <w:t>（二）综合费用率</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综合费用率</w:t>
      </w:r>
      <w:r>
        <w:rPr>
          <w:rFonts w:hint="eastAsia" w:cs="宋体"/>
          <w:sz w:val="32"/>
          <w:szCs w:val="32"/>
        </w:rPr>
        <w:t>﹦</w:t>
      </w:r>
      <w:r>
        <w:rPr>
          <w:rFonts w:hint="eastAsia" w:ascii="仿宋_GB2312"/>
          <w:sz w:val="32"/>
          <w:szCs w:val="32"/>
        </w:rPr>
        <w:t>（非投资相关的营业税金及附加</w:t>
      </w:r>
      <w:r>
        <w:rPr>
          <w:rFonts w:hint="eastAsia" w:cs="宋体"/>
          <w:sz w:val="32"/>
          <w:szCs w:val="32"/>
        </w:rPr>
        <w:t>﹢</w:t>
      </w:r>
      <w:r>
        <w:rPr>
          <w:rFonts w:hint="eastAsia" w:ascii="仿宋_GB2312"/>
          <w:sz w:val="32"/>
          <w:szCs w:val="32"/>
        </w:rPr>
        <w:t>非投资相关的手续费及佣金支出</w:t>
      </w:r>
      <w:r>
        <w:rPr>
          <w:rFonts w:hint="eastAsia" w:cs="宋体"/>
          <w:sz w:val="32"/>
          <w:szCs w:val="32"/>
        </w:rPr>
        <w:t>﹢</w:t>
      </w:r>
      <w:r>
        <w:rPr>
          <w:rFonts w:hint="eastAsia" w:ascii="仿宋_GB2312"/>
          <w:sz w:val="32"/>
          <w:szCs w:val="32"/>
        </w:rPr>
        <w:t>非投资相关的业务及管理费</w:t>
      </w:r>
      <w:r>
        <w:rPr>
          <w:rFonts w:hint="eastAsia" w:cs="宋体"/>
          <w:sz w:val="32"/>
          <w:szCs w:val="32"/>
        </w:rPr>
        <w:t>﹢</w:t>
      </w:r>
      <w:r>
        <w:rPr>
          <w:rFonts w:hint="eastAsia" w:ascii="仿宋_GB2312"/>
          <w:sz w:val="32"/>
          <w:szCs w:val="32"/>
        </w:rPr>
        <w:t>分保费用</w:t>
      </w:r>
      <w:r>
        <w:rPr>
          <w:rFonts w:hint="eastAsia" w:cs="宋体"/>
          <w:sz w:val="32"/>
          <w:szCs w:val="32"/>
        </w:rPr>
        <w:t>﹣</w:t>
      </w:r>
      <w:r>
        <w:rPr>
          <w:rFonts w:hint="eastAsia" w:ascii="仿宋_GB2312"/>
          <w:sz w:val="32"/>
          <w:szCs w:val="32"/>
        </w:rPr>
        <w:t>摊回分保费用）</w:t>
      </w:r>
      <w:r>
        <w:rPr>
          <w:rFonts w:hint="eastAsia" w:ascii="仿宋_GB2312" w:hAnsi="Times New Roman"/>
          <w:sz w:val="32"/>
          <w:szCs w:val="32"/>
        </w:rPr>
        <w:t>/</w:t>
      </w:r>
      <w:r>
        <w:rPr>
          <w:rFonts w:hint="eastAsia" w:ascii="仿宋_GB2312"/>
          <w:sz w:val="32"/>
          <w:szCs w:val="32"/>
        </w:rPr>
        <w:t>已赚保费</w:t>
      </w:r>
    </w:p>
    <w:p>
      <w:pPr>
        <w:spacing w:before="156" w:beforeLines="50" w:after="156" w:afterLines="50"/>
        <w:ind w:firstLine="664" w:firstLineChars="200"/>
        <w:rPr>
          <w:rFonts w:ascii="仿宋_GB2312" w:hAnsi="Times New Roman"/>
          <w:color w:val="000000"/>
          <w:sz w:val="32"/>
          <w:szCs w:val="32"/>
        </w:rPr>
      </w:pPr>
      <w:r>
        <w:rPr>
          <w:rFonts w:hint="eastAsia" w:ascii="仿宋_GB2312"/>
          <w:sz w:val="32"/>
          <w:szCs w:val="32"/>
        </w:rPr>
        <w:t>综合费用率衡量财险公司控制经</w:t>
      </w:r>
      <w:r>
        <w:rPr>
          <w:rFonts w:hint="eastAsia" w:ascii="仿宋_GB2312"/>
          <w:color w:val="000000"/>
          <w:sz w:val="32"/>
          <w:szCs w:val="32"/>
        </w:rPr>
        <w:t>营成本的能力。其中，手续费及佣金支出主要是保险公司支付给销售渠道以及保险营销员的费用。对财险公司进行评估，应根据预测结果计算其综合费用率，预测期间的综合费用率应符合该公司历史趋势和发展预期。</w:t>
      </w:r>
    </w:p>
    <w:p>
      <w:pPr>
        <w:spacing w:before="156" w:beforeLines="50" w:after="156" w:afterLines="50"/>
        <w:ind w:left="624" w:leftChars="200"/>
        <w:outlineLvl w:val="2"/>
        <w:rPr>
          <w:rFonts w:ascii="仿宋_GB2312" w:hAnsi="Times New Roman"/>
          <w:b/>
          <w:color w:val="000000"/>
          <w:sz w:val="32"/>
          <w:szCs w:val="32"/>
        </w:rPr>
      </w:pPr>
      <w:r>
        <w:rPr>
          <w:rFonts w:hint="eastAsia" w:ascii="仿宋_GB2312"/>
          <w:b/>
          <w:color w:val="000000"/>
          <w:sz w:val="32"/>
          <w:szCs w:val="32"/>
        </w:rPr>
        <w:t>（三）综合成本率</w:t>
      </w:r>
    </w:p>
    <w:p>
      <w:pPr>
        <w:spacing w:before="156" w:beforeLines="50" w:after="156" w:afterLines="50"/>
        <w:ind w:firstLine="664" w:firstLineChars="200"/>
        <w:rPr>
          <w:rFonts w:ascii="仿宋_GB2312" w:hAnsi="Times New Roman"/>
          <w:color w:val="000000"/>
          <w:sz w:val="32"/>
          <w:szCs w:val="32"/>
        </w:rPr>
      </w:pPr>
      <w:r>
        <w:rPr>
          <w:rFonts w:hint="eastAsia" w:ascii="仿宋_GB2312"/>
          <w:color w:val="000000"/>
          <w:sz w:val="32"/>
          <w:szCs w:val="32"/>
        </w:rPr>
        <w:t>综合成本率</w:t>
      </w:r>
      <w:r>
        <w:rPr>
          <w:rFonts w:hint="eastAsia" w:cs="宋体"/>
          <w:color w:val="000000"/>
          <w:sz w:val="32"/>
          <w:szCs w:val="32"/>
        </w:rPr>
        <w:t>﹦</w:t>
      </w:r>
      <w:r>
        <w:rPr>
          <w:rFonts w:hint="eastAsia" w:ascii="仿宋_GB2312"/>
          <w:color w:val="000000"/>
          <w:sz w:val="32"/>
          <w:szCs w:val="32"/>
        </w:rPr>
        <w:t>综合赔付率</w:t>
      </w:r>
      <w:r>
        <w:rPr>
          <w:rFonts w:hint="eastAsia" w:cs="宋体"/>
          <w:color w:val="000000"/>
          <w:sz w:val="32"/>
          <w:szCs w:val="32"/>
        </w:rPr>
        <w:t>﹢</w:t>
      </w:r>
      <w:r>
        <w:rPr>
          <w:rFonts w:hint="eastAsia" w:ascii="仿宋_GB2312"/>
          <w:color w:val="000000"/>
          <w:sz w:val="32"/>
          <w:szCs w:val="32"/>
        </w:rPr>
        <w:t>综合费用率</w:t>
      </w:r>
    </w:p>
    <w:p>
      <w:pPr>
        <w:spacing w:before="156" w:beforeLines="50" w:after="156" w:afterLines="50"/>
        <w:ind w:firstLine="664" w:firstLineChars="200"/>
        <w:rPr>
          <w:rFonts w:ascii="仿宋_GB2312" w:hAnsi="Times New Roman"/>
          <w:color w:val="000000"/>
          <w:sz w:val="32"/>
          <w:szCs w:val="32"/>
        </w:rPr>
      </w:pPr>
      <w:r>
        <w:rPr>
          <w:rFonts w:hint="eastAsia" w:ascii="仿宋_GB2312"/>
          <w:color w:val="000000"/>
          <w:sz w:val="32"/>
          <w:szCs w:val="32"/>
        </w:rPr>
        <w:t>综合成本率考虑了财险公司保险业务所对应的赔付和经营等各项支出，用于衡量财险公司开展保险业务的盈利能力。对财险公司进行评估，应根据预测结果计算其综合成本率，预测期间的综合成本率应符合该公司历史趋势和发展预期。</w:t>
      </w:r>
    </w:p>
    <w:p>
      <w:pPr>
        <w:spacing w:before="156" w:beforeLines="50" w:after="156" w:afterLines="50"/>
        <w:ind w:left="624" w:leftChars="200"/>
        <w:outlineLvl w:val="2"/>
        <w:rPr>
          <w:rFonts w:ascii="仿宋_GB2312" w:hAnsi="Times New Roman"/>
          <w:b/>
          <w:color w:val="000000"/>
          <w:sz w:val="32"/>
          <w:szCs w:val="32"/>
        </w:rPr>
      </w:pPr>
      <w:r>
        <w:rPr>
          <w:rFonts w:hint="eastAsia" w:ascii="仿宋_GB2312"/>
          <w:b/>
          <w:color w:val="000000"/>
          <w:sz w:val="32"/>
          <w:szCs w:val="32"/>
        </w:rPr>
        <w:t>（四）应收保费率</w:t>
      </w:r>
    </w:p>
    <w:p>
      <w:pPr>
        <w:spacing w:before="156" w:beforeLines="50" w:after="156" w:afterLines="50"/>
        <w:ind w:firstLine="664" w:firstLineChars="200"/>
        <w:rPr>
          <w:rFonts w:ascii="仿宋_GB2312" w:hAnsi="Times New Roman"/>
          <w:color w:val="000000"/>
          <w:sz w:val="32"/>
          <w:szCs w:val="32"/>
        </w:rPr>
      </w:pPr>
      <w:r>
        <w:rPr>
          <w:rFonts w:hint="eastAsia" w:ascii="仿宋_GB2312"/>
          <w:color w:val="000000"/>
          <w:sz w:val="32"/>
          <w:szCs w:val="32"/>
        </w:rPr>
        <w:t>应收保费率</w:t>
      </w:r>
      <w:r>
        <w:rPr>
          <w:rFonts w:hint="eastAsia" w:cs="宋体"/>
          <w:color w:val="000000"/>
          <w:sz w:val="32"/>
          <w:szCs w:val="32"/>
        </w:rPr>
        <w:t>﹦</w:t>
      </w:r>
      <w:r>
        <w:rPr>
          <w:rFonts w:hint="eastAsia" w:ascii="仿宋_GB2312"/>
          <w:color w:val="000000"/>
          <w:sz w:val="32"/>
          <w:szCs w:val="32"/>
        </w:rPr>
        <w:t>应收保费</w:t>
      </w:r>
      <w:r>
        <w:rPr>
          <w:rFonts w:hint="eastAsia" w:ascii="仿宋_GB2312" w:hAnsi="Times New Roman"/>
          <w:color w:val="000000"/>
          <w:sz w:val="32"/>
          <w:szCs w:val="32"/>
        </w:rPr>
        <w:t>/</w:t>
      </w:r>
      <w:r>
        <w:rPr>
          <w:rFonts w:hint="eastAsia" w:ascii="仿宋_GB2312"/>
          <w:color w:val="000000"/>
          <w:sz w:val="32"/>
          <w:szCs w:val="32"/>
        </w:rPr>
        <w:t>保费收入</w:t>
      </w:r>
      <w:r>
        <w:rPr>
          <w:rFonts w:hint="eastAsia" w:ascii="仿宋_GB2312" w:hAnsi="Times New Roman"/>
          <w:color w:val="000000"/>
          <w:sz w:val="32"/>
          <w:szCs w:val="32"/>
        </w:rPr>
        <w:t>×100</w:t>
      </w:r>
      <w:r>
        <w:rPr>
          <w:rFonts w:hint="eastAsia" w:ascii="仿宋_GB2312"/>
          <w:color w:val="000000"/>
          <w:sz w:val="32"/>
          <w:szCs w:val="32"/>
        </w:rPr>
        <w:t>%</w:t>
      </w:r>
    </w:p>
    <w:p>
      <w:pPr>
        <w:spacing w:before="156" w:beforeLines="50" w:after="156" w:afterLines="50"/>
        <w:ind w:firstLine="664" w:firstLineChars="200"/>
        <w:rPr>
          <w:rFonts w:ascii="仿宋_GB2312" w:hAnsi="Times New Roman"/>
          <w:color w:val="000000"/>
          <w:sz w:val="32"/>
          <w:szCs w:val="32"/>
        </w:rPr>
      </w:pPr>
      <w:r>
        <w:rPr>
          <w:rFonts w:hint="eastAsia" w:ascii="仿宋_GB2312"/>
          <w:color w:val="000000"/>
          <w:sz w:val="32"/>
          <w:szCs w:val="32"/>
        </w:rPr>
        <w:t>其中，应收保费指认可资产表中</w:t>
      </w:r>
      <w:r>
        <w:rPr>
          <w:rFonts w:hint="eastAsia" w:ascii="仿宋_GB2312" w:hAnsi="Times New Roman"/>
          <w:color w:val="000000"/>
          <w:sz w:val="32"/>
          <w:szCs w:val="32"/>
        </w:rPr>
        <w:t>“</w:t>
      </w:r>
      <w:r>
        <w:rPr>
          <w:rFonts w:hint="eastAsia" w:ascii="仿宋_GB2312"/>
          <w:color w:val="000000"/>
          <w:sz w:val="32"/>
          <w:szCs w:val="32"/>
        </w:rPr>
        <w:t>应收保费</w:t>
      </w:r>
      <w:r>
        <w:rPr>
          <w:rFonts w:hint="eastAsia" w:ascii="仿宋_GB2312" w:hAnsi="Times New Roman"/>
          <w:color w:val="000000"/>
          <w:sz w:val="32"/>
          <w:szCs w:val="32"/>
        </w:rPr>
        <w:t>”</w:t>
      </w:r>
      <w:r>
        <w:rPr>
          <w:rFonts w:hint="eastAsia" w:ascii="仿宋_GB2312"/>
          <w:color w:val="000000"/>
          <w:sz w:val="32"/>
          <w:szCs w:val="32"/>
        </w:rPr>
        <w:t>的账面价值中账龄不长于</w:t>
      </w:r>
      <w:r>
        <w:rPr>
          <w:rFonts w:hint="eastAsia" w:ascii="仿宋_GB2312" w:hAnsi="Times New Roman"/>
          <w:color w:val="000000"/>
          <w:sz w:val="32"/>
          <w:szCs w:val="32"/>
        </w:rPr>
        <w:t>1</w:t>
      </w:r>
      <w:r>
        <w:rPr>
          <w:rFonts w:hint="eastAsia" w:ascii="仿宋_GB2312"/>
          <w:color w:val="000000"/>
          <w:sz w:val="32"/>
          <w:szCs w:val="32"/>
        </w:rPr>
        <w:t>年的那部分应收保费价值。</w:t>
      </w:r>
    </w:p>
    <w:p>
      <w:pPr>
        <w:spacing w:before="156" w:beforeLines="50" w:after="156" w:afterLines="50"/>
        <w:ind w:firstLine="664" w:firstLineChars="200"/>
        <w:rPr>
          <w:rFonts w:ascii="仿宋_GB2312" w:hAnsi="Times New Roman"/>
          <w:color w:val="000000"/>
          <w:sz w:val="32"/>
          <w:szCs w:val="32"/>
        </w:rPr>
      </w:pPr>
      <w:r>
        <w:rPr>
          <w:rFonts w:hint="eastAsia" w:ascii="仿宋_GB2312"/>
          <w:color w:val="000000"/>
          <w:sz w:val="32"/>
          <w:szCs w:val="32"/>
        </w:rPr>
        <w:t>应收保费率衡量财险公司及时收取保费的能力。应收保费率过高，可能导致财险公司出现现金流紧张、坏账率较高等问题，给保险公司造成较大的经营风险。根据监管要求，保险公司的应收保费率应不大于</w:t>
      </w:r>
      <w:r>
        <w:rPr>
          <w:rFonts w:hint="eastAsia" w:ascii="仿宋_GB2312" w:hAnsi="Times New Roman"/>
          <w:color w:val="000000"/>
          <w:sz w:val="32"/>
          <w:szCs w:val="32"/>
        </w:rPr>
        <w:t>8</w:t>
      </w:r>
      <w:r>
        <w:rPr>
          <w:rFonts w:hint="eastAsia" w:ascii="仿宋_GB2312"/>
          <w:color w:val="000000"/>
          <w:sz w:val="32"/>
          <w:szCs w:val="32"/>
        </w:rPr>
        <w:t>%。对财险公司进行评估，应结合监管要求、公司历史趋势及未来经营环境，合理假设其应收保费率。</w:t>
      </w:r>
    </w:p>
    <w:p>
      <w:pPr>
        <w:spacing w:before="156" w:beforeLines="50" w:after="156" w:afterLines="50"/>
        <w:ind w:left="624" w:leftChars="200"/>
        <w:outlineLvl w:val="1"/>
        <w:rPr>
          <w:rFonts w:ascii="仿宋_GB2312" w:hAnsi="Times New Roman"/>
          <w:b/>
          <w:sz w:val="32"/>
          <w:szCs w:val="32"/>
        </w:rPr>
      </w:pPr>
      <w:r>
        <w:rPr>
          <w:rFonts w:hint="eastAsia" w:ascii="仿宋_GB2312"/>
          <w:b/>
          <w:color w:val="000000"/>
          <w:sz w:val="32"/>
          <w:szCs w:val="32"/>
        </w:rPr>
        <w:t>五、寿险公司监</w:t>
      </w:r>
      <w:r>
        <w:rPr>
          <w:rFonts w:hint="eastAsia" w:ascii="仿宋_GB2312"/>
          <w:b/>
          <w:sz w:val="32"/>
          <w:szCs w:val="32"/>
        </w:rPr>
        <w:t>管指标</w:t>
      </w:r>
    </w:p>
    <w:p>
      <w:pPr>
        <w:spacing w:before="156" w:beforeLines="50" w:after="156" w:afterLines="50"/>
        <w:ind w:left="624" w:leftChars="200"/>
        <w:outlineLvl w:val="2"/>
        <w:rPr>
          <w:rFonts w:ascii="仿宋_GB2312" w:hAnsi="Times New Roman"/>
          <w:b/>
          <w:sz w:val="32"/>
          <w:szCs w:val="32"/>
        </w:rPr>
      </w:pPr>
      <w:r>
        <w:rPr>
          <w:rFonts w:hint="eastAsia" w:ascii="仿宋_GB2312"/>
          <w:b/>
          <w:sz w:val="32"/>
          <w:szCs w:val="32"/>
        </w:rPr>
        <w:t>（一）退保率</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退</w:t>
      </w:r>
      <w:r>
        <w:rPr>
          <w:rFonts w:hint="eastAsia" w:ascii="仿宋_GB2312" w:hAnsi="Times New Roman"/>
          <w:sz w:val="32"/>
          <w:szCs w:val="32"/>
        </w:rPr>
        <w:t>保率</w:t>
      </w:r>
      <w:r>
        <w:rPr>
          <w:rFonts w:hint="eastAsia" w:cs="宋体"/>
          <w:sz w:val="32"/>
          <w:szCs w:val="32"/>
        </w:rPr>
        <w:t>﹦</w:t>
      </w:r>
      <w:r>
        <w:rPr>
          <w:rFonts w:hint="eastAsia" w:ascii="仿宋_GB2312" w:hAnsi="Times New Roman"/>
          <w:sz w:val="32"/>
          <w:szCs w:val="32"/>
        </w:rPr>
        <w:t>退保金/（上</w:t>
      </w:r>
      <w:r>
        <w:rPr>
          <w:rFonts w:hint="eastAsia" w:ascii="仿宋_GB2312"/>
          <w:sz w:val="32"/>
          <w:szCs w:val="32"/>
        </w:rPr>
        <w:t>年末长期险责任准备金＋本年长期险保费收入）</w:t>
      </w:r>
      <w:r>
        <w:rPr>
          <w:rFonts w:hint="eastAsia" w:ascii="仿宋_GB2312" w:hAnsi="Times New Roman"/>
          <w:sz w:val="32"/>
          <w:szCs w:val="32"/>
        </w:rPr>
        <w:t>×100</w:t>
      </w:r>
      <w:r>
        <w:rPr>
          <w:rFonts w:hint="eastAsia" w:ascii="仿宋_GB2312"/>
          <w:sz w:val="32"/>
          <w:szCs w:val="32"/>
        </w:rPr>
        <w:t>%</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退保率衡量寿险公司的业务质量，退保率过高，则寿险公司经营业务的稳定性较差。根据监管要求，寿险公司的退保率应小于</w:t>
      </w:r>
      <w:r>
        <w:rPr>
          <w:rFonts w:hint="eastAsia" w:ascii="仿宋_GB2312" w:hAnsi="Times New Roman"/>
          <w:sz w:val="32"/>
          <w:szCs w:val="32"/>
        </w:rPr>
        <w:t>5</w:t>
      </w:r>
      <w:r>
        <w:rPr>
          <w:rFonts w:hint="eastAsia" w:ascii="仿宋_GB2312"/>
          <w:sz w:val="32"/>
          <w:szCs w:val="32"/>
        </w:rPr>
        <w:t>%。</w:t>
      </w:r>
    </w:p>
    <w:p>
      <w:pPr>
        <w:spacing w:before="156" w:beforeLines="50" w:after="156" w:afterLines="50"/>
        <w:ind w:firstLine="664" w:firstLineChars="200"/>
        <w:rPr>
          <w:rFonts w:ascii="仿宋_GB2312"/>
          <w:sz w:val="32"/>
          <w:szCs w:val="32"/>
        </w:rPr>
      </w:pPr>
      <w:r>
        <w:rPr>
          <w:rFonts w:hint="eastAsia" w:ascii="仿宋_GB2312"/>
          <w:sz w:val="32"/>
          <w:szCs w:val="32"/>
        </w:rPr>
        <w:t>影响寿险公司退保率的因素包括保险公司的保险产品质量、服务质量、投资收益率、市场其他投资产品收益率等。对寿险公司进行评估，应结合该公司历史趋势和相关影响因素，合理假设其退保率。</w:t>
      </w:r>
    </w:p>
    <w:p>
      <w:pPr>
        <w:spacing w:before="156" w:beforeLines="50" w:after="156" w:afterLines="50"/>
        <w:ind w:left="624" w:leftChars="200"/>
        <w:outlineLvl w:val="1"/>
        <w:rPr>
          <w:rFonts w:ascii="仿宋_GB2312"/>
          <w:b/>
          <w:color w:val="000000"/>
          <w:sz w:val="32"/>
          <w:szCs w:val="32"/>
        </w:rPr>
      </w:pPr>
      <w:r>
        <w:rPr>
          <w:rFonts w:hint="eastAsia" w:ascii="仿宋_GB2312"/>
          <w:b/>
          <w:color w:val="000000"/>
          <w:sz w:val="32"/>
          <w:szCs w:val="32"/>
        </w:rPr>
        <w:t>（二）评估中应关注的问题</w:t>
      </w:r>
    </w:p>
    <w:p>
      <w:pPr>
        <w:spacing w:before="156" w:beforeLines="50" w:after="156" w:afterLines="50"/>
        <w:ind w:firstLine="664" w:firstLineChars="200"/>
        <w:rPr>
          <w:rFonts w:ascii="仿宋_GB2312" w:hAnsi="Times New Roman"/>
          <w:sz w:val="32"/>
          <w:szCs w:val="32"/>
        </w:rPr>
      </w:pPr>
      <w:r>
        <w:rPr>
          <w:rFonts w:hint="eastAsia" w:ascii="仿宋_GB2312" w:hAnsi="Times New Roman"/>
          <w:sz w:val="32"/>
          <w:szCs w:val="32"/>
        </w:rPr>
        <w:t>偿付能力充足率衡量保险公司对保单持有人进行偿付的能力，反映保险公司对于经营风险的覆盖程度。对保险公司进行评估，偿付能力充足率不足或出现预警的，评估机构可以调整其预测期的发展规模，使其逐渐符合监管要求。此外，保险公司也可以通过发行新股、次级债、降低分红水平等方式对实际资本进行补充。对于偿付能力充足率不符合监管要求的保险公司，评估机构应在评估报告中披露相关风险。</w:t>
      </w:r>
    </w:p>
    <w:p>
      <w:pPr>
        <w:spacing w:before="156" w:beforeLines="50" w:after="156" w:afterLines="50"/>
        <w:ind w:firstLine="664" w:firstLineChars="200"/>
        <w:rPr>
          <w:rFonts w:ascii="仿宋_GB2312" w:hAnsi="Times New Roman"/>
          <w:sz w:val="32"/>
          <w:szCs w:val="32"/>
        </w:rPr>
      </w:pPr>
      <w:r>
        <w:rPr>
          <w:rFonts w:hint="eastAsia" w:ascii="仿宋_GB2312" w:hAnsi="Times New Roman"/>
          <w:sz w:val="32"/>
          <w:szCs w:val="32"/>
        </w:rPr>
        <w:t>综合赔付率、综合费用率和综合成本率衡量财险公司的成本控制能力，直接影响财险公司的利润表现。影响财险公司成本相关指标的因素包括保险险种、业务质量、成本控制能力等。此外，综合赔付率指标中的赔付支出主要取决于历史年度的业务状况，而已赚保费反映当期的保费收入，二者之间存在一定的不匹配，对于经营尚不稳定的财险公司，该指标的波动性可能较大。对财险公司进行评估，应关注该公司历史期间的成本费用率是否稳定，与同行业其他公司相比处于什么水平，并分析其原因，以对预测期做出合理假设。</w:t>
      </w:r>
    </w:p>
    <w:p>
      <w:pPr>
        <w:spacing w:before="156" w:beforeLines="50" w:after="156" w:afterLines="50"/>
        <w:ind w:firstLine="664" w:firstLineChars="200"/>
        <w:rPr>
          <w:rFonts w:ascii="仿宋_GB2312" w:hAnsi="Times New Roman"/>
          <w:sz w:val="32"/>
          <w:szCs w:val="32"/>
        </w:rPr>
      </w:pPr>
      <w:r>
        <w:rPr>
          <w:rFonts w:hint="eastAsia" w:ascii="仿宋_GB2312" w:hAnsi="Times New Roman"/>
          <w:sz w:val="32"/>
          <w:szCs w:val="32"/>
        </w:rPr>
        <w:t>退保率主要用于衡量寿险公司的业务情况。影响退保率指标的因素包括寿险公司业务质量、人员服务水平、市场其他投资产品收益率等。对寿险公司进行评估，应关注评估对象退保率的历史趋势，与同行业其他公司相比处于什么水平，并分析其原因，合理预测退保率。对于退保率过高的保险公司，评估机构应在评估报告中披露相关风险。</w:t>
      </w:r>
    </w:p>
    <w:p>
      <w:pPr>
        <w:widowControl w:val="0"/>
        <w:wordWrap/>
        <w:autoSpaceDE w:val="0"/>
        <w:autoSpaceDN w:val="0"/>
        <w:adjustRightInd w:val="0"/>
        <w:snapToGrid w:val="0"/>
        <w:spacing w:before="157" w:beforeLines="50" w:after="157" w:afterLines="50" w:line="588" w:lineRule="atLeast"/>
        <w:ind w:left="0" w:leftChars="0" w:right="0" w:firstLine="0" w:firstLineChars="0"/>
        <w:jc w:val="center"/>
        <w:textAlignment w:val="auto"/>
        <w:outlineLvl w:val="9"/>
        <w:rPr>
          <w:rFonts w:hint="eastAsia" w:ascii="仿宋_GB2312"/>
          <w:b/>
          <w:sz w:val="32"/>
          <w:szCs w:val="32"/>
        </w:rPr>
      </w:pPr>
      <w:r>
        <w:rPr>
          <w:rFonts w:hint="eastAsia" w:ascii="仿宋_GB2312"/>
          <w:b/>
          <w:sz w:val="32"/>
          <w:szCs w:val="32"/>
        </w:rPr>
        <w:t>第五章 信托公司</w:t>
      </w:r>
    </w:p>
    <w:p>
      <w:pPr>
        <w:spacing w:before="156" w:beforeLines="50" w:after="156" w:afterLines="50"/>
        <w:ind w:left="624" w:leftChars="200"/>
        <w:outlineLvl w:val="1"/>
        <w:rPr>
          <w:rFonts w:ascii="仿宋_GB2312" w:hAnsi="Times New Roman"/>
          <w:b/>
          <w:sz w:val="32"/>
          <w:szCs w:val="32"/>
        </w:rPr>
      </w:pPr>
      <w:r>
        <w:rPr>
          <w:rFonts w:hint="eastAsia" w:ascii="仿宋_GB2312"/>
          <w:b/>
          <w:sz w:val="32"/>
          <w:szCs w:val="32"/>
        </w:rPr>
        <w:t>一、监管机构</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信托公司开展各项经营业务，主要受中国银监会监管，上市信托公司同时受到中国证监会监管。</w:t>
      </w:r>
    </w:p>
    <w:p>
      <w:pPr>
        <w:spacing w:before="156" w:beforeLines="50" w:after="156" w:afterLines="50"/>
        <w:ind w:left="624" w:leftChars="200"/>
        <w:outlineLvl w:val="1"/>
        <w:rPr>
          <w:rFonts w:ascii="仿宋_GB2312"/>
          <w:b/>
          <w:sz w:val="32"/>
          <w:szCs w:val="32"/>
        </w:rPr>
      </w:pPr>
      <w:r>
        <w:rPr>
          <w:rFonts w:hint="eastAsia" w:ascii="仿宋_GB2312"/>
          <w:b/>
          <w:sz w:val="32"/>
          <w:szCs w:val="32"/>
        </w:rPr>
        <w:t>二、信托公司分级监管</w:t>
      </w:r>
    </w:p>
    <w:p>
      <w:pPr>
        <w:spacing w:before="156" w:beforeLines="50" w:after="156" w:afterLines="50"/>
        <w:ind w:left="624" w:leftChars="200"/>
        <w:outlineLvl w:val="2"/>
        <w:rPr>
          <w:rFonts w:ascii="仿宋_GB2312" w:hAnsi="Times New Roman"/>
          <w:b/>
          <w:sz w:val="32"/>
          <w:szCs w:val="32"/>
        </w:rPr>
      </w:pPr>
      <w:r>
        <w:rPr>
          <w:rFonts w:hint="eastAsia" w:ascii="仿宋_GB2312"/>
          <w:b/>
          <w:sz w:val="32"/>
          <w:szCs w:val="32"/>
        </w:rPr>
        <w:t>（一）监管评级</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中国银监会以公司治理、内部控制、合规管理、资产管理和盈利能力等五个方面为基础，对我国信托公司进行评级。单项要素的评级结果根据定量指标和定性因素的得分情况划分为</w:t>
      </w:r>
      <w:r>
        <w:rPr>
          <w:rFonts w:hint="eastAsia" w:ascii="仿宋_GB2312" w:hAnsi="Times New Roman"/>
          <w:sz w:val="32"/>
          <w:szCs w:val="32"/>
        </w:rPr>
        <w:t>1-6</w:t>
      </w:r>
      <w:r>
        <w:rPr>
          <w:rFonts w:hint="eastAsia" w:ascii="仿宋_GB2312"/>
          <w:sz w:val="32"/>
          <w:szCs w:val="32"/>
        </w:rPr>
        <w:t>级，综合评级根据各要素的重要性和级别情况确定为</w:t>
      </w:r>
      <w:r>
        <w:rPr>
          <w:rFonts w:hint="eastAsia" w:ascii="仿宋_GB2312" w:hAnsi="Times New Roman"/>
          <w:sz w:val="32"/>
          <w:szCs w:val="32"/>
        </w:rPr>
        <w:t>1-6</w:t>
      </w:r>
      <w:r>
        <w:rPr>
          <w:rFonts w:hint="eastAsia" w:ascii="仿宋_GB2312"/>
          <w:sz w:val="32"/>
          <w:szCs w:val="32"/>
        </w:rPr>
        <w:t>级，每个级别分别设</w:t>
      </w:r>
      <w:r>
        <w:rPr>
          <w:rFonts w:hint="eastAsia" w:ascii="仿宋_GB2312" w:hAnsi="Times New Roman"/>
          <w:sz w:val="32"/>
          <w:szCs w:val="32"/>
        </w:rPr>
        <w:t>A</w:t>
      </w:r>
      <w:r>
        <w:rPr>
          <w:rFonts w:hint="eastAsia" w:ascii="仿宋_GB2312"/>
          <w:sz w:val="32"/>
          <w:szCs w:val="32"/>
        </w:rPr>
        <w:t>、</w:t>
      </w:r>
      <w:r>
        <w:rPr>
          <w:rFonts w:hint="eastAsia" w:ascii="仿宋_GB2312" w:hAnsi="Times New Roman"/>
          <w:sz w:val="32"/>
          <w:szCs w:val="32"/>
        </w:rPr>
        <w:t>B</w:t>
      </w:r>
      <w:r>
        <w:rPr>
          <w:rFonts w:hint="eastAsia" w:ascii="仿宋_GB2312"/>
          <w:sz w:val="32"/>
          <w:szCs w:val="32"/>
        </w:rPr>
        <w:t>、</w:t>
      </w:r>
      <w:r>
        <w:rPr>
          <w:rFonts w:hint="eastAsia" w:ascii="仿宋_GB2312" w:hAnsi="Times New Roman"/>
          <w:sz w:val="32"/>
          <w:szCs w:val="32"/>
        </w:rPr>
        <w:t>C</w:t>
      </w:r>
      <w:r>
        <w:rPr>
          <w:rFonts w:hint="eastAsia" w:ascii="仿宋_GB2312"/>
          <w:sz w:val="32"/>
          <w:szCs w:val="32"/>
        </w:rPr>
        <w:t>三档。</w:t>
      </w:r>
    </w:p>
    <w:p>
      <w:pPr>
        <w:spacing w:before="156" w:beforeLines="50" w:after="156" w:afterLines="50"/>
        <w:ind w:left="624" w:leftChars="200"/>
        <w:outlineLvl w:val="2"/>
        <w:rPr>
          <w:rFonts w:ascii="仿宋_GB2312"/>
          <w:b/>
          <w:sz w:val="32"/>
          <w:szCs w:val="32"/>
        </w:rPr>
      </w:pPr>
      <w:r>
        <w:rPr>
          <w:rFonts w:hint="eastAsia" w:ascii="仿宋_GB2312"/>
          <w:b/>
          <w:sz w:val="32"/>
          <w:szCs w:val="32"/>
        </w:rPr>
        <w:t>（二）评级指标</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信托公司评级指标包括定性指标和定量指标，定量指标包括资产管理定量指标和盈利能力定量指标。</w:t>
      </w:r>
    </w:p>
    <w:p>
      <w:pPr>
        <w:spacing w:before="156" w:beforeLines="50" w:after="156" w:afterLines="50"/>
        <w:ind w:firstLine="664" w:firstLineChars="200"/>
        <w:rPr>
          <w:rFonts w:ascii="仿宋_GB2312"/>
          <w:sz w:val="32"/>
          <w:szCs w:val="32"/>
        </w:rPr>
      </w:pPr>
      <w:r>
        <w:rPr>
          <w:rFonts w:hint="eastAsia" w:ascii="仿宋_GB2312"/>
          <w:sz w:val="32"/>
          <w:szCs w:val="32"/>
        </w:rPr>
        <w:t>1.资产管理定量指标</w:t>
      </w:r>
    </w:p>
    <w:tbl>
      <w:tblPr>
        <w:tblStyle w:val="25"/>
        <w:tblW w:w="7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2943" w:type="dxa"/>
            <w:vAlign w:val="center"/>
          </w:tcPr>
          <w:p>
            <w:pPr>
              <w:spacing w:before="31" w:beforeLines="10" w:after="31" w:afterLines="10" w:line="320" w:lineRule="exact"/>
              <w:jc w:val="center"/>
              <w:rPr>
                <w:rFonts w:ascii="仿宋_GB2312" w:hAnsi="Times New Roman"/>
                <w:b/>
                <w:sz w:val="28"/>
                <w:szCs w:val="28"/>
              </w:rPr>
            </w:pPr>
            <w:r>
              <w:rPr>
                <w:rFonts w:hint="eastAsia" w:ascii="仿宋_GB2312" w:hAnsi="Times New Roman"/>
                <w:b/>
                <w:sz w:val="28"/>
                <w:szCs w:val="28"/>
              </w:rPr>
              <w:t>资产管理能力</w:t>
            </w:r>
          </w:p>
        </w:tc>
        <w:tc>
          <w:tcPr>
            <w:tcW w:w="4111" w:type="dxa"/>
            <w:vAlign w:val="top"/>
          </w:tcPr>
          <w:p>
            <w:pPr>
              <w:spacing w:before="31" w:beforeLines="10" w:after="31" w:afterLines="10" w:line="320" w:lineRule="exact"/>
              <w:jc w:val="center"/>
              <w:rPr>
                <w:rFonts w:ascii="仿宋_GB2312"/>
                <w:b/>
                <w:sz w:val="28"/>
                <w:szCs w:val="28"/>
              </w:rPr>
            </w:pPr>
            <w:r>
              <w:rPr>
                <w:rFonts w:hint="eastAsia" w:ascii="仿宋_GB2312"/>
                <w:b/>
                <w:sz w:val="28"/>
                <w:szCs w:val="28"/>
              </w:rPr>
              <w:t>指标名称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43" w:type="dxa"/>
            <w:vAlign w:val="center"/>
          </w:tcPr>
          <w:p>
            <w:pPr>
              <w:spacing w:before="31" w:beforeLines="10" w:after="31" w:afterLines="10" w:line="320" w:lineRule="exact"/>
              <w:jc w:val="center"/>
              <w:rPr>
                <w:rFonts w:ascii="仿宋_GB2312" w:hAnsi="Times New Roman"/>
                <w:sz w:val="28"/>
                <w:szCs w:val="28"/>
              </w:rPr>
            </w:pPr>
            <w:r>
              <w:rPr>
                <w:rFonts w:hint="eastAsia" w:ascii="仿宋_GB2312" w:hAnsi="Times New Roman"/>
                <w:sz w:val="28"/>
                <w:szCs w:val="28"/>
              </w:rPr>
              <w:t>综合管理能力</w:t>
            </w:r>
          </w:p>
        </w:tc>
        <w:tc>
          <w:tcPr>
            <w:tcW w:w="4111" w:type="dxa"/>
            <w:vAlign w:val="top"/>
          </w:tcPr>
          <w:p>
            <w:pPr>
              <w:spacing w:before="31" w:beforeLines="10" w:after="31" w:afterLines="10" w:line="320" w:lineRule="exact"/>
              <w:rPr>
                <w:rFonts w:ascii="仿宋_GB2312" w:hAnsi="Times New Roman"/>
                <w:sz w:val="28"/>
                <w:szCs w:val="28"/>
              </w:rPr>
            </w:pPr>
            <w:r>
              <w:rPr>
                <w:rFonts w:hint="eastAsia" w:ascii="仿宋_GB2312"/>
                <w:sz w:val="28"/>
                <w:szCs w:val="28"/>
              </w:rPr>
              <w:t>净资本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43" w:type="dxa"/>
            <w:vMerge w:val="restart"/>
            <w:vAlign w:val="center"/>
          </w:tcPr>
          <w:p>
            <w:pPr>
              <w:spacing w:before="31" w:beforeLines="10" w:after="31" w:afterLines="10" w:line="320" w:lineRule="exact"/>
              <w:jc w:val="center"/>
              <w:rPr>
                <w:rFonts w:ascii="仿宋_GB2312" w:hAnsi="Times New Roman"/>
                <w:sz w:val="28"/>
                <w:szCs w:val="28"/>
              </w:rPr>
            </w:pPr>
            <w:r>
              <w:rPr>
                <w:rFonts w:hint="eastAsia" w:ascii="仿宋_GB2312"/>
                <w:sz w:val="28"/>
                <w:szCs w:val="28"/>
              </w:rPr>
              <w:t>信托业务综合管理能力</w:t>
            </w:r>
          </w:p>
        </w:tc>
        <w:tc>
          <w:tcPr>
            <w:tcW w:w="4111" w:type="dxa"/>
            <w:vAlign w:val="top"/>
          </w:tcPr>
          <w:p>
            <w:pPr>
              <w:spacing w:before="31" w:beforeLines="10" w:after="31" w:afterLines="10" w:line="320" w:lineRule="exact"/>
              <w:rPr>
                <w:rFonts w:ascii="仿宋_GB2312" w:hAnsi="Times New Roman"/>
                <w:sz w:val="28"/>
                <w:szCs w:val="28"/>
              </w:rPr>
            </w:pPr>
            <w:r>
              <w:rPr>
                <w:rFonts w:hint="eastAsia" w:ascii="仿宋_GB2312"/>
                <w:sz w:val="28"/>
                <w:szCs w:val="28"/>
              </w:rPr>
              <w:t>信托业务规模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2943" w:type="dxa"/>
            <w:vMerge w:val="continue"/>
            <w:vAlign w:val="center"/>
          </w:tcPr>
          <w:p>
            <w:pPr>
              <w:spacing w:before="31" w:beforeLines="10" w:after="31" w:afterLines="10" w:line="320" w:lineRule="exact"/>
              <w:jc w:val="center"/>
              <w:outlineLvl w:val="9"/>
              <w:rPr>
                <w:rFonts w:ascii="仿宋_GB2312" w:hAnsi="Times New Roman" w:cs="黑体"/>
                <w:b/>
                <w:bCs/>
                <w:sz w:val="28"/>
                <w:szCs w:val="28"/>
              </w:rPr>
            </w:pPr>
          </w:p>
        </w:tc>
        <w:tc>
          <w:tcPr>
            <w:tcW w:w="4111" w:type="dxa"/>
            <w:vAlign w:val="top"/>
          </w:tcPr>
          <w:p>
            <w:pPr>
              <w:spacing w:before="31" w:beforeLines="10" w:after="31" w:afterLines="10" w:line="320" w:lineRule="exact"/>
              <w:rPr>
                <w:rFonts w:ascii="仿宋_GB2312" w:hAnsi="Times New Roman"/>
                <w:sz w:val="28"/>
                <w:szCs w:val="28"/>
              </w:rPr>
            </w:pPr>
            <w:r>
              <w:rPr>
                <w:rFonts w:hint="eastAsia" w:ascii="仿宋_GB2312"/>
                <w:sz w:val="28"/>
                <w:szCs w:val="28"/>
              </w:rPr>
              <w:t>信托业务收入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43" w:type="dxa"/>
            <w:vMerge w:val="continue"/>
            <w:vAlign w:val="center"/>
          </w:tcPr>
          <w:p>
            <w:pPr>
              <w:spacing w:before="31" w:beforeLines="10" w:after="31" w:afterLines="10" w:line="320" w:lineRule="exact"/>
              <w:jc w:val="center"/>
              <w:outlineLvl w:val="9"/>
              <w:rPr>
                <w:rFonts w:ascii="仿宋_GB2312" w:hAnsi="Times New Roman" w:cs="黑体"/>
                <w:b/>
                <w:bCs/>
                <w:sz w:val="28"/>
                <w:szCs w:val="28"/>
              </w:rPr>
            </w:pPr>
          </w:p>
        </w:tc>
        <w:tc>
          <w:tcPr>
            <w:tcW w:w="4111" w:type="dxa"/>
            <w:vAlign w:val="top"/>
          </w:tcPr>
          <w:p>
            <w:pPr>
              <w:spacing w:before="31" w:beforeLines="10" w:after="31" w:afterLines="10" w:line="320" w:lineRule="exact"/>
              <w:rPr>
                <w:rFonts w:ascii="仿宋_GB2312" w:hAnsi="Times New Roman"/>
                <w:sz w:val="28"/>
                <w:szCs w:val="28"/>
              </w:rPr>
            </w:pPr>
            <w:r>
              <w:rPr>
                <w:rFonts w:hint="eastAsia" w:ascii="仿宋_GB2312"/>
                <w:sz w:val="28"/>
                <w:szCs w:val="28"/>
              </w:rPr>
              <w:t>信托规模增长率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43" w:type="dxa"/>
            <w:vMerge w:val="continue"/>
            <w:vAlign w:val="center"/>
          </w:tcPr>
          <w:p>
            <w:pPr>
              <w:spacing w:before="31" w:beforeLines="10" w:after="31" w:afterLines="10" w:line="320" w:lineRule="exact"/>
              <w:jc w:val="center"/>
              <w:outlineLvl w:val="9"/>
              <w:rPr>
                <w:rFonts w:ascii="仿宋_GB2312" w:hAnsi="Times New Roman" w:cs="黑体"/>
                <w:b/>
                <w:bCs/>
                <w:sz w:val="28"/>
                <w:szCs w:val="28"/>
              </w:rPr>
            </w:pPr>
          </w:p>
        </w:tc>
        <w:tc>
          <w:tcPr>
            <w:tcW w:w="4111" w:type="dxa"/>
            <w:vAlign w:val="top"/>
          </w:tcPr>
          <w:p>
            <w:pPr>
              <w:spacing w:before="31" w:beforeLines="10" w:after="31" w:afterLines="10" w:line="320" w:lineRule="exact"/>
              <w:rPr>
                <w:rFonts w:ascii="仿宋_GB2312" w:hAnsi="Times New Roman"/>
                <w:sz w:val="28"/>
                <w:szCs w:val="28"/>
              </w:rPr>
            </w:pPr>
            <w:r>
              <w:rPr>
                <w:rFonts w:hint="eastAsia" w:ascii="仿宋_GB2312"/>
                <w:sz w:val="28"/>
                <w:szCs w:val="28"/>
              </w:rPr>
              <w:t>融资类业务收益水平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43" w:type="dxa"/>
            <w:vMerge w:val="continue"/>
            <w:vAlign w:val="center"/>
          </w:tcPr>
          <w:p>
            <w:pPr>
              <w:spacing w:before="31" w:beforeLines="10" w:after="31" w:afterLines="10" w:line="320" w:lineRule="exact"/>
              <w:jc w:val="center"/>
              <w:outlineLvl w:val="9"/>
              <w:rPr>
                <w:rFonts w:ascii="仿宋_GB2312" w:hAnsi="Times New Roman" w:cs="黑体"/>
                <w:b/>
                <w:bCs/>
                <w:sz w:val="28"/>
                <w:szCs w:val="28"/>
              </w:rPr>
            </w:pPr>
          </w:p>
        </w:tc>
        <w:tc>
          <w:tcPr>
            <w:tcW w:w="4111" w:type="dxa"/>
            <w:vAlign w:val="top"/>
          </w:tcPr>
          <w:p>
            <w:pPr>
              <w:spacing w:before="31" w:beforeLines="10" w:after="31" w:afterLines="10" w:line="320" w:lineRule="exact"/>
              <w:rPr>
                <w:rFonts w:ascii="仿宋_GB2312" w:hAnsi="Times New Roman"/>
                <w:sz w:val="28"/>
                <w:szCs w:val="28"/>
              </w:rPr>
            </w:pPr>
            <w:r>
              <w:rPr>
                <w:rFonts w:hint="eastAsia" w:ascii="仿宋_GB2312"/>
                <w:sz w:val="28"/>
                <w:szCs w:val="28"/>
              </w:rPr>
              <w:t>投资类业务收益水平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2943" w:type="dxa"/>
            <w:vMerge w:val="restart"/>
            <w:vAlign w:val="center"/>
          </w:tcPr>
          <w:p>
            <w:pPr>
              <w:spacing w:before="31" w:beforeLines="10" w:after="31" w:afterLines="10" w:line="320" w:lineRule="exact"/>
              <w:jc w:val="center"/>
              <w:rPr>
                <w:rFonts w:ascii="仿宋_GB2312" w:hAnsi="Times New Roman"/>
                <w:sz w:val="28"/>
                <w:szCs w:val="28"/>
              </w:rPr>
            </w:pPr>
            <w:r>
              <w:rPr>
                <w:rFonts w:hint="eastAsia" w:ascii="仿宋_GB2312"/>
                <w:sz w:val="28"/>
                <w:szCs w:val="28"/>
              </w:rPr>
              <w:t>固有业务管理能力</w:t>
            </w:r>
          </w:p>
        </w:tc>
        <w:tc>
          <w:tcPr>
            <w:tcW w:w="4111" w:type="dxa"/>
            <w:vAlign w:val="top"/>
          </w:tcPr>
          <w:p>
            <w:pPr>
              <w:spacing w:before="31" w:beforeLines="10" w:after="31" w:afterLines="10" w:line="320" w:lineRule="exact"/>
              <w:rPr>
                <w:rFonts w:ascii="仿宋_GB2312" w:hAnsi="Times New Roman"/>
                <w:sz w:val="28"/>
                <w:szCs w:val="28"/>
              </w:rPr>
            </w:pPr>
            <w:r>
              <w:rPr>
                <w:rFonts w:hint="eastAsia" w:ascii="仿宋_GB2312"/>
                <w:sz w:val="28"/>
                <w:szCs w:val="28"/>
              </w:rPr>
              <w:t>不良资产率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43" w:type="dxa"/>
            <w:vMerge w:val="continue"/>
            <w:vAlign w:val="top"/>
          </w:tcPr>
          <w:p>
            <w:pPr>
              <w:spacing w:before="31" w:beforeLines="10" w:after="31" w:afterLines="10" w:line="320" w:lineRule="exact"/>
              <w:outlineLvl w:val="9"/>
              <w:rPr>
                <w:rFonts w:ascii="仿宋_GB2312" w:hAnsi="Times New Roman" w:cs="黑体"/>
                <w:b/>
                <w:bCs/>
                <w:sz w:val="28"/>
                <w:szCs w:val="28"/>
              </w:rPr>
            </w:pPr>
          </w:p>
        </w:tc>
        <w:tc>
          <w:tcPr>
            <w:tcW w:w="4111" w:type="dxa"/>
            <w:vAlign w:val="top"/>
          </w:tcPr>
          <w:p>
            <w:pPr>
              <w:spacing w:before="31" w:beforeLines="10" w:after="31" w:afterLines="10" w:line="320" w:lineRule="exact"/>
              <w:rPr>
                <w:rFonts w:ascii="仿宋_GB2312" w:hAnsi="Times New Roman"/>
                <w:sz w:val="28"/>
                <w:szCs w:val="28"/>
              </w:rPr>
            </w:pPr>
            <w:r>
              <w:rPr>
                <w:rFonts w:hint="eastAsia" w:ascii="仿宋_GB2312"/>
                <w:sz w:val="28"/>
                <w:szCs w:val="28"/>
              </w:rPr>
              <w:t>不良资产余额变化情况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943" w:type="dxa"/>
            <w:vMerge w:val="continue"/>
            <w:vAlign w:val="top"/>
          </w:tcPr>
          <w:p>
            <w:pPr>
              <w:spacing w:before="31" w:beforeLines="10" w:after="31" w:afterLines="10" w:line="320" w:lineRule="exact"/>
              <w:outlineLvl w:val="9"/>
              <w:rPr>
                <w:rFonts w:ascii="仿宋_GB2312" w:hAnsi="Times New Roman" w:cs="黑体"/>
                <w:b/>
                <w:bCs/>
                <w:sz w:val="28"/>
                <w:szCs w:val="28"/>
              </w:rPr>
            </w:pPr>
          </w:p>
        </w:tc>
        <w:tc>
          <w:tcPr>
            <w:tcW w:w="4111" w:type="dxa"/>
            <w:vAlign w:val="top"/>
          </w:tcPr>
          <w:p>
            <w:pPr>
              <w:spacing w:before="31" w:beforeLines="10" w:after="31" w:afterLines="10" w:line="320" w:lineRule="exact"/>
              <w:rPr>
                <w:rFonts w:ascii="仿宋_GB2312" w:hAnsi="Times New Roman"/>
                <w:sz w:val="28"/>
                <w:szCs w:val="28"/>
              </w:rPr>
            </w:pPr>
            <w:r>
              <w:rPr>
                <w:rFonts w:hint="eastAsia" w:ascii="仿宋_GB2312"/>
                <w:sz w:val="28"/>
                <w:szCs w:val="28"/>
              </w:rPr>
              <w:t>新发生不良资产</w:t>
            </w:r>
          </w:p>
        </w:tc>
      </w:tr>
    </w:tbl>
    <w:p>
      <w:pPr>
        <w:widowControl w:val="0"/>
        <w:wordWrap/>
        <w:autoSpaceDE w:val="0"/>
        <w:autoSpaceDN w:val="0"/>
        <w:adjustRightInd w:val="0"/>
        <w:snapToGrid w:val="0"/>
        <w:spacing w:before="157" w:beforeLines="50" w:after="157" w:afterLines="50" w:line="320" w:lineRule="exact"/>
        <w:ind w:left="0" w:leftChars="0" w:right="0" w:firstLine="664" w:firstLineChars="200"/>
        <w:jc w:val="both"/>
        <w:textAlignment w:val="auto"/>
        <w:outlineLvl w:val="9"/>
        <w:rPr>
          <w:rFonts w:ascii="仿宋_GB2312" w:hAnsi="Times New Roman"/>
          <w:sz w:val="32"/>
          <w:szCs w:val="32"/>
        </w:rPr>
      </w:pPr>
      <w:r>
        <w:rPr>
          <w:rFonts w:hint="eastAsia" w:ascii="仿宋_GB2312"/>
          <w:sz w:val="32"/>
          <w:szCs w:val="32"/>
        </w:rPr>
        <w:t>2.盈利能力定量指标</w:t>
      </w:r>
    </w:p>
    <w:tbl>
      <w:tblPr>
        <w:tblStyle w:val="25"/>
        <w:tblW w:w="85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53"/>
        <w:gridCol w:w="2650"/>
        <w:gridCol w:w="40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blHeader/>
        </w:trPr>
        <w:tc>
          <w:tcPr>
            <w:tcW w:w="1853" w:type="dxa"/>
            <w:vAlign w:val="center"/>
          </w:tcPr>
          <w:p>
            <w:pPr>
              <w:spacing w:before="31" w:beforeLines="10" w:after="31" w:afterLines="10" w:line="320" w:lineRule="exact"/>
              <w:jc w:val="center"/>
              <w:rPr>
                <w:rFonts w:ascii="仿宋_GB2312"/>
                <w:b/>
                <w:sz w:val="28"/>
                <w:szCs w:val="28"/>
              </w:rPr>
            </w:pPr>
            <w:r>
              <w:rPr>
                <w:rFonts w:hint="eastAsia" w:ascii="仿宋_GB2312"/>
                <w:b/>
                <w:sz w:val="28"/>
                <w:szCs w:val="28"/>
              </w:rPr>
              <w:t>盈利能力</w:t>
            </w:r>
          </w:p>
        </w:tc>
        <w:tc>
          <w:tcPr>
            <w:tcW w:w="2650" w:type="dxa"/>
            <w:vAlign w:val="top"/>
          </w:tcPr>
          <w:p>
            <w:pPr>
              <w:spacing w:before="31" w:beforeLines="10" w:after="31" w:afterLines="10" w:line="320" w:lineRule="exact"/>
              <w:jc w:val="center"/>
              <w:rPr>
                <w:rFonts w:ascii="仿宋_GB2312"/>
                <w:b/>
                <w:sz w:val="28"/>
                <w:szCs w:val="28"/>
              </w:rPr>
            </w:pPr>
            <w:r>
              <w:rPr>
                <w:rFonts w:hint="eastAsia" w:ascii="仿宋_GB2312"/>
                <w:b/>
                <w:sz w:val="28"/>
                <w:szCs w:val="28"/>
              </w:rPr>
              <w:t>指标名称</w:t>
            </w:r>
          </w:p>
        </w:tc>
        <w:tc>
          <w:tcPr>
            <w:tcW w:w="4019" w:type="dxa"/>
            <w:vAlign w:val="top"/>
          </w:tcPr>
          <w:p>
            <w:pPr>
              <w:spacing w:before="31" w:beforeLines="10" w:after="31" w:afterLines="10" w:line="320" w:lineRule="exact"/>
              <w:jc w:val="center"/>
              <w:rPr>
                <w:rFonts w:ascii="仿宋_GB2312"/>
                <w:b/>
                <w:sz w:val="28"/>
                <w:szCs w:val="28"/>
              </w:rPr>
            </w:pPr>
            <w:r>
              <w:rPr>
                <w:rFonts w:hint="eastAsia" w:ascii="仿宋_GB2312"/>
                <w:b/>
                <w:sz w:val="28"/>
                <w:szCs w:val="28"/>
              </w:rPr>
              <w:t>指标计算公式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853" w:type="dxa"/>
            <w:vMerge w:val="restart"/>
            <w:vAlign w:val="center"/>
          </w:tcPr>
          <w:p>
            <w:pPr>
              <w:spacing w:before="31" w:beforeLines="10" w:after="31" w:afterLines="10" w:line="320" w:lineRule="exact"/>
              <w:jc w:val="center"/>
              <w:rPr>
                <w:rFonts w:ascii="仿宋_GB2312" w:hAnsi="Times New Roman"/>
                <w:sz w:val="28"/>
                <w:szCs w:val="28"/>
              </w:rPr>
            </w:pPr>
            <w:r>
              <w:rPr>
                <w:rFonts w:hint="eastAsia" w:ascii="仿宋_GB2312"/>
                <w:sz w:val="28"/>
                <w:szCs w:val="28"/>
              </w:rPr>
              <w:t>综合盈利</w:t>
            </w:r>
          </w:p>
          <w:p>
            <w:pPr>
              <w:spacing w:before="31" w:beforeLines="10" w:after="31" w:afterLines="10" w:line="320" w:lineRule="exact"/>
              <w:jc w:val="center"/>
              <w:rPr>
                <w:rFonts w:ascii="仿宋_GB2312" w:hAnsi="Times New Roman"/>
                <w:sz w:val="28"/>
                <w:szCs w:val="28"/>
              </w:rPr>
            </w:pPr>
            <w:r>
              <w:rPr>
                <w:rFonts w:hint="eastAsia" w:ascii="仿宋_GB2312"/>
                <w:sz w:val="28"/>
                <w:szCs w:val="28"/>
              </w:rPr>
              <w:t>能力指标</w:t>
            </w:r>
          </w:p>
        </w:tc>
        <w:tc>
          <w:tcPr>
            <w:tcW w:w="2650" w:type="dxa"/>
            <w:vAlign w:val="top"/>
          </w:tcPr>
          <w:p>
            <w:pPr>
              <w:spacing w:before="31" w:beforeLines="10" w:after="31" w:afterLines="10" w:line="320" w:lineRule="exact"/>
              <w:rPr>
                <w:rFonts w:ascii="仿宋_GB2312" w:hAnsi="Times New Roman"/>
                <w:sz w:val="28"/>
                <w:szCs w:val="28"/>
              </w:rPr>
            </w:pPr>
            <w:r>
              <w:rPr>
                <w:rFonts w:hint="eastAsia" w:ascii="仿宋_GB2312"/>
                <w:sz w:val="28"/>
                <w:szCs w:val="28"/>
              </w:rPr>
              <w:t>净资产收益率</w:t>
            </w:r>
          </w:p>
        </w:tc>
        <w:tc>
          <w:tcPr>
            <w:tcW w:w="4019" w:type="dxa"/>
            <w:vAlign w:val="top"/>
          </w:tcPr>
          <w:p>
            <w:pPr>
              <w:spacing w:before="31" w:beforeLines="10" w:after="31" w:afterLines="10" w:line="320" w:lineRule="exact"/>
              <w:rPr>
                <w:rFonts w:ascii="仿宋_GB2312" w:hAnsi="Times New Roman"/>
                <w:sz w:val="28"/>
                <w:szCs w:val="28"/>
              </w:rPr>
            </w:pPr>
            <w:r>
              <w:rPr>
                <w:rFonts w:hint="eastAsia" w:ascii="仿宋_GB2312"/>
                <w:sz w:val="28"/>
                <w:szCs w:val="28"/>
              </w:rPr>
              <w:t>净利润</w:t>
            </w:r>
            <w:r>
              <w:rPr>
                <w:rFonts w:hint="eastAsia" w:ascii="仿宋_GB2312" w:hAnsi="Times New Roman"/>
                <w:sz w:val="28"/>
                <w:szCs w:val="28"/>
              </w:rPr>
              <w:t>/</w:t>
            </w:r>
            <w:r>
              <w:rPr>
                <w:rFonts w:hint="eastAsia" w:ascii="仿宋_GB2312"/>
                <w:sz w:val="28"/>
                <w:szCs w:val="28"/>
              </w:rPr>
              <w:t>所有者权益平均余额</w:t>
            </w:r>
            <w:r>
              <w:rPr>
                <w:rFonts w:hint="eastAsia" w:ascii="仿宋_GB2312" w:hAnsi="Times New Roman"/>
                <w:sz w:val="28"/>
                <w:szCs w:val="28"/>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853" w:type="dxa"/>
            <w:vMerge w:val="continue"/>
            <w:vAlign w:val="center"/>
          </w:tcPr>
          <w:p>
            <w:pPr>
              <w:spacing w:before="31" w:beforeLines="10" w:after="31" w:afterLines="10" w:line="320" w:lineRule="exact"/>
              <w:jc w:val="center"/>
              <w:outlineLvl w:val="9"/>
              <w:rPr>
                <w:rFonts w:ascii="仿宋_GB2312" w:hAnsi="Times New Roman" w:cs="黑体"/>
                <w:b/>
                <w:bCs/>
                <w:sz w:val="28"/>
                <w:szCs w:val="28"/>
              </w:rPr>
            </w:pPr>
          </w:p>
        </w:tc>
        <w:tc>
          <w:tcPr>
            <w:tcW w:w="2650" w:type="dxa"/>
            <w:vAlign w:val="top"/>
          </w:tcPr>
          <w:p>
            <w:pPr>
              <w:spacing w:before="31" w:beforeLines="10" w:after="31" w:afterLines="10" w:line="320" w:lineRule="exact"/>
              <w:rPr>
                <w:rFonts w:ascii="仿宋_GB2312" w:hAnsi="Times New Roman"/>
                <w:sz w:val="28"/>
                <w:szCs w:val="28"/>
              </w:rPr>
            </w:pPr>
            <w:r>
              <w:rPr>
                <w:rFonts w:hint="eastAsia" w:ascii="仿宋_GB2312"/>
                <w:sz w:val="28"/>
                <w:szCs w:val="28"/>
              </w:rPr>
              <w:t>净资产收益增长率</w:t>
            </w:r>
          </w:p>
        </w:tc>
        <w:tc>
          <w:tcPr>
            <w:tcW w:w="4019" w:type="dxa"/>
            <w:vAlign w:val="top"/>
          </w:tcPr>
          <w:p>
            <w:pPr>
              <w:spacing w:before="31" w:beforeLines="10" w:after="31" w:afterLines="10" w:line="320" w:lineRule="exact"/>
              <w:rPr>
                <w:rFonts w:ascii="仿宋_GB2312" w:hAnsi="Times New Roman"/>
                <w:sz w:val="28"/>
                <w:szCs w:val="28"/>
              </w:rPr>
            </w:pPr>
            <w:r>
              <w:rPr>
                <w:rFonts w:hint="eastAsia" w:ascii="仿宋_GB2312"/>
                <w:sz w:val="28"/>
                <w:szCs w:val="28"/>
              </w:rPr>
              <w:t>（本年净资产收益率</w:t>
            </w:r>
            <w:r>
              <w:rPr>
                <w:rFonts w:hint="eastAsia" w:ascii="仿宋_GB2312" w:hAnsi="Times New Roman"/>
                <w:sz w:val="28"/>
                <w:szCs w:val="28"/>
              </w:rPr>
              <w:t>/</w:t>
            </w:r>
            <w:r>
              <w:rPr>
                <w:rFonts w:hint="eastAsia" w:ascii="仿宋_GB2312"/>
                <w:sz w:val="28"/>
                <w:szCs w:val="28"/>
              </w:rPr>
              <w:t>上年净资产收益率-</w:t>
            </w:r>
            <w:r>
              <w:rPr>
                <w:rFonts w:hint="eastAsia" w:ascii="仿宋_GB2312" w:hAnsi="Times New Roman"/>
                <w:sz w:val="28"/>
                <w:szCs w:val="28"/>
              </w:rPr>
              <w:t>1</w:t>
            </w:r>
            <w:r>
              <w:rPr>
                <w:rFonts w:hint="eastAsia" w:ascii="仿宋_GB2312"/>
                <w:sz w:val="28"/>
                <w:szCs w:val="28"/>
              </w:rPr>
              <w:t>）</w:t>
            </w:r>
            <w:r>
              <w:rPr>
                <w:rFonts w:hint="eastAsia" w:ascii="仿宋_GB2312" w:hAnsi="Times New Roman"/>
                <w:sz w:val="28"/>
                <w:szCs w:val="28"/>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853" w:type="dxa"/>
            <w:vMerge w:val="continue"/>
            <w:vAlign w:val="center"/>
          </w:tcPr>
          <w:p>
            <w:pPr>
              <w:spacing w:before="31" w:beforeLines="10" w:after="31" w:afterLines="10" w:line="320" w:lineRule="exact"/>
              <w:jc w:val="center"/>
              <w:outlineLvl w:val="9"/>
              <w:rPr>
                <w:rFonts w:ascii="仿宋_GB2312" w:hAnsi="Times New Roman" w:cs="黑体"/>
                <w:b/>
                <w:bCs/>
                <w:sz w:val="28"/>
                <w:szCs w:val="28"/>
              </w:rPr>
            </w:pPr>
          </w:p>
        </w:tc>
        <w:tc>
          <w:tcPr>
            <w:tcW w:w="2650" w:type="dxa"/>
            <w:vAlign w:val="top"/>
          </w:tcPr>
          <w:p>
            <w:pPr>
              <w:spacing w:before="31" w:beforeLines="10" w:after="31" w:afterLines="10" w:line="320" w:lineRule="exact"/>
              <w:rPr>
                <w:rFonts w:ascii="仿宋_GB2312" w:hAnsi="Times New Roman"/>
                <w:sz w:val="28"/>
                <w:szCs w:val="28"/>
              </w:rPr>
            </w:pPr>
            <w:r>
              <w:rPr>
                <w:rFonts w:hint="eastAsia" w:ascii="仿宋_GB2312"/>
                <w:sz w:val="28"/>
                <w:szCs w:val="28"/>
              </w:rPr>
              <w:t>成本收入比率</w:t>
            </w:r>
          </w:p>
        </w:tc>
        <w:tc>
          <w:tcPr>
            <w:tcW w:w="4019" w:type="dxa"/>
            <w:vAlign w:val="top"/>
          </w:tcPr>
          <w:p>
            <w:pPr>
              <w:spacing w:before="31" w:beforeLines="10" w:after="31" w:afterLines="10" w:line="320" w:lineRule="exact"/>
              <w:rPr>
                <w:rFonts w:ascii="仿宋_GB2312" w:hAnsi="Times New Roman"/>
                <w:sz w:val="28"/>
                <w:szCs w:val="28"/>
              </w:rPr>
            </w:pPr>
            <w:r>
              <w:rPr>
                <w:rFonts w:hint="eastAsia" w:ascii="仿宋_GB2312"/>
                <w:sz w:val="28"/>
                <w:szCs w:val="28"/>
              </w:rPr>
              <w:t>（营业支出</w:t>
            </w:r>
            <w:r>
              <w:rPr>
                <w:rFonts w:hint="eastAsia" w:ascii="仿宋_GB2312" w:hAnsi="Times New Roman"/>
                <w:sz w:val="28"/>
                <w:szCs w:val="28"/>
              </w:rPr>
              <w:t>-</w:t>
            </w:r>
            <w:r>
              <w:rPr>
                <w:rFonts w:hint="eastAsia" w:ascii="仿宋_GB2312"/>
                <w:sz w:val="28"/>
                <w:szCs w:val="28"/>
              </w:rPr>
              <w:t>营业税金及附加）</w:t>
            </w:r>
            <w:r>
              <w:rPr>
                <w:rFonts w:hint="eastAsia" w:ascii="仿宋_GB2312" w:hAnsi="Times New Roman"/>
                <w:sz w:val="28"/>
                <w:szCs w:val="28"/>
              </w:rPr>
              <w:t>/</w:t>
            </w:r>
            <w:r>
              <w:rPr>
                <w:rFonts w:hint="eastAsia" w:ascii="仿宋_GB2312"/>
                <w:sz w:val="28"/>
                <w:szCs w:val="28"/>
              </w:rPr>
              <w:t>营业收入</w:t>
            </w:r>
            <w:r>
              <w:rPr>
                <w:rFonts w:hint="eastAsia" w:ascii="仿宋_GB2312" w:hAnsi="Times New Roman"/>
                <w:sz w:val="28"/>
                <w:szCs w:val="28"/>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853" w:type="dxa"/>
            <w:vMerge w:val="continue"/>
            <w:vAlign w:val="center"/>
          </w:tcPr>
          <w:p>
            <w:pPr>
              <w:spacing w:before="31" w:beforeLines="10" w:after="31" w:afterLines="10" w:line="320" w:lineRule="exact"/>
              <w:jc w:val="center"/>
              <w:outlineLvl w:val="9"/>
              <w:rPr>
                <w:rFonts w:ascii="仿宋_GB2312" w:hAnsi="Times New Roman" w:cs="黑体"/>
                <w:b/>
                <w:bCs/>
                <w:sz w:val="28"/>
                <w:szCs w:val="28"/>
              </w:rPr>
            </w:pPr>
          </w:p>
        </w:tc>
        <w:tc>
          <w:tcPr>
            <w:tcW w:w="2650" w:type="dxa"/>
            <w:vAlign w:val="top"/>
          </w:tcPr>
          <w:p>
            <w:pPr>
              <w:spacing w:before="31" w:beforeLines="10" w:after="31" w:afterLines="10" w:line="320" w:lineRule="exact"/>
              <w:rPr>
                <w:rFonts w:ascii="仿宋_GB2312" w:hAnsi="Times New Roman"/>
                <w:sz w:val="28"/>
                <w:szCs w:val="28"/>
              </w:rPr>
            </w:pPr>
            <w:r>
              <w:rPr>
                <w:rFonts w:hint="eastAsia" w:ascii="仿宋_GB2312"/>
                <w:sz w:val="28"/>
                <w:szCs w:val="28"/>
              </w:rPr>
              <w:t>成本收入变动比率</w:t>
            </w:r>
          </w:p>
        </w:tc>
        <w:tc>
          <w:tcPr>
            <w:tcW w:w="4019" w:type="dxa"/>
            <w:vAlign w:val="top"/>
          </w:tcPr>
          <w:p>
            <w:pPr>
              <w:spacing w:before="31" w:beforeLines="10" w:after="31" w:afterLines="10" w:line="320" w:lineRule="exact"/>
              <w:rPr>
                <w:rFonts w:ascii="仿宋_GB2312" w:hAnsi="Times New Roman"/>
                <w:sz w:val="28"/>
                <w:szCs w:val="28"/>
              </w:rPr>
            </w:pPr>
            <w:r>
              <w:rPr>
                <w:rFonts w:hint="eastAsia" w:ascii="仿宋_GB2312"/>
                <w:sz w:val="28"/>
                <w:szCs w:val="28"/>
              </w:rPr>
              <w:t>（本年成本收入比率</w:t>
            </w:r>
            <w:r>
              <w:rPr>
                <w:rFonts w:hint="eastAsia" w:ascii="仿宋_GB2312" w:hAnsi="Times New Roman"/>
                <w:sz w:val="28"/>
                <w:szCs w:val="28"/>
              </w:rPr>
              <w:t>/</w:t>
            </w:r>
            <w:r>
              <w:rPr>
                <w:rFonts w:hint="eastAsia" w:ascii="仿宋_GB2312"/>
                <w:sz w:val="28"/>
                <w:szCs w:val="28"/>
              </w:rPr>
              <w:t>上年成本收入比率</w:t>
            </w:r>
            <w:r>
              <w:rPr>
                <w:rFonts w:hint="eastAsia" w:ascii="仿宋_GB2312" w:hAnsi="Times New Roman"/>
                <w:sz w:val="28"/>
                <w:szCs w:val="28"/>
              </w:rPr>
              <w:t>-1</w:t>
            </w:r>
            <w:r>
              <w:rPr>
                <w:rFonts w:hint="eastAsia" w:ascii="仿宋_GB2312"/>
                <w:sz w:val="28"/>
                <w:szCs w:val="28"/>
              </w:rPr>
              <w:t>）</w:t>
            </w:r>
            <w:r>
              <w:rPr>
                <w:rFonts w:hint="eastAsia" w:ascii="仿宋_GB2312" w:hAnsi="Times New Roman"/>
                <w:sz w:val="28"/>
                <w:szCs w:val="28"/>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853" w:type="dxa"/>
            <w:vMerge w:val="continue"/>
            <w:vAlign w:val="center"/>
          </w:tcPr>
          <w:p>
            <w:pPr>
              <w:spacing w:before="31" w:beforeLines="10" w:after="31" w:afterLines="10" w:line="320" w:lineRule="exact"/>
              <w:jc w:val="center"/>
              <w:outlineLvl w:val="9"/>
              <w:rPr>
                <w:rFonts w:ascii="仿宋_GB2312" w:hAnsi="Times New Roman" w:cs="黑体"/>
                <w:b/>
                <w:bCs/>
                <w:sz w:val="28"/>
                <w:szCs w:val="28"/>
              </w:rPr>
            </w:pPr>
          </w:p>
        </w:tc>
        <w:tc>
          <w:tcPr>
            <w:tcW w:w="2650" w:type="dxa"/>
            <w:vAlign w:val="top"/>
          </w:tcPr>
          <w:p>
            <w:pPr>
              <w:spacing w:before="31" w:beforeLines="10" w:after="31" w:afterLines="10" w:line="320" w:lineRule="exact"/>
              <w:rPr>
                <w:rFonts w:ascii="仿宋_GB2312" w:hAnsi="Times New Roman"/>
                <w:sz w:val="28"/>
                <w:szCs w:val="28"/>
              </w:rPr>
            </w:pPr>
            <w:r>
              <w:rPr>
                <w:rFonts w:hint="eastAsia" w:ascii="仿宋_GB2312"/>
                <w:sz w:val="28"/>
                <w:szCs w:val="28"/>
              </w:rPr>
              <w:t>人均利率</w:t>
            </w:r>
          </w:p>
        </w:tc>
        <w:tc>
          <w:tcPr>
            <w:tcW w:w="4019" w:type="dxa"/>
            <w:vAlign w:val="top"/>
          </w:tcPr>
          <w:p>
            <w:pPr>
              <w:spacing w:before="31" w:beforeLines="10" w:after="31" w:afterLines="10" w:line="320" w:lineRule="exact"/>
              <w:rPr>
                <w:rFonts w:ascii="仿宋_GB2312" w:hAnsi="Times New Roman"/>
                <w:sz w:val="28"/>
                <w:szCs w:val="28"/>
              </w:rPr>
            </w:pPr>
            <w:r>
              <w:rPr>
                <w:rFonts w:hint="eastAsia" w:ascii="仿宋_GB2312"/>
                <w:sz w:val="28"/>
                <w:szCs w:val="28"/>
              </w:rPr>
              <w:t>净利润</w:t>
            </w:r>
            <w:r>
              <w:rPr>
                <w:rFonts w:hint="eastAsia" w:ascii="仿宋_GB2312" w:hAnsi="Times New Roman"/>
                <w:sz w:val="28"/>
                <w:szCs w:val="28"/>
              </w:rPr>
              <w:t>/</w:t>
            </w:r>
            <w:r>
              <w:rPr>
                <w:rFonts w:hint="eastAsia" w:ascii="仿宋_GB2312"/>
                <w:sz w:val="28"/>
                <w:szCs w:val="28"/>
              </w:rPr>
              <w:t>公司职工人数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853" w:type="dxa"/>
            <w:vMerge w:val="continue"/>
            <w:vAlign w:val="center"/>
          </w:tcPr>
          <w:p>
            <w:pPr>
              <w:spacing w:before="31" w:beforeLines="10" w:after="31" w:afterLines="10" w:line="320" w:lineRule="exact"/>
              <w:jc w:val="center"/>
              <w:outlineLvl w:val="9"/>
              <w:rPr>
                <w:rFonts w:ascii="仿宋_GB2312" w:hAnsi="Times New Roman" w:cs="黑体"/>
                <w:b/>
                <w:bCs/>
                <w:sz w:val="28"/>
                <w:szCs w:val="28"/>
              </w:rPr>
            </w:pPr>
          </w:p>
        </w:tc>
        <w:tc>
          <w:tcPr>
            <w:tcW w:w="2650" w:type="dxa"/>
            <w:vAlign w:val="top"/>
          </w:tcPr>
          <w:p>
            <w:pPr>
              <w:spacing w:before="31" w:beforeLines="10" w:after="31" w:afterLines="10" w:line="320" w:lineRule="exact"/>
              <w:rPr>
                <w:rFonts w:ascii="仿宋_GB2312" w:hAnsi="Times New Roman"/>
                <w:sz w:val="28"/>
                <w:szCs w:val="28"/>
              </w:rPr>
            </w:pPr>
            <w:r>
              <w:rPr>
                <w:rFonts w:hint="eastAsia" w:ascii="仿宋_GB2312"/>
                <w:sz w:val="28"/>
                <w:szCs w:val="28"/>
              </w:rPr>
              <w:t>人均利率增长率</w:t>
            </w:r>
          </w:p>
        </w:tc>
        <w:tc>
          <w:tcPr>
            <w:tcW w:w="4019" w:type="dxa"/>
            <w:vAlign w:val="top"/>
          </w:tcPr>
          <w:p>
            <w:pPr>
              <w:spacing w:before="31" w:beforeLines="10" w:after="31" w:afterLines="10" w:line="320" w:lineRule="exact"/>
              <w:rPr>
                <w:rFonts w:ascii="仿宋_GB2312" w:hAnsi="Times New Roman"/>
                <w:sz w:val="28"/>
                <w:szCs w:val="28"/>
              </w:rPr>
            </w:pPr>
            <w:r>
              <w:rPr>
                <w:rFonts w:hint="eastAsia" w:ascii="仿宋_GB2312"/>
                <w:sz w:val="28"/>
                <w:szCs w:val="28"/>
              </w:rPr>
              <w:t>（本年人均利润-上年人均利润）</w:t>
            </w:r>
            <w:r>
              <w:rPr>
                <w:rFonts w:hint="eastAsia" w:ascii="仿宋_GB2312" w:hAnsi="Times New Roman"/>
                <w:sz w:val="28"/>
                <w:szCs w:val="28"/>
              </w:rPr>
              <w:t>/</w:t>
            </w:r>
            <w:r>
              <w:rPr>
                <w:rFonts w:hint="eastAsia" w:ascii="仿宋_GB2312"/>
                <w:sz w:val="28"/>
                <w:szCs w:val="28"/>
              </w:rPr>
              <w:t>上年人均利润</w:t>
            </w:r>
            <w:r>
              <w:rPr>
                <w:rFonts w:hint="eastAsia" w:ascii="仿宋_GB2312" w:hAnsi="Times New Roman"/>
                <w:sz w:val="28"/>
                <w:szCs w:val="28"/>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853" w:type="dxa"/>
            <w:vMerge w:val="restart"/>
            <w:vAlign w:val="center"/>
          </w:tcPr>
          <w:p>
            <w:pPr>
              <w:spacing w:before="31" w:beforeLines="10" w:after="31" w:afterLines="10" w:line="320" w:lineRule="exact"/>
              <w:jc w:val="center"/>
              <w:rPr>
                <w:rFonts w:ascii="仿宋_GB2312" w:hAnsi="Times New Roman"/>
                <w:sz w:val="28"/>
                <w:szCs w:val="28"/>
              </w:rPr>
            </w:pPr>
            <w:r>
              <w:rPr>
                <w:rFonts w:hint="eastAsia" w:ascii="仿宋_GB2312"/>
                <w:sz w:val="28"/>
                <w:szCs w:val="28"/>
              </w:rPr>
              <w:t>信托业务</w:t>
            </w:r>
          </w:p>
          <w:p>
            <w:pPr>
              <w:spacing w:before="31" w:beforeLines="10" w:after="31" w:afterLines="10" w:line="320" w:lineRule="exact"/>
              <w:jc w:val="center"/>
              <w:rPr>
                <w:rFonts w:ascii="仿宋_GB2312" w:hAnsi="Times New Roman"/>
                <w:sz w:val="28"/>
                <w:szCs w:val="28"/>
              </w:rPr>
            </w:pPr>
            <w:r>
              <w:rPr>
                <w:rFonts w:hint="eastAsia" w:ascii="仿宋_GB2312"/>
                <w:sz w:val="28"/>
                <w:szCs w:val="28"/>
              </w:rPr>
              <w:t>盈利能力指标</w:t>
            </w:r>
          </w:p>
        </w:tc>
        <w:tc>
          <w:tcPr>
            <w:tcW w:w="2650" w:type="dxa"/>
            <w:vAlign w:val="top"/>
          </w:tcPr>
          <w:p>
            <w:pPr>
              <w:spacing w:before="31" w:beforeLines="10" w:after="31" w:afterLines="10" w:line="320" w:lineRule="exact"/>
              <w:rPr>
                <w:rFonts w:ascii="仿宋_GB2312" w:hAnsi="Times New Roman"/>
                <w:sz w:val="28"/>
                <w:szCs w:val="28"/>
              </w:rPr>
            </w:pPr>
            <w:r>
              <w:rPr>
                <w:rFonts w:hint="eastAsia" w:ascii="仿宋_GB2312"/>
                <w:sz w:val="28"/>
                <w:szCs w:val="28"/>
              </w:rPr>
              <w:t>信托业务收入占比</w:t>
            </w:r>
          </w:p>
        </w:tc>
        <w:tc>
          <w:tcPr>
            <w:tcW w:w="4019" w:type="dxa"/>
            <w:vAlign w:val="top"/>
          </w:tcPr>
          <w:p>
            <w:pPr>
              <w:spacing w:before="31" w:beforeLines="10" w:after="31" w:afterLines="10" w:line="320" w:lineRule="exact"/>
              <w:rPr>
                <w:rFonts w:ascii="仿宋_GB2312" w:hAnsi="Times New Roman"/>
                <w:sz w:val="28"/>
                <w:szCs w:val="28"/>
              </w:rPr>
            </w:pPr>
            <w:r>
              <w:rPr>
                <w:rFonts w:hint="eastAsia" w:ascii="仿宋_GB2312"/>
                <w:sz w:val="28"/>
                <w:szCs w:val="28"/>
              </w:rPr>
              <w:t>信托业务收入</w:t>
            </w:r>
            <w:r>
              <w:rPr>
                <w:rFonts w:hint="eastAsia" w:ascii="仿宋_GB2312" w:hAnsi="Times New Roman"/>
                <w:sz w:val="28"/>
                <w:szCs w:val="28"/>
              </w:rPr>
              <w:t>/</w:t>
            </w:r>
            <w:r>
              <w:rPr>
                <w:rFonts w:hint="eastAsia" w:ascii="仿宋_GB2312"/>
                <w:sz w:val="28"/>
                <w:szCs w:val="28"/>
              </w:rPr>
              <w:t>总收入</w:t>
            </w:r>
            <w:r>
              <w:rPr>
                <w:rFonts w:hint="eastAsia" w:ascii="仿宋_GB2312" w:hAnsi="Times New Roman"/>
                <w:sz w:val="28"/>
                <w:szCs w:val="28"/>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853" w:type="dxa"/>
            <w:vMerge w:val="continue"/>
            <w:vAlign w:val="center"/>
          </w:tcPr>
          <w:p>
            <w:pPr>
              <w:spacing w:before="31" w:beforeLines="10" w:after="31" w:afterLines="10" w:line="320" w:lineRule="exact"/>
              <w:jc w:val="center"/>
              <w:outlineLvl w:val="9"/>
              <w:rPr>
                <w:rFonts w:ascii="仿宋_GB2312" w:hAnsi="Times New Roman" w:cs="黑体"/>
                <w:b/>
                <w:bCs/>
                <w:sz w:val="28"/>
                <w:szCs w:val="28"/>
              </w:rPr>
            </w:pPr>
          </w:p>
        </w:tc>
        <w:tc>
          <w:tcPr>
            <w:tcW w:w="2650" w:type="dxa"/>
            <w:vAlign w:val="top"/>
          </w:tcPr>
          <w:p>
            <w:pPr>
              <w:spacing w:before="31" w:beforeLines="10" w:after="31" w:afterLines="10" w:line="320" w:lineRule="exact"/>
              <w:rPr>
                <w:rFonts w:ascii="仿宋_GB2312" w:hAnsi="Times New Roman"/>
                <w:sz w:val="28"/>
                <w:szCs w:val="28"/>
              </w:rPr>
            </w:pPr>
            <w:r>
              <w:rPr>
                <w:rFonts w:hint="eastAsia" w:ascii="仿宋_GB2312"/>
                <w:sz w:val="28"/>
                <w:szCs w:val="28"/>
              </w:rPr>
              <w:t>信托业务收入增长率</w:t>
            </w:r>
          </w:p>
        </w:tc>
        <w:tc>
          <w:tcPr>
            <w:tcW w:w="4019" w:type="dxa"/>
            <w:vAlign w:val="top"/>
          </w:tcPr>
          <w:p>
            <w:pPr>
              <w:spacing w:before="31" w:beforeLines="10" w:after="31" w:afterLines="10" w:line="320" w:lineRule="exact"/>
              <w:rPr>
                <w:rFonts w:ascii="仿宋_GB2312" w:hAnsi="Times New Roman"/>
                <w:sz w:val="28"/>
                <w:szCs w:val="28"/>
              </w:rPr>
            </w:pPr>
            <w:r>
              <w:rPr>
                <w:rFonts w:hint="eastAsia" w:ascii="仿宋_GB2312"/>
                <w:sz w:val="28"/>
                <w:szCs w:val="28"/>
              </w:rPr>
              <w:t>（本年信托业务收入-上年信托业务收入）</w:t>
            </w:r>
            <w:r>
              <w:rPr>
                <w:rFonts w:hint="eastAsia" w:ascii="仿宋_GB2312" w:hAnsi="Times New Roman"/>
                <w:sz w:val="28"/>
                <w:szCs w:val="28"/>
              </w:rPr>
              <w:t>/</w:t>
            </w:r>
            <w:r>
              <w:rPr>
                <w:rFonts w:hint="eastAsia" w:ascii="仿宋_GB2312"/>
                <w:sz w:val="28"/>
                <w:szCs w:val="28"/>
              </w:rPr>
              <w:t>上年信托业务收入</w:t>
            </w:r>
            <w:r>
              <w:rPr>
                <w:rFonts w:hint="eastAsia" w:ascii="仿宋_GB2312" w:hAnsi="Times New Roman"/>
                <w:sz w:val="28"/>
                <w:szCs w:val="28"/>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853" w:type="dxa"/>
            <w:vMerge w:val="continue"/>
            <w:vAlign w:val="center"/>
          </w:tcPr>
          <w:p>
            <w:pPr>
              <w:spacing w:before="31" w:beforeLines="10" w:after="31" w:afterLines="10" w:line="320" w:lineRule="exact"/>
              <w:jc w:val="center"/>
              <w:outlineLvl w:val="9"/>
              <w:rPr>
                <w:rFonts w:ascii="仿宋_GB2312" w:hAnsi="Times New Roman" w:cs="黑体"/>
                <w:b/>
                <w:bCs/>
                <w:sz w:val="28"/>
                <w:szCs w:val="28"/>
              </w:rPr>
            </w:pPr>
          </w:p>
        </w:tc>
        <w:tc>
          <w:tcPr>
            <w:tcW w:w="2650" w:type="dxa"/>
            <w:vAlign w:val="top"/>
          </w:tcPr>
          <w:p>
            <w:pPr>
              <w:spacing w:before="31" w:beforeLines="10" w:after="31" w:afterLines="10" w:line="320" w:lineRule="exact"/>
              <w:rPr>
                <w:rFonts w:ascii="仿宋_GB2312" w:hAnsi="Times New Roman"/>
                <w:sz w:val="28"/>
                <w:szCs w:val="28"/>
              </w:rPr>
            </w:pPr>
            <w:r>
              <w:rPr>
                <w:rFonts w:hint="eastAsia" w:ascii="仿宋_GB2312"/>
                <w:sz w:val="28"/>
                <w:szCs w:val="28"/>
              </w:rPr>
              <w:t>信托报酬率</w:t>
            </w:r>
          </w:p>
        </w:tc>
        <w:tc>
          <w:tcPr>
            <w:tcW w:w="4019" w:type="dxa"/>
            <w:vAlign w:val="top"/>
          </w:tcPr>
          <w:p>
            <w:pPr>
              <w:spacing w:before="31" w:beforeLines="10" w:after="31" w:afterLines="10" w:line="320" w:lineRule="exact"/>
              <w:rPr>
                <w:rFonts w:ascii="仿宋_GB2312" w:hAnsi="Times New Roman"/>
                <w:sz w:val="28"/>
                <w:szCs w:val="28"/>
              </w:rPr>
            </w:pPr>
            <w:r>
              <w:rPr>
                <w:rFonts w:hint="eastAsia" w:ascii="仿宋_GB2312"/>
                <w:sz w:val="28"/>
                <w:szCs w:val="28"/>
              </w:rPr>
              <w:t>信托业务收入</w:t>
            </w:r>
            <w:r>
              <w:rPr>
                <w:rFonts w:hint="eastAsia" w:ascii="仿宋_GB2312" w:hAnsi="Times New Roman"/>
                <w:sz w:val="28"/>
                <w:szCs w:val="28"/>
              </w:rPr>
              <w:t>/</w:t>
            </w:r>
            <w:r>
              <w:rPr>
                <w:rFonts w:hint="eastAsia" w:ascii="仿宋_GB2312"/>
                <w:sz w:val="28"/>
                <w:szCs w:val="28"/>
              </w:rPr>
              <w:t>实收信托平均余额</w:t>
            </w:r>
            <w:r>
              <w:rPr>
                <w:rFonts w:hint="eastAsia" w:ascii="仿宋_GB2312" w:hAnsi="Times New Roman"/>
                <w:sz w:val="28"/>
                <w:szCs w:val="28"/>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853" w:type="dxa"/>
            <w:vMerge w:val="restart"/>
            <w:vAlign w:val="center"/>
          </w:tcPr>
          <w:p>
            <w:pPr>
              <w:spacing w:before="31" w:beforeLines="10" w:after="31" w:afterLines="10" w:line="320" w:lineRule="exact"/>
              <w:jc w:val="center"/>
              <w:rPr>
                <w:rFonts w:ascii="仿宋_GB2312" w:hAnsi="Times New Roman"/>
                <w:sz w:val="28"/>
                <w:szCs w:val="28"/>
              </w:rPr>
            </w:pPr>
            <w:r>
              <w:rPr>
                <w:rFonts w:hint="eastAsia" w:ascii="仿宋_GB2312"/>
                <w:sz w:val="28"/>
                <w:szCs w:val="28"/>
              </w:rPr>
              <w:t>固有业务</w:t>
            </w:r>
          </w:p>
          <w:p>
            <w:pPr>
              <w:spacing w:before="31" w:beforeLines="10" w:after="31" w:afterLines="10" w:line="320" w:lineRule="exact"/>
              <w:jc w:val="center"/>
              <w:rPr>
                <w:rFonts w:ascii="仿宋_GB2312" w:hAnsi="Times New Roman"/>
                <w:sz w:val="28"/>
                <w:szCs w:val="28"/>
              </w:rPr>
            </w:pPr>
            <w:r>
              <w:rPr>
                <w:rFonts w:hint="eastAsia" w:ascii="仿宋_GB2312"/>
                <w:sz w:val="28"/>
                <w:szCs w:val="28"/>
              </w:rPr>
              <w:t>盈利能力指标</w:t>
            </w:r>
          </w:p>
        </w:tc>
        <w:tc>
          <w:tcPr>
            <w:tcW w:w="2650" w:type="dxa"/>
            <w:vAlign w:val="top"/>
          </w:tcPr>
          <w:p>
            <w:pPr>
              <w:spacing w:before="31" w:beforeLines="10" w:after="31" w:afterLines="10" w:line="320" w:lineRule="exact"/>
              <w:rPr>
                <w:rFonts w:ascii="仿宋_GB2312" w:hAnsi="Times New Roman"/>
                <w:sz w:val="28"/>
                <w:szCs w:val="28"/>
              </w:rPr>
            </w:pPr>
            <w:r>
              <w:rPr>
                <w:rFonts w:hint="eastAsia" w:ascii="仿宋_GB2312"/>
                <w:sz w:val="28"/>
                <w:szCs w:val="28"/>
              </w:rPr>
              <w:t>固有业务收益率</w:t>
            </w:r>
          </w:p>
        </w:tc>
        <w:tc>
          <w:tcPr>
            <w:tcW w:w="4019" w:type="dxa"/>
            <w:vAlign w:val="top"/>
          </w:tcPr>
          <w:p>
            <w:pPr>
              <w:spacing w:before="31" w:beforeLines="10" w:after="31" w:afterLines="10" w:line="320" w:lineRule="exact"/>
              <w:rPr>
                <w:rFonts w:ascii="仿宋_GB2312" w:hAnsi="Times New Roman"/>
                <w:sz w:val="28"/>
                <w:szCs w:val="28"/>
              </w:rPr>
            </w:pPr>
            <w:r>
              <w:rPr>
                <w:rFonts w:hint="eastAsia" w:ascii="仿宋_GB2312"/>
                <w:sz w:val="28"/>
                <w:szCs w:val="28"/>
              </w:rPr>
              <w:t>固有业务收入</w:t>
            </w:r>
            <w:r>
              <w:rPr>
                <w:rFonts w:hint="eastAsia" w:ascii="仿宋_GB2312" w:hAnsi="Times New Roman"/>
                <w:sz w:val="28"/>
                <w:szCs w:val="28"/>
              </w:rPr>
              <w:t>/</w:t>
            </w:r>
            <w:r>
              <w:rPr>
                <w:rFonts w:hint="eastAsia" w:ascii="仿宋_GB2312"/>
                <w:sz w:val="28"/>
                <w:szCs w:val="28"/>
              </w:rPr>
              <w:t>所有者权益平均余额</w:t>
            </w:r>
            <w:r>
              <w:rPr>
                <w:rFonts w:hint="eastAsia" w:ascii="仿宋_GB2312" w:hAnsi="Times New Roman"/>
                <w:sz w:val="28"/>
                <w:szCs w:val="28"/>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853" w:type="dxa"/>
            <w:vMerge w:val="continue"/>
            <w:vAlign w:val="top"/>
          </w:tcPr>
          <w:p>
            <w:pPr>
              <w:spacing w:before="31" w:beforeLines="10" w:after="31" w:afterLines="10" w:line="320" w:lineRule="exact"/>
              <w:outlineLvl w:val="9"/>
              <w:rPr>
                <w:rFonts w:ascii="仿宋_GB2312" w:hAnsi="Times New Roman" w:cs="黑体"/>
                <w:b/>
                <w:bCs/>
                <w:sz w:val="28"/>
                <w:szCs w:val="28"/>
              </w:rPr>
            </w:pPr>
          </w:p>
        </w:tc>
        <w:tc>
          <w:tcPr>
            <w:tcW w:w="2650" w:type="dxa"/>
            <w:vAlign w:val="top"/>
          </w:tcPr>
          <w:p>
            <w:pPr>
              <w:spacing w:before="31" w:beforeLines="10" w:after="31" w:afterLines="10" w:line="320" w:lineRule="exact"/>
              <w:rPr>
                <w:rFonts w:ascii="仿宋_GB2312" w:hAnsi="Times New Roman"/>
                <w:sz w:val="28"/>
                <w:szCs w:val="28"/>
              </w:rPr>
            </w:pPr>
            <w:r>
              <w:rPr>
                <w:rFonts w:hint="eastAsia" w:ascii="仿宋_GB2312"/>
                <w:sz w:val="28"/>
                <w:szCs w:val="28"/>
              </w:rPr>
              <w:t>固有业务收益增长率</w:t>
            </w:r>
          </w:p>
        </w:tc>
        <w:tc>
          <w:tcPr>
            <w:tcW w:w="4019" w:type="dxa"/>
            <w:vAlign w:val="top"/>
          </w:tcPr>
          <w:p>
            <w:pPr>
              <w:spacing w:before="31" w:beforeLines="10" w:after="31" w:afterLines="10" w:line="320" w:lineRule="exact"/>
              <w:rPr>
                <w:rFonts w:ascii="仿宋_GB2312" w:hAnsi="Times New Roman"/>
                <w:sz w:val="28"/>
                <w:szCs w:val="28"/>
              </w:rPr>
            </w:pPr>
            <w:r>
              <w:rPr>
                <w:rFonts w:hint="eastAsia" w:ascii="仿宋_GB2312"/>
                <w:sz w:val="28"/>
                <w:szCs w:val="28"/>
              </w:rPr>
              <w:t>（本年固有业务收益率</w:t>
            </w:r>
            <w:r>
              <w:rPr>
                <w:rFonts w:hint="eastAsia" w:ascii="仿宋_GB2312" w:hAnsi="Times New Roman"/>
                <w:sz w:val="28"/>
                <w:szCs w:val="28"/>
              </w:rPr>
              <w:t>/</w:t>
            </w:r>
            <w:r>
              <w:rPr>
                <w:rFonts w:hint="eastAsia" w:ascii="仿宋_GB2312"/>
                <w:sz w:val="28"/>
                <w:szCs w:val="28"/>
              </w:rPr>
              <w:t>上年固有业务收益率-</w:t>
            </w:r>
            <w:r>
              <w:rPr>
                <w:rFonts w:hint="eastAsia" w:ascii="仿宋_GB2312" w:hAnsi="Times New Roman"/>
                <w:sz w:val="28"/>
                <w:szCs w:val="28"/>
              </w:rPr>
              <w:t>1</w:t>
            </w:r>
            <w:r>
              <w:rPr>
                <w:rFonts w:hint="eastAsia" w:ascii="仿宋_GB2312"/>
                <w:sz w:val="28"/>
                <w:szCs w:val="28"/>
              </w:rPr>
              <w:t>）</w:t>
            </w:r>
            <w:r>
              <w:rPr>
                <w:rFonts w:hint="eastAsia" w:ascii="仿宋_GB2312" w:hAnsi="Times New Roman"/>
                <w:sz w:val="28"/>
                <w:szCs w:val="28"/>
              </w:rPr>
              <w:t>×100%</w:t>
            </w:r>
          </w:p>
        </w:tc>
      </w:tr>
    </w:tbl>
    <w:p>
      <w:pPr>
        <w:spacing w:before="156" w:beforeLines="50" w:after="156" w:afterLines="50"/>
        <w:ind w:left="624" w:leftChars="200"/>
        <w:outlineLvl w:val="2"/>
        <w:rPr>
          <w:rFonts w:ascii="仿宋_GB2312" w:hAnsi="Times New Roman"/>
          <w:b/>
          <w:sz w:val="32"/>
          <w:szCs w:val="32"/>
        </w:rPr>
      </w:pPr>
      <w:r>
        <w:rPr>
          <w:rFonts w:hint="eastAsia" w:ascii="仿宋_GB2312"/>
          <w:b/>
          <w:sz w:val="32"/>
          <w:szCs w:val="32"/>
        </w:rPr>
        <w:t>（三）评级结果使用</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上述定量监管指标，并不属于强制性监管指标，但是会影响信托公司的监管评级。评级结果对信托公司的影响主要体现在：</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1.评级结果作为衡量信托公司风险程度的主要依据；</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2.评级结果作为监管规划和合理配置监管资源的主要依据；</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3.评级结果是监管机构采取监管措施和行动的主要依据。</w:t>
      </w:r>
    </w:p>
    <w:p>
      <w:pPr>
        <w:spacing w:before="156" w:beforeLines="50" w:after="156" w:afterLines="50"/>
        <w:ind w:left="624" w:leftChars="200"/>
        <w:outlineLvl w:val="1"/>
        <w:rPr>
          <w:rFonts w:ascii="仿宋_GB2312" w:hAnsi="Times New Roman"/>
          <w:b/>
          <w:sz w:val="32"/>
          <w:szCs w:val="32"/>
        </w:rPr>
      </w:pPr>
      <w:r>
        <w:rPr>
          <w:rFonts w:hint="eastAsia" w:ascii="仿宋_GB2312"/>
          <w:b/>
          <w:sz w:val="32"/>
          <w:szCs w:val="32"/>
        </w:rPr>
        <w:t>三、监管指标</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除上述监管评级指标，信托公司评估中应关注的金融监管指标主要包括净资本相关指标和信托赔偿准备金。</w:t>
      </w:r>
    </w:p>
    <w:p>
      <w:pPr>
        <w:spacing w:before="156" w:beforeLines="50" w:after="156" w:afterLines="50"/>
        <w:ind w:left="624" w:leftChars="200"/>
        <w:outlineLvl w:val="2"/>
        <w:rPr>
          <w:rFonts w:ascii="仿宋_GB2312" w:hAnsi="Times New Roman"/>
          <w:b/>
          <w:sz w:val="32"/>
          <w:szCs w:val="32"/>
        </w:rPr>
      </w:pPr>
      <w:r>
        <w:rPr>
          <w:rFonts w:hint="eastAsia" w:ascii="仿宋_GB2312"/>
          <w:b/>
          <w:sz w:val="32"/>
          <w:szCs w:val="32"/>
        </w:rPr>
        <w:t>（一）净资本</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信托公司净资本，是根据信托公司的业务范围和公司资产结构的特点，在净资产的基础上对各固有资产项目、表外项目和其他有关业务进行风险调整后得出的综合性风险控制指标。</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净资本</w:t>
      </w:r>
      <w:r>
        <w:rPr>
          <w:rFonts w:hint="eastAsia" w:cs="宋体"/>
          <w:sz w:val="32"/>
          <w:szCs w:val="32"/>
        </w:rPr>
        <w:t>﹦</w:t>
      </w:r>
      <w:r>
        <w:rPr>
          <w:rFonts w:hint="eastAsia" w:ascii="仿宋_GB2312"/>
          <w:sz w:val="32"/>
          <w:szCs w:val="32"/>
        </w:rPr>
        <w:t>净资产</w:t>
      </w:r>
      <w:r>
        <w:rPr>
          <w:rFonts w:hint="eastAsia" w:cs="宋体"/>
          <w:sz w:val="32"/>
          <w:szCs w:val="32"/>
        </w:rPr>
        <w:t>﹣</w:t>
      </w:r>
      <w:r>
        <w:rPr>
          <w:rFonts w:hint="eastAsia" w:ascii="仿宋_GB2312"/>
          <w:sz w:val="32"/>
          <w:szCs w:val="32"/>
        </w:rPr>
        <w:t>各类资产的风险扣除项</w:t>
      </w:r>
      <w:r>
        <w:rPr>
          <w:rFonts w:hint="eastAsia" w:cs="宋体"/>
          <w:sz w:val="32"/>
          <w:szCs w:val="32"/>
        </w:rPr>
        <w:t>﹣</w:t>
      </w:r>
      <w:r>
        <w:rPr>
          <w:rFonts w:hint="eastAsia" w:ascii="仿宋_GB2312"/>
          <w:sz w:val="32"/>
          <w:szCs w:val="32"/>
        </w:rPr>
        <w:t>或有负债的风险扣除项</w:t>
      </w:r>
      <w:r>
        <w:rPr>
          <w:rFonts w:hint="eastAsia" w:cs="宋体"/>
          <w:sz w:val="32"/>
          <w:szCs w:val="32"/>
        </w:rPr>
        <w:t>﹣</w:t>
      </w:r>
      <w:r>
        <w:rPr>
          <w:rFonts w:hint="eastAsia" w:ascii="仿宋_GB2312"/>
          <w:sz w:val="32"/>
          <w:szCs w:val="32"/>
        </w:rPr>
        <w:t>中国银行业监督管理委员会认定的其他风险扣除项。</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对信托公司实施净资本管理的目的，是确保信托公司固有资产充足并保持必要的流动性，以满足抵御各项业务不可预期损失的需要。</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根据监管要求，信托公司净资本不得低于人民币</w:t>
      </w:r>
      <w:r>
        <w:rPr>
          <w:rFonts w:hint="eastAsia" w:ascii="仿宋_GB2312" w:hAnsi="Times New Roman"/>
          <w:sz w:val="32"/>
          <w:szCs w:val="32"/>
        </w:rPr>
        <w:t>2</w:t>
      </w:r>
      <w:r>
        <w:rPr>
          <w:rFonts w:hint="eastAsia" w:ascii="仿宋_GB2312"/>
          <w:sz w:val="32"/>
          <w:szCs w:val="32"/>
        </w:rPr>
        <w:t>亿元。</w:t>
      </w:r>
    </w:p>
    <w:p>
      <w:pPr>
        <w:spacing w:before="156" w:beforeLines="50" w:after="156" w:afterLines="50"/>
        <w:ind w:left="624" w:leftChars="200"/>
        <w:outlineLvl w:val="2"/>
        <w:rPr>
          <w:rFonts w:ascii="仿宋_GB2312"/>
          <w:b/>
          <w:sz w:val="32"/>
          <w:szCs w:val="32"/>
        </w:rPr>
      </w:pPr>
      <w:r>
        <w:rPr>
          <w:rFonts w:hint="eastAsia" w:ascii="仿宋_GB2312"/>
          <w:b/>
          <w:sz w:val="32"/>
          <w:szCs w:val="32"/>
        </w:rPr>
        <w:t>（二）风险资本</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信托公司风险资本，是信托公司按照一定标准计算并配置给某项业务用于应对潜在风险的资本。</w:t>
      </w:r>
    </w:p>
    <w:p>
      <w:pPr>
        <w:spacing w:before="156" w:beforeLines="50" w:after="156" w:afterLines="50" w:line="560" w:lineRule="atLeast"/>
        <w:ind w:firstLine="664" w:firstLineChars="200"/>
        <w:rPr>
          <w:rFonts w:ascii="仿宋_GB2312" w:hAnsi="Times New Roman"/>
          <w:sz w:val="32"/>
          <w:szCs w:val="32"/>
        </w:rPr>
      </w:pPr>
      <w:r>
        <w:rPr>
          <w:rFonts w:hint="eastAsia" w:ascii="仿宋_GB2312"/>
          <w:sz w:val="32"/>
          <w:szCs w:val="32"/>
        </w:rPr>
        <w:t>风险资本</w:t>
      </w:r>
      <w:r>
        <w:rPr>
          <w:rFonts w:hint="eastAsia" w:cs="宋体"/>
          <w:sz w:val="32"/>
          <w:szCs w:val="32"/>
        </w:rPr>
        <w:t>﹦</w:t>
      </w:r>
      <w:r>
        <w:rPr>
          <w:rFonts w:hint="eastAsia" w:ascii="仿宋_GB2312"/>
          <w:sz w:val="32"/>
          <w:szCs w:val="32"/>
        </w:rPr>
        <w:t>固有业务风险资本</w:t>
      </w:r>
      <w:r>
        <w:rPr>
          <w:rFonts w:hint="eastAsia" w:cs="宋体"/>
          <w:sz w:val="32"/>
          <w:szCs w:val="32"/>
        </w:rPr>
        <w:t>﹢</w:t>
      </w:r>
      <w:r>
        <w:rPr>
          <w:rFonts w:hint="eastAsia" w:ascii="仿宋_GB2312"/>
          <w:sz w:val="32"/>
          <w:szCs w:val="32"/>
        </w:rPr>
        <w:t>信托业务风险资本</w:t>
      </w:r>
      <w:r>
        <w:rPr>
          <w:rFonts w:hint="eastAsia" w:cs="宋体"/>
          <w:sz w:val="32"/>
          <w:szCs w:val="32"/>
        </w:rPr>
        <w:t>﹢</w:t>
      </w:r>
      <w:r>
        <w:rPr>
          <w:rFonts w:hint="eastAsia" w:ascii="仿宋_GB2312" w:hAnsi="仿宋_GB2312" w:cs="仿宋_GB2312"/>
          <w:sz w:val="32"/>
          <w:szCs w:val="32"/>
        </w:rPr>
        <w:t>其他业务风险资本</w:t>
      </w:r>
    </w:p>
    <w:p>
      <w:pPr>
        <w:spacing w:before="156" w:beforeLines="50" w:after="156" w:afterLines="50" w:line="560" w:lineRule="atLeast"/>
        <w:ind w:firstLine="664" w:firstLineChars="200"/>
        <w:rPr>
          <w:rFonts w:ascii="仿宋_GB2312" w:hAnsi="Times New Roman"/>
          <w:sz w:val="32"/>
          <w:szCs w:val="32"/>
        </w:rPr>
      </w:pPr>
      <w:r>
        <w:rPr>
          <w:rFonts w:hint="eastAsia" w:ascii="仿宋_GB2312"/>
          <w:sz w:val="32"/>
          <w:szCs w:val="32"/>
        </w:rPr>
        <w:t>固有业务风险资本</w:t>
      </w:r>
      <w:r>
        <w:rPr>
          <w:rFonts w:hint="eastAsia" w:cs="宋体"/>
          <w:sz w:val="32"/>
          <w:szCs w:val="32"/>
        </w:rPr>
        <w:t>﹦</w:t>
      </w:r>
      <w:r>
        <w:rPr>
          <w:rFonts w:hint="eastAsia" w:ascii="仿宋_GB2312"/>
          <w:sz w:val="32"/>
          <w:szCs w:val="32"/>
        </w:rPr>
        <w:t>固有业务各项资产净值×风险系数</w:t>
      </w:r>
    </w:p>
    <w:p>
      <w:pPr>
        <w:spacing w:before="156" w:beforeLines="50" w:after="156" w:afterLines="50" w:line="560" w:lineRule="atLeast"/>
        <w:ind w:firstLine="664" w:firstLineChars="200"/>
        <w:rPr>
          <w:rFonts w:ascii="仿宋_GB2312" w:hAnsi="Times New Roman"/>
          <w:sz w:val="32"/>
          <w:szCs w:val="32"/>
        </w:rPr>
      </w:pPr>
      <w:r>
        <w:rPr>
          <w:rFonts w:hint="eastAsia" w:ascii="仿宋_GB2312"/>
          <w:sz w:val="32"/>
          <w:szCs w:val="32"/>
        </w:rPr>
        <w:t>信托业务风险资本</w:t>
      </w:r>
      <w:r>
        <w:rPr>
          <w:rFonts w:hint="eastAsia" w:cs="宋体"/>
          <w:sz w:val="32"/>
          <w:szCs w:val="32"/>
        </w:rPr>
        <w:t>﹦</w:t>
      </w:r>
      <w:r>
        <w:rPr>
          <w:rFonts w:hint="eastAsia" w:ascii="仿宋_GB2312"/>
          <w:sz w:val="32"/>
          <w:szCs w:val="32"/>
        </w:rPr>
        <w:t>信托业务各项资产余额×风险系数</w:t>
      </w:r>
    </w:p>
    <w:p>
      <w:pPr>
        <w:spacing w:before="156" w:beforeLines="50" w:after="156" w:afterLines="50" w:line="560" w:lineRule="atLeast"/>
        <w:ind w:firstLine="664" w:firstLineChars="200"/>
        <w:rPr>
          <w:rFonts w:ascii="仿宋_GB2312" w:hAnsi="Times New Roman"/>
          <w:sz w:val="32"/>
          <w:szCs w:val="32"/>
        </w:rPr>
      </w:pPr>
      <w:r>
        <w:rPr>
          <w:rFonts w:hint="eastAsia" w:ascii="仿宋_GB2312"/>
          <w:sz w:val="32"/>
          <w:szCs w:val="32"/>
        </w:rPr>
        <w:t>其他业务风险资本</w:t>
      </w:r>
      <w:r>
        <w:rPr>
          <w:rFonts w:hint="eastAsia" w:cs="宋体"/>
          <w:sz w:val="32"/>
          <w:szCs w:val="32"/>
        </w:rPr>
        <w:t>﹦</w:t>
      </w:r>
      <w:r>
        <w:rPr>
          <w:rFonts w:hint="eastAsia" w:ascii="仿宋_GB2312"/>
          <w:sz w:val="32"/>
          <w:szCs w:val="32"/>
        </w:rPr>
        <w:t>其他各项业务余额×风险系数</w:t>
      </w:r>
    </w:p>
    <w:p>
      <w:pPr>
        <w:spacing w:before="156" w:beforeLines="50" w:after="156" w:afterLines="50" w:line="560" w:lineRule="atLeast"/>
        <w:ind w:firstLine="664" w:firstLineChars="200"/>
        <w:rPr>
          <w:rFonts w:ascii="仿宋_GB2312" w:hAnsi="Times New Roman"/>
          <w:sz w:val="32"/>
          <w:szCs w:val="32"/>
        </w:rPr>
      </w:pPr>
      <w:r>
        <w:rPr>
          <w:rFonts w:hint="eastAsia" w:ascii="仿宋_GB2312"/>
          <w:sz w:val="32"/>
          <w:szCs w:val="32"/>
        </w:rPr>
        <w:t>风险资本衡量信托公司开展各项经营业务所面临的风险，风险资本越高，对信托公司的资本金水平要求越高。不同评级的信托公司对应不同的风险系数。评级结果为</w:t>
      </w:r>
      <w:r>
        <w:rPr>
          <w:rFonts w:hint="eastAsia" w:ascii="仿宋_GB2312" w:hAnsi="Times New Roman"/>
          <w:sz w:val="32"/>
          <w:szCs w:val="32"/>
        </w:rPr>
        <w:t>3</w:t>
      </w:r>
      <w:r>
        <w:rPr>
          <w:rFonts w:hint="eastAsia" w:ascii="仿宋_GB2312"/>
          <w:sz w:val="32"/>
          <w:szCs w:val="32"/>
        </w:rPr>
        <w:t>级及以下的信托公司风险资本计算系数为标准系数，评级结果为</w:t>
      </w:r>
      <w:r>
        <w:rPr>
          <w:rFonts w:hint="eastAsia" w:ascii="仿宋_GB2312" w:hAnsi="Times New Roman"/>
          <w:sz w:val="32"/>
          <w:szCs w:val="32"/>
        </w:rPr>
        <w:t>1</w:t>
      </w:r>
      <w:r>
        <w:rPr>
          <w:rFonts w:hint="eastAsia" w:ascii="仿宋_GB2312"/>
          <w:sz w:val="32"/>
          <w:szCs w:val="32"/>
        </w:rPr>
        <w:t>级和</w:t>
      </w:r>
      <w:r>
        <w:rPr>
          <w:rFonts w:hint="eastAsia" w:ascii="仿宋_GB2312" w:hAnsi="Times New Roman"/>
          <w:sz w:val="32"/>
          <w:szCs w:val="32"/>
        </w:rPr>
        <w:t>2</w:t>
      </w:r>
      <w:r>
        <w:rPr>
          <w:rFonts w:hint="eastAsia" w:ascii="仿宋_GB2312"/>
          <w:sz w:val="32"/>
          <w:szCs w:val="32"/>
        </w:rPr>
        <w:t>级的信托公司风险资本计算系数在标准系数基础上下浮</w:t>
      </w:r>
      <w:r>
        <w:rPr>
          <w:rFonts w:hint="eastAsia" w:ascii="仿宋_GB2312" w:hAnsi="Times New Roman"/>
          <w:sz w:val="32"/>
          <w:szCs w:val="32"/>
        </w:rPr>
        <w:t>20%</w:t>
      </w:r>
      <w:r>
        <w:rPr>
          <w:rFonts w:hint="eastAsia" w:ascii="仿宋_GB2312"/>
          <w:sz w:val="32"/>
          <w:szCs w:val="32"/>
        </w:rPr>
        <w:t>。</w:t>
      </w:r>
    </w:p>
    <w:p>
      <w:pPr>
        <w:spacing w:before="156" w:beforeLines="50" w:after="156" w:afterLines="50"/>
        <w:ind w:left="624" w:leftChars="200"/>
        <w:outlineLvl w:val="2"/>
        <w:rPr>
          <w:rFonts w:ascii="仿宋_GB2312"/>
          <w:b/>
          <w:sz w:val="32"/>
          <w:szCs w:val="32"/>
        </w:rPr>
      </w:pPr>
      <w:r>
        <w:rPr>
          <w:rFonts w:hint="eastAsia" w:ascii="仿宋_GB2312"/>
          <w:b/>
          <w:sz w:val="32"/>
          <w:szCs w:val="32"/>
        </w:rPr>
        <w:t>（三）净资本/风险资本</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净资本</w:t>
      </w:r>
      <w:r>
        <w:rPr>
          <w:rFonts w:hint="eastAsia" w:ascii="仿宋_GB2312" w:hAnsi="Times New Roman"/>
          <w:sz w:val="32"/>
          <w:szCs w:val="32"/>
        </w:rPr>
        <w:t>/</w:t>
      </w:r>
      <w:r>
        <w:rPr>
          <w:rFonts w:hint="eastAsia" w:ascii="仿宋_GB2312"/>
          <w:sz w:val="32"/>
          <w:szCs w:val="32"/>
        </w:rPr>
        <w:t>风险资本比例衡量信托公司对业务风险的覆盖程度。根据监管要求，信托公司净资本水平不得低于各项风险资本之和的</w:t>
      </w:r>
      <w:r>
        <w:rPr>
          <w:rFonts w:hint="eastAsia" w:ascii="仿宋_GB2312" w:hAnsi="Times New Roman"/>
          <w:sz w:val="32"/>
          <w:szCs w:val="32"/>
        </w:rPr>
        <w:t>100%</w:t>
      </w:r>
      <w:r>
        <w:rPr>
          <w:rFonts w:hint="eastAsia" w:ascii="仿宋_GB2312"/>
          <w:sz w:val="32"/>
          <w:szCs w:val="32"/>
        </w:rPr>
        <w:t>。由于不同监管评级的信托公司适用不同的风险系数，所以处于较低评级的信托公司在进行规模扩张时将面临更严格的净资本要求。</w:t>
      </w:r>
    </w:p>
    <w:p>
      <w:pPr>
        <w:pStyle w:val="31"/>
        <w:spacing w:before="156" w:beforeLines="50" w:after="156" w:afterLines="50"/>
        <w:ind w:firstLine="664"/>
        <w:rPr>
          <w:rFonts w:ascii="仿宋_GB2312" w:hAnsi="Times New Roman"/>
          <w:sz w:val="32"/>
          <w:szCs w:val="32"/>
        </w:rPr>
      </w:pPr>
      <w:r>
        <w:rPr>
          <w:rFonts w:hint="eastAsia" w:ascii="仿宋_GB2312"/>
          <w:sz w:val="32"/>
          <w:szCs w:val="32"/>
        </w:rPr>
        <w:t>对信托公司进行评估，信托公司净资本</w:t>
      </w:r>
      <w:r>
        <w:rPr>
          <w:rFonts w:hint="eastAsia" w:ascii="仿宋_GB2312" w:hAnsi="Times New Roman"/>
          <w:sz w:val="32"/>
          <w:szCs w:val="32"/>
        </w:rPr>
        <w:t>/</w:t>
      </w:r>
      <w:r>
        <w:rPr>
          <w:rFonts w:hint="eastAsia" w:ascii="仿宋_GB2312"/>
          <w:sz w:val="32"/>
          <w:szCs w:val="32"/>
        </w:rPr>
        <w:t>风险资本比例出现不足或预警的，应分析其原因。如果是业务发展过快，脱离了资本约束，则应调节业务发展规模；如果业务发展合理，但是净资本没有得到及时的补充，则可通过发行资本工具、降低分红比例等方式对净资本进行相应补充。</w:t>
      </w:r>
    </w:p>
    <w:p>
      <w:pPr>
        <w:spacing w:before="156" w:beforeLines="50" w:after="156" w:afterLines="50"/>
        <w:ind w:left="624" w:leftChars="200"/>
        <w:outlineLvl w:val="2"/>
        <w:rPr>
          <w:rFonts w:ascii="仿宋_GB2312"/>
          <w:b/>
          <w:sz w:val="32"/>
          <w:szCs w:val="32"/>
        </w:rPr>
      </w:pPr>
      <w:r>
        <w:rPr>
          <w:rFonts w:hint="eastAsia" w:ascii="仿宋_GB2312"/>
          <w:b/>
          <w:sz w:val="32"/>
          <w:szCs w:val="32"/>
        </w:rPr>
        <w:t>（四）净资本/净资产</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净资本</w:t>
      </w:r>
      <w:r>
        <w:rPr>
          <w:rFonts w:hint="eastAsia" w:ascii="仿宋_GB2312" w:hAnsi="Times New Roman"/>
          <w:sz w:val="32"/>
          <w:szCs w:val="32"/>
        </w:rPr>
        <w:t>/</w:t>
      </w:r>
      <w:r>
        <w:rPr>
          <w:rFonts w:hint="eastAsia" w:ascii="仿宋_GB2312"/>
          <w:sz w:val="32"/>
          <w:szCs w:val="32"/>
        </w:rPr>
        <w:t>净资产比例衡量信托公司防御流动性风险的能力。</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根据监管要求，信托公司净资本不得低于净资产的</w:t>
      </w:r>
      <w:r>
        <w:rPr>
          <w:rFonts w:hint="eastAsia" w:ascii="仿宋_GB2312" w:hAnsi="Times New Roman"/>
          <w:sz w:val="32"/>
          <w:szCs w:val="32"/>
        </w:rPr>
        <w:t>40%</w:t>
      </w:r>
      <w:r>
        <w:rPr>
          <w:rFonts w:hint="eastAsia" w:ascii="仿宋_GB2312"/>
          <w:sz w:val="32"/>
          <w:szCs w:val="32"/>
        </w:rPr>
        <w:t>。对信托公司进行评估，应计算其净资本</w:t>
      </w:r>
      <w:r>
        <w:rPr>
          <w:rFonts w:hint="eastAsia" w:ascii="仿宋_GB2312" w:hAnsi="Times New Roman"/>
          <w:sz w:val="32"/>
          <w:szCs w:val="32"/>
        </w:rPr>
        <w:t>/</w:t>
      </w:r>
      <w:r>
        <w:rPr>
          <w:rFonts w:hint="eastAsia" w:ascii="仿宋_GB2312"/>
          <w:sz w:val="32"/>
          <w:szCs w:val="32"/>
        </w:rPr>
        <w:t>净资产比例，预测结果应符合历史趋势和信托公司未来走势。净资本</w:t>
      </w:r>
      <w:r>
        <w:rPr>
          <w:rFonts w:hint="eastAsia" w:ascii="仿宋_GB2312" w:hAnsi="Times New Roman"/>
          <w:sz w:val="32"/>
          <w:szCs w:val="32"/>
        </w:rPr>
        <w:t>/</w:t>
      </w:r>
      <w:r>
        <w:rPr>
          <w:rFonts w:hint="eastAsia" w:ascii="仿宋_GB2312"/>
          <w:sz w:val="32"/>
          <w:szCs w:val="32"/>
        </w:rPr>
        <w:t>净资产比例不符合监管要求的，应考虑其资产配置是否合理。</w:t>
      </w:r>
    </w:p>
    <w:p>
      <w:pPr>
        <w:spacing w:before="156" w:beforeLines="50" w:after="156" w:afterLines="50"/>
        <w:ind w:left="624" w:leftChars="200"/>
        <w:outlineLvl w:val="2"/>
        <w:rPr>
          <w:rFonts w:ascii="仿宋_GB2312"/>
          <w:b/>
          <w:sz w:val="32"/>
          <w:szCs w:val="32"/>
        </w:rPr>
      </w:pPr>
      <w:r>
        <w:rPr>
          <w:rFonts w:hint="eastAsia" w:ascii="仿宋_GB2312"/>
          <w:b/>
          <w:sz w:val="32"/>
          <w:szCs w:val="32"/>
        </w:rPr>
        <w:t>（五）信托赔偿准备金</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信托赔偿准备是指从事信托业务的金融企业按规定从净利润中提取，用于赔偿信托业务损失的风险准备。</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根据监管要求，信托公司每年应当从税后利润中提取</w:t>
      </w:r>
      <w:r>
        <w:rPr>
          <w:rFonts w:hint="eastAsia" w:ascii="仿宋_GB2312" w:hAnsi="Times New Roman"/>
          <w:sz w:val="32"/>
          <w:szCs w:val="32"/>
        </w:rPr>
        <w:t>5%</w:t>
      </w:r>
      <w:r>
        <w:rPr>
          <w:rFonts w:hint="eastAsia" w:ascii="仿宋_GB2312"/>
          <w:sz w:val="32"/>
          <w:szCs w:val="32"/>
        </w:rPr>
        <w:t>作为信托赔偿准备金，但该赔偿准备金累计总额达到公司注册资本的</w:t>
      </w:r>
      <w:r>
        <w:rPr>
          <w:rFonts w:hint="eastAsia" w:ascii="仿宋_GB2312" w:hAnsi="Times New Roman"/>
          <w:sz w:val="32"/>
          <w:szCs w:val="32"/>
        </w:rPr>
        <w:t>20%</w:t>
      </w:r>
      <w:r>
        <w:rPr>
          <w:rFonts w:hint="eastAsia" w:ascii="仿宋_GB2312"/>
          <w:sz w:val="32"/>
          <w:szCs w:val="32"/>
        </w:rPr>
        <w:t>时，可不再提取。</w:t>
      </w:r>
    </w:p>
    <w:p>
      <w:pPr>
        <w:spacing w:before="156" w:beforeLines="50" w:after="156" w:afterLines="50"/>
        <w:ind w:firstLine="664" w:firstLineChars="200"/>
        <w:rPr>
          <w:rFonts w:ascii="仿宋_GB2312" w:hAnsi="Times New Roman"/>
          <w:sz w:val="32"/>
          <w:szCs w:val="32"/>
        </w:rPr>
      </w:pPr>
      <w:r>
        <w:rPr>
          <w:rFonts w:hint="eastAsia" w:ascii="仿宋_GB2312"/>
          <w:sz w:val="32"/>
          <w:szCs w:val="32"/>
        </w:rPr>
        <w:t>目前我国信托赔偿准备金的来源较为单一，信托赔偿准备金的规模与信托公司管理的信托资产规模相差甚远，尚不足以发挥防范风险的作用。</w:t>
      </w:r>
    </w:p>
    <w:p>
      <w:pPr>
        <w:spacing w:before="156" w:beforeLines="50" w:after="156" w:afterLines="50"/>
        <w:ind w:firstLine="667" w:firstLineChars="200"/>
        <w:rPr>
          <w:rFonts w:ascii="仿宋_GB2312"/>
          <w:b/>
          <w:bCs/>
          <w:sz w:val="32"/>
          <w:szCs w:val="32"/>
        </w:rPr>
      </w:pPr>
      <w:r>
        <w:rPr>
          <w:rFonts w:hint="eastAsia" w:ascii="仿宋_GB2312"/>
          <w:b/>
          <w:bCs/>
          <w:sz w:val="32"/>
          <w:szCs w:val="32"/>
        </w:rPr>
        <w:t>四、评估中应关注的问题</w:t>
      </w:r>
    </w:p>
    <w:p>
      <w:pPr>
        <w:spacing w:before="156" w:beforeLines="50" w:after="156" w:afterLines="50"/>
        <w:ind w:firstLine="664" w:firstLineChars="200"/>
        <w:rPr>
          <w:rFonts w:ascii="仿宋_GB2312"/>
          <w:sz w:val="32"/>
          <w:szCs w:val="32"/>
        </w:rPr>
      </w:pPr>
    </w:p>
    <w:p>
      <w:pPr>
        <w:spacing w:before="156" w:beforeLines="50" w:after="156" w:afterLines="50"/>
        <w:ind w:firstLine="664" w:firstLineChars="200"/>
        <w:rPr>
          <w:rFonts w:ascii="仿宋_GB2312"/>
          <w:sz w:val="32"/>
          <w:szCs w:val="32"/>
        </w:rPr>
      </w:pPr>
      <w:r>
        <w:rPr>
          <w:rFonts w:hint="eastAsia" w:ascii="仿宋_GB2312"/>
          <w:sz w:val="32"/>
          <w:szCs w:val="32"/>
        </w:rPr>
        <w:t>信托公司进行各项经营活动，应保证一定的资本水平，以抵御可能出现的经营风险和流动性风险。对信托公司进行评估，应关注其净资本</w:t>
      </w:r>
      <w:r>
        <w:rPr>
          <w:rFonts w:ascii="仿宋_GB2312"/>
          <w:sz w:val="32"/>
          <w:szCs w:val="32"/>
        </w:rPr>
        <w:t>/风险资本比例和净资本/净资产比例是否符合监管要求。信托公司净资本水平不足或可能出现不足的，评估机构可以合理预测其业务发展规模。此外，信托公司也可以通过发行资本工具、降低分红水平等方式对资本金进行补充。对于净资本水平不足的信托公司，评估机构应在评估报告中披露相关风险。</w:t>
      </w:r>
    </w:p>
    <w:p>
      <w:pPr>
        <w:spacing w:before="156" w:beforeLines="50" w:after="156" w:afterLines="50"/>
        <w:ind w:firstLine="664" w:firstLineChars="200"/>
        <w:rPr>
          <w:rFonts w:ascii="仿宋_GB2312"/>
          <w:sz w:val="32"/>
          <w:szCs w:val="32"/>
        </w:rPr>
      </w:pPr>
      <w:r>
        <w:rPr>
          <w:rFonts w:hint="eastAsia" w:ascii="仿宋_GB2312"/>
          <w:sz w:val="32"/>
          <w:szCs w:val="32"/>
        </w:rPr>
        <w:t>信托赔偿准备金主要用于赔偿信托项目可能出现的损失。需要注意的是，信托赔偿准备金的金额相对于信托项目金额来说较小，信托公司依法提取信托赔偿准备金，尚不足以表示其对于信托项目的风险覆盖程度较好。对信托公司进行评估，还应该分析具体信托项目的风险水平，并在评估报告中披露相关风险。</w:t>
      </w:r>
    </w:p>
    <w:p>
      <w:pPr>
        <w:widowControl w:val="0"/>
        <w:wordWrap/>
        <w:autoSpaceDE w:val="0"/>
        <w:autoSpaceDN w:val="0"/>
        <w:adjustRightInd w:val="0"/>
        <w:snapToGrid w:val="0"/>
        <w:spacing w:before="157" w:beforeLines="50" w:after="157" w:afterLines="50" w:line="588" w:lineRule="atLeast"/>
        <w:ind w:left="0" w:leftChars="0" w:right="0" w:firstLine="0" w:firstLineChars="0"/>
        <w:jc w:val="center"/>
        <w:textAlignment w:val="auto"/>
        <w:outlineLvl w:val="9"/>
        <w:rPr>
          <w:rFonts w:ascii="仿宋_GB2312"/>
          <w:b/>
          <w:sz w:val="32"/>
          <w:szCs w:val="32"/>
        </w:rPr>
      </w:pPr>
      <w:r>
        <w:rPr>
          <w:rFonts w:hint="eastAsia" w:ascii="仿宋_GB2312"/>
          <w:b/>
          <w:sz w:val="32"/>
          <w:szCs w:val="32"/>
        </w:rPr>
        <w:t>第六章 其他金融企业监管指标简述</w:t>
      </w:r>
    </w:p>
    <w:p>
      <w:pPr>
        <w:spacing w:before="156" w:beforeLines="50" w:after="156" w:afterLines="50"/>
        <w:ind w:left="624" w:leftChars="200"/>
        <w:outlineLvl w:val="1"/>
        <w:rPr>
          <w:rFonts w:ascii="仿宋_GB2312"/>
          <w:b/>
          <w:sz w:val="32"/>
          <w:szCs w:val="32"/>
        </w:rPr>
      </w:pPr>
      <w:r>
        <w:rPr>
          <w:rFonts w:hint="eastAsia" w:ascii="仿宋_GB2312"/>
          <w:b/>
          <w:sz w:val="32"/>
          <w:szCs w:val="32"/>
        </w:rPr>
        <w:t>一、金融资产管理公司</w:t>
      </w:r>
    </w:p>
    <w:p>
      <w:pPr>
        <w:spacing w:before="156" w:beforeLines="50" w:after="156" w:afterLines="50"/>
        <w:ind w:firstLine="664" w:firstLineChars="200"/>
        <w:rPr>
          <w:rFonts w:ascii="仿宋_GB2312"/>
          <w:sz w:val="32"/>
          <w:szCs w:val="32"/>
        </w:rPr>
      </w:pPr>
      <w:r>
        <w:rPr>
          <w:rFonts w:hint="eastAsia" w:ascii="仿宋_GB2312"/>
          <w:sz w:val="32"/>
          <w:szCs w:val="32"/>
        </w:rPr>
        <w:t>金融资产管理公司开展各项经营业务，主要受中国银监会和中国人民银行监管。</w:t>
      </w:r>
    </w:p>
    <w:p>
      <w:pPr>
        <w:spacing w:before="156" w:beforeLines="50" w:after="156" w:afterLines="50"/>
        <w:ind w:firstLine="664" w:firstLineChars="200"/>
        <w:rPr>
          <w:rFonts w:ascii="仿宋_GB2312"/>
          <w:sz w:val="32"/>
          <w:szCs w:val="32"/>
        </w:rPr>
      </w:pPr>
      <w:r>
        <w:rPr>
          <w:rFonts w:hint="eastAsia" w:ascii="仿宋_GB2312"/>
          <w:sz w:val="32"/>
          <w:szCs w:val="32"/>
        </w:rPr>
        <w:t>对金融资产管理公司进行评估，应关注的金融监管指标及相关要求包括：</w:t>
      </w:r>
    </w:p>
    <w:p>
      <w:pPr>
        <w:spacing w:before="156" w:beforeLines="50" w:after="156" w:afterLines="50"/>
        <w:ind w:firstLine="664" w:firstLineChars="200"/>
        <w:rPr>
          <w:rFonts w:ascii="仿宋_GB2312"/>
          <w:sz w:val="32"/>
          <w:szCs w:val="32"/>
        </w:rPr>
      </w:pPr>
      <w:r>
        <w:rPr>
          <w:rFonts w:hint="eastAsia" w:ascii="仿宋_GB2312"/>
          <w:sz w:val="32"/>
          <w:szCs w:val="32"/>
        </w:rPr>
        <w:t>（一）资产公司最低资本为风险加权资产（含表外资产）的12.5%，不良资产运营的最低资本为以不良资产收购成本为基础计算的风险加权资产的8%；</w:t>
      </w:r>
    </w:p>
    <w:p>
      <w:pPr>
        <w:spacing w:before="156" w:beforeLines="50" w:after="156" w:afterLines="50"/>
        <w:ind w:firstLine="664" w:firstLineChars="200"/>
        <w:rPr>
          <w:rFonts w:ascii="仿宋_GB2312"/>
          <w:sz w:val="32"/>
          <w:szCs w:val="32"/>
        </w:rPr>
      </w:pPr>
      <w:r>
        <w:rPr>
          <w:rFonts w:hint="eastAsia" w:ascii="仿宋_GB2312"/>
          <w:sz w:val="32"/>
          <w:szCs w:val="32"/>
        </w:rPr>
        <w:t>（二）集团合并财务杠杆率不低于6%，资产公司财务杠杆率不低于6%；</w:t>
      </w:r>
    </w:p>
    <w:p>
      <w:pPr>
        <w:spacing w:before="156" w:beforeLines="50" w:after="156" w:afterLines="50"/>
        <w:ind w:firstLine="664" w:firstLineChars="200"/>
        <w:rPr>
          <w:rFonts w:ascii="仿宋_GB2312"/>
          <w:sz w:val="32"/>
          <w:szCs w:val="32"/>
        </w:rPr>
      </w:pPr>
      <w:r>
        <w:rPr>
          <w:rFonts w:hint="eastAsia" w:ascii="仿宋_GB2312"/>
          <w:sz w:val="32"/>
          <w:szCs w:val="32"/>
        </w:rPr>
        <w:t>（三）资产公司流动性比例不低于15%。</w:t>
      </w:r>
    </w:p>
    <w:p>
      <w:pPr>
        <w:spacing w:before="156" w:beforeLines="50" w:after="156" w:afterLines="50"/>
        <w:ind w:left="624" w:leftChars="200"/>
        <w:outlineLvl w:val="1"/>
        <w:rPr>
          <w:rFonts w:ascii="仿宋_GB2312"/>
          <w:b/>
          <w:sz w:val="32"/>
          <w:szCs w:val="32"/>
        </w:rPr>
      </w:pPr>
      <w:r>
        <w:rPr>
          <w:rFonts w:hint="eastAsia" w:ascii="仿宋_GB2312"/>
          <w:b/>
          <w:sz w:val="32"/>
          <w:szCs w:val="32"/>
        </w:rPr>
        <w:t>二、金融租赁公司</w:t>
      </w:r>
    </w:p>
    <w:p>
      <w:pPr>
        <w:spacing w:before="156" w:beforeLines="50" w:after="156" w:afterLines="50"/>
        <w:ind w:firstLine="664" w:firstLineChars="200"/>
        <w:rPr>
          <w:rFonts w:ascii="仿宋_GB2312"/>
          <w:sz w:val="32"/>
          <w:szCs w:val="32"/>
        </w:rPr>
      </w:pPr>
      <w:r>
        <w:rPr>
          <w:rFonts w:hint="eastAsia" w:ascii="仿宋_GB2312"/>
          <w:sz w:val="32"/>
          <w:szCs w:val="32"/>
        </w:rPr>
        <w:t>金融租赁公司开展各项经营业务，主要受中国银监会和中国人民银行监管。</w:t>
      </w:r>
    </w:p>
    <w:p>
      <w:pPr>
        <w:spacing w:before="156" w:beforeLines="50" w:after="156" w:afterLines="50"/>
        <w:ind w:firstLine="664" w:firstLineChars="200"/>
        <w:rPr>
          <w:rFonts w:ascii="仿宋_GB2312"/>
          <w:sz w:val="32"/>
          <w:szCs w:val="32"/>
        </w:rPr>
      </w:pPr>
      <w:r>
        <w:rPr>
          <w:rFonts w:hint="eastAsia" w:ascii="仿宋_GB2312"/>
          <w:sz w:val="32"/>
          <w:szCs w:val="32"/>
        </w:rPr>
        <w:t>对金融租赁公司进行评估，应关注的金融监管指标及相关要求包括：</w:t>
      </w:r>
    </w:p>
    <w:p>
      <w:pPr>
        <w:spacing w:before="156" w:beforeLines="50" w:after="156" w:afterLines="50"/>
        <w:ind w:firstLine="664" w:firstLineChars="200"/>
        <w:rPr>
          <w:rFonts w:ascii="仿宋_GB2312"/>
          <w:sz w:val="32"/>
          <w:szCs w:val="32"/>
        </w:rPr>
      </w:pPr>
      <w:r>
        <w:rPr>
          <w:rFonts w:hint="eastAsia" w:ascii="仿宋_GB2312"/>
          <w:sz w:val="32"/>
          <w:szCs w:val="32"/>
        </w:rPr>
        <w:t>（一）资本充足率：金融租赁公司资本净额与风险加权资产的比例不得低于中国银监会的最低监管要求；</w:t>
      </w:r>
    </w:p>
    <w:p>
      <w:pPr>
        <w:spacing w:before="156" w:beforeLines="50" w:after="156" w:afterLines="50"/>
        <w:ind w:firstLine="664" w:firstLineChars="200"/>
        <w:rPr>
          <w:rFonts w:ascii="仿宋_GB2312"/>
          <w:sz w:val="32"/>
          <w:szCs w:val="32"/>
        </w:rPr>
      </w:pPr>
      <w:r>
        <w:rPr>
          <w:rFonts w:hint="eastAsia" w:ascii="仿宋_GB2312"/>
          <w:sz w:val="32"/>
          <w:szCs w:val="32"/>
        </w:rPr>
        <w:t>（二）单一客户融资集中度：金融租赁公司对单一承租人的全部融资租赁业务余额不得超过资本净额的30%；</w:t>
      </w:r>
    </w:p>
    <w:p>
      <w:pPr>
        <w:spacing w:before="156" w:beforeLines="50" w:after="156" w:afterLines="50"/>
        <w:ind w:firstLine="664" w:firstLineChars="200"/>
        <w:rPr>
          <w:rFonts w:ascii="仿宋_GB2312"/>
          <w:sz w:val="32"/>
          <w:szCs w:val="32"/>
        </w:rPr>
      </w:pPr>
      <w:r>
        <w:rPr>
          <w:rFonts w:hint="eastAsia" w:ascii="仿宋_GB2312"/>
          <w:sz w:val="32"/>
          <w:szCs w:val="32"/>
        </w:rPr>
        <w:t>（三）单一集团客户融资集中度：金融租赁公司对单一集团的全部融资租赁业务余额不得超过资本净额的50%；</w:t>
      </w:r>
    </w:p>
    <w:p>
      <w:pPr>
        <w:spacing w:before="156" w:beforeLines="50" w:after="156" w:afterLines="50"/>
        <w:ind w:firstLine="664" w:firstLineChars="200"/>
        <w:rPr>
          <w:rFonts w:ascii="仿宋_GB2312"/>
          <w:sz w:val="32"/>
          <w:szCs w:val="32"/>
        </w:rPr>
      </w:pPr>
      <w:r>
        <w:rPr>
          <w:rFonts w:hint="eastAsia" w:ascii="仿宋_GB2312"/>
          <w:sz w:val="32"/>
          <w:szCs w:val="32"/>
        </w:rPr>
        <w:t>（四）单一客户关联度：金融租赁公司对一个关联方的全部融资租赁业务余额不得超过资本净额的30%；</w:t>
      </w:r>
    </w:p>
    <w:p>
      <w:pPr>
        <w:spacing w:before="156" w:beforeLines="50" w:after="156" w:afterLines="50"/>
        <w:ind w:firstLine="664" w:firstLineChars="200"/>
        <w:rPr>
          <w:rFonts w:ascii="仿宋_GB2312"/>
          <w:sz w:val="32"/>
          <w:szCs w:val="32"/>
        </w:rPr>
      </w:pPr>
      <w:r>
        <w:rPr>
          <w:rFonts w:hint="eastAsia" w:ascii="仿宋_GB2312"/>
          <w:sz w:val="32"/>
          <w:szCs w:val="32"/>
        </w:rPr>
        <w:t>（五）全部关联度：金融租赁公司对全部关联方的全部融资租赁业务余额不得超过资本净额的50%；</w:t>
      </w:r>
    </w:p>
    <w:p>
      <w:pPr>
        <w:spacing w:before="156" w:beforeLines="50" w:after="156" w:afterLines="50"/>
        <w:ind w:firstLine="664" w:firstLineChars="200"/>
        <w:rPr>
          <w:rFonts w:ascii="仿宋_GB2312"/>
          <w:sz w:val="32"/>
          <w:szCs w:val="32"/>
        </w:rPr>
      </w:pPr>
      <w:r>
        <w:rPr>
          <w:rFonts w:hint="eastAsia" w:ascii="仿宋_GB2312"/>
          <w:sz w:val="32"/>
          <w:szCs w:val="32"/>
        </w:rPr>
        <w:t>（六）单一股东关联度：对单一股东及其全部关联方的融资余额不得超过该股东在金融租赁公司的出资额，且应同时满足本办法对单一客户关联度的规定；</w:t>
      </w:r>
    </w:p>
    <w:p>
      <w:pPr>
        <w:spacing w:before="156" w:beforeLines="50" w:after="156" w:afterLines="50"/>
        <w:ind w:left="0" w:firstLine="664" w:firstLineChars="200"/>
        <w:rPr>
          <w:rFonts w:ascii="仿宋_GB2312"/>
          <w:sz w:val="32"/>
          <w:szCs w:val="32"/>
        </w:rPr>
      </w:pPr>
      <w:r>
        <w:rPr>
          <w:rFonts w:hint="eastAsia" w:ascii="仿宋_GB2312"/>
          <w:sz w:val="32"/>
          <w:szCs w:val="32"/>
        </w:rPr>
        <w:t>（七）同业拆借比例：金融租赁公司同业拆入资金余额不得超过资本净额的100%。</w:t>
      </w:r>
    </w:p>
    <w:p>
      <w:pPr>
        <w:spacing w:before="156" w:beforeLines="50" w:after="156" w:afterLines="50"/>
        <w:ind w:left="624" w:leftChars="200"/>
        <w:outlineLvl w:val="1"/>
        <w:rPr>
          <w:rFonts w:ascii="仿宋_GB2312"/>
          <w:b/>
          <w:sz w:val="32"/>
          <w:szCs w:val="32"/>
        </w:rPr>
      </w:pPr>
      <w:r>
        <w:rPr>
          <w:rFonts w:hint="eastAsia" w:ascii="仿宋_GB2312"/>
          <w:b/>
          <w:sz w:val="32"/>
          <w:szCs w:val="32"/>
        </w:rPr>
        <w:t>三、汽车金融公司</w:t>
      </w:r>
    </w:p>
    <w:p>
      <w:pPr>
        <w:spacing w:before="156" w:beforeLines="50" w:after="156" w:afterLines="50"/>
        <w:ind w:firstLine="664" w:firstLineChars="200"/>
        <w:rPr>
          <w:rFonts w:ascii="仿宋_GB2312"/>
          <w:sz w:val="32"/>
          <w:szCs w:val="32"/>
        </w:rPr>
      </w:pPr>
      <w:r>
        <w:rPr>
          <w:rFonts w:hint="eastAsia" w:ascii="仿宋_GB2312"/>
          <w:sz w:val="32"/>
          <w:szCs w:val="32"/>
        </w:rPr>
        <w:t>汽车金融公司开展各项经营业务，主要受中国银监会和中国人民银行监管。</w:t>
      </w:r>
    </w:p>
    <w:p>
      <w:pPr>
        <w:spacing w:before="156" w:beforeLines="50" w:after="156" w:afterLines="50"/>
        <w:ind w:firstLine="664" w:firstLineChars="200"/>
        <w:rPr>
          <w:rFonts w:ascii="仿宋_GB2312"/>
          <w:sz w:val="32"/>
          <w:szCs w:val="32"/>
        </w:rPr>
      </w:pPr>
      <w:r>
        <w:rPr>
          <w:rFonts w:hint="eastAsia" w:ascii="仿宋_GB2312"/>
          <w:sz w:val="32"/>
          <w:szCs w:val="32"/>
        </w:rPr>
        <w:t>对汽车金融公司进行评估，应关注的金融监管指标及相关要求包括：</w:t>
      </w:r>
    </w:p>
    <w:p>
      <w:pPr>
        <w:spacing w:before="156" w:beforeLines="50" w:after="156" w:afterLines="50"/>
        <w:ind w:firstLine="664" w:firstLineChars="200"/>
        <w:rPr>
          <w:rFonts w:ascii="仿宋_GB2312"/>
          <w:sz w:val="32"/>
          <w:szCs w:val="32"/>
        </w:rPr>
      </w:pPr>
      <w:r>
        <w:rPr>
          <w:rFonts w:hint="eastAsia" w:ascii="仿宋_GB2312"/>
          <w:sz w:val="32"/>
          <w:szCs w:val="32"/>
        </w:rPr>
        <w:t>（一）</w:t>
      </w:r>
      <w:r>
        <w:rPr>
          <w:rFonts w:ascii="仿宋_GB2312"/>
          <w:sz w:val="32"/>
          <w:szCs w:val="32"/>
        </w:rPr>
        <w:t>资本充足率不低于8%，核心资本充足率不低于4%；</w:t>
      </w:r>
    </w:p>
    <w:p>
      <w:pPr>
        <w:spacing w:before="156" w:beforeLines="50" w:after="156" w:afterLines="50"/>
        <w:ind w:firstLine="664" w:firstLineChars="200"/>
        <w:rPr>
          <w:rFonts w:ascii="仿宋_GB2312"/>
          <w:sz w:val="32"/>
          <w:szCs w:val="32"/>
        </w:rPr>
      </w:pPr>
      <w:r>
        <w:rPr>
          <w:rFonts w:hint="eastAsia" w:ascii="仿宋_GB2312"/>
          <w:sz w:val="32"/>
          <w:szCs w:val="32"/>
        </w:rPr>
        <w:t>（二）</w:t>
      </w:r>
      <w:r>
        <w:rPr>
          <w:rFonts w:ascii="仿宋_GB2312"/>
          <w:sz w:val="32"/>
          <w:szCs w:val="32"/>
        </w:rPr>
        <w:t>对单一借款人的授信余额不得超过资本净额的15%；</w:t>
      </w:r>
    </w:p>
    <w:p>
      <w:pPr>
        <w:spacing w:before="156" w:beforeLines="50" w:after="156" w:afterLines="50"/>
        <w:ind w:firstLine="664" w:firstLineChars="200"/>
        <w:rPr>
          <w:rFonts w:ascii="仿宋_GB2312"/>
          <w:sz w:val="32"/>
          <w:szCs w:val="32"/>
        </w:rPr>
      </w:pPr>
      <w:r>
        <w:rPr>
          <w:rFonts w:hint="eastAsia" w:ascii="仿宋_GB2312"/>
          <w:sz w:val="32"/>
          <w:szCs w:val="32"/>
        </w:rPr>
        <w:t>（三）</w:t>
      </w:r>
      <w:r>
        <w:rPr>
          <w:rFonts w:ascii="仿宋_GB2312"/>
          <w:sz w:val="32"/>
          <w:szCs w:val="32"/>
        </w:rPr>
        <w:t>对单一集团客户的授信余额不得超过资本净额的50%；</w:t>
      </w:r>
    </w:p>
    <w:p>
      <w:pPr>
        <w:spacing w:before="156" w:beforeLines="50" w:after="156" w:afterLines="50"/>
        <w:ind w:firstLine="664" w:firstLineChars="200"/>
        <w:rPr>
          <w:rFonts w:ascii="仿宋_GB2312"/>
          <w:sz w:val="32"/>
          <w:szCs w:val="32"/>
        </w:rPr>
      </w:pPr>
      <w:r>
        <w:rPr>
          <w:rFonts w:hint="eastAsia" w:ascii="仿宋_GB2312"/>
          <w:sz w:val="32"/>
          <w:szCs w:val="32"/>
        </w:rPr>
        <w:t>（四）</w:t>
      </w:r>
      <w:r>
        <w:rPr>
          <w:rFonts w:ascii="仿宋_GB2312"/>
          <w:sz w:val="32"/>
          <w:szCs w:val="32"/>
        </w:rPr>
        <w:t>对单一股东及其关联方的授信余额不得超过该股东在汽车金融公司的出资额；</w:t>
      </w:r>
    </w:p>
    <w:p>
      <w:pPr>
        <w:spacing w:before="156" w:beforeLines="50" w:after="156" w:afterLines="50"/>
        <w:ind w:firstLine="664" w:firstLineChars="200"/>
        <w:rPr>
          <w:rFonts w:ascii="仿宋_GB2312"/>
          <w:sz w:val="32"/>
          <w:szCs w:val="32"/>
        </w:rPr>
      </w:pPr>
      <w:r>
        <w:rPr>
          <w:rFonts w:hint="eastAsia" w:ascii="仿宋_GB2312"/>
          <w:sz w:val="32"/>
          <w:szCs w:val="32"/>
        </w:rPr>
        <w:t>（五）</w:t>
      </w:r>
      <w:r>
        <w:rPr>
          <w:rFonts w:ascii="仿宋_GB2312"/>
          <w:sz w:val="32"/>
          <w:szCs w:val="32"/>
        </w:rPr>
        <w:t>自用固定资产比例不得超过资本净额的40%。</w:t>
      </w:r>
    </w:p>
    <w:p>
      <w:pPr>
        <w:spacing w:before="156" w:beforeLines="50" w:after="156" w:afterLines="50"/>
        <w:ind w:left="624" w:leftChars="200"/>
        <w:outlineLvl w:val="1"/>
        <w:rPr>
          <w:rFonts w:ascii="仿宋_GB2312"/>
          <w:b/>
          <w:sz w:val="32"/>
          <w:szCs w:val="32"/>
        </w:rPr>
      </w:pPr>
      <w:r>
        <w:rPr>
          <w:rFonts w:hint="eastAsia" w:ascii="仿宋_GB2312"/>
          <w:b/>
          <w:sz w:val="32"/>
          <w:szCs w:val="32"/>
        </w:rPr>
        <w:t>四、消费金融公司</w:t>
      </w:r>
    </w:p>
    <w:p>
      <w:pPr>
        <w:spacing w:before="156" w:beforeLines="50" w:after="156" w:afterLines="50"/>
        <w:ind w:firstLine="664" w:firstLineChars="200"/>
        <w:rPr>
          <w:rFonts w:ascii="仿宋_GB2312"/>
          <w:sz w:val="32"/>
          <w:szCs w:val="32"/>
        </w:rPr>
      </w:pPr>
      <w:r>
        <w:rPr>
          <w:rFonts w:hint="eastAsia" w:ascii="仿宋_GB2312"/>
          <w:sz w:val="32"/>
          <w:szCs w:val="32"/>
        </w:rPr>
        <w:t>消费金融公司开展各项经营业务，主要受中国银监会和中国人民银行监管。</w:t>
      </w:r>
    </w:p>
    <w:p>
      <w:pPr>
        <w:spacing w:before="156" w:beforeLines="50" w:after="156" w:afterLines="50"/>
        <w:ind w:firstLine="664" w:firstLineChars="200"/>
        <w:rPr>
          <w:rFonts w:ascii="仿宋_GB2312"/>
          <w:sz w:val="32"/>
          <w:szCs w:val="32"/>
        </w:rPr>
      </w:pPr>
      <w:r>
        <w:rPr>
          <w:rFonts w:hint="eastAsia" w:ascii="仿宋_GB2312"/>
          <w:sz w:val="32"/>
          <w:szCs w:val="32"/>
        </w:rPr>
        <w:t>对消费金融公司进行评估，应关注的金融监管指标及相关要求包括：</w:t>
      </w:r>
    </w:p>
    <w:p>
      <w:pPr>
        <w:spacing w:before="156" w:beforeLines="50" w:after="156" w:afterLines="50"/>
        <w:ind w:firstLine="664" w:firstLineChars="200"/>
        <w:rPr>
          <w:rFonts w:ascii="仿宋_GB2312"/>
          <w:sz w:val="32"/>
          <w:szCs w:val="32"/>
        </w:rPr>
      </w:pPr>
      <w:r>
        <w:rPr>
          <w:rFonts w:hint="eastAsia" w:ascii="仿宋_GB2312"/>
          <w:sz w:val="32"/>
          <w:szCs w:val="32"/>
        </w:rPr>
        <w:t>（一）资本充足率不低于100%；</w:t>
      </w:r>
    </w:p>
    <w:p>
      <w:pPr>
        <w:spacing w:before="156" w:beforeLines="50" w:after="156" w:afterLines="50"/>
        <w:ind w:firstLine="664" w:firstLineChars="200"/>
        <w:rPr>
          <w:rFonts w:ascii="仿宋_GB2312"/>
          <w:sz w:val="32"/>
          <w:szCs w:val="32"/>
        </w:rPr>
      </w:pPr>
      <w:r>
        <w:rPr>
          <w:rFonts w:hint="eastAsia" w:ascii="仿宋_GB2312"/>
          <w:sz w:val="32"/>
          <w:szCs w:val="32"/>
        </w:rPr>
        <w:t>（二）同业拆入资金比例不高于资本总额的100%；</w:t>
      </w:r>
    </w:p>
    <w:p>
      <w:pPr>
        <w:spacing w:before="156" w:beforeLines="50" w:after="156" w:afterLines="50"/>
        <w:ind w:firstLine="664" w:firstLineChars="200"/>
        <w:rPr>
          <w:rFonts w:ascii="仿宋_GB2312"/>
          <w:sz w:val="32"/>
          <w:szCs w:val="32"/>
        </w:rPr>
      </w:pPr>
      <w:r>
        <w:rPr>
          <w:rFonts w:hint="eastAsia" w:ascii="仿宋_GB2312"/>
          <w:sz w:val="32"/>
          <w:szCs w:val="32"/>
        </w:rPr>
        <w:t>（三）资产损失准备充足率不低于100%；</w:t>
      </w:r>
    </w:p>
    <w:p>
      <w:pPr>
        <w:spacing w:before="156" w:beforeLines="50" w:after="156" w:afterLines="50"/>
        <w:ind w:firstLine="664" w:firstLineChars="200"/>
        <w:rPr>
          <w:rFonts w:ascii="仿宋_GB2312"/>
          <w:sz w:val="32"/>
          <w:szCs w:val="32"/>
        </w:rPr>
      </w:pPr>
      <w:r>
        <w:rPr>
          <w:rFonts w:hint="eastAsia" w:ascii="仿宋_GB2312"/>
          <w:sz w:val="32"/>
          <w:szCs w:val="32"/>
        </w:rPr>
        <w:t>（四）投资余额不高于资本总额的20%。</w:t>
      </w:r>
    </w:p>
    <w:p>
      <w:pPr>
        <w:spacing w:before="156" w:beforeLines="50" w:after="156" w:afterLines="50"/>
        <w:ind w:firstLine="667" w:firstLineChars="200"/>
        <w:outlineLvl w:val="1"/>
        <w:rPr>
          <w:rFonts w:ascii="仿宋_GB2312"/>
          <w:b/>
          <w:sz w:val="32"/>
          <w:szCs w:val="32"/>
        </w:rPr>
      </w:pPr>
      <w:r>
        <w:rPr>
          <w:rFonts w:hint="eastAsia" w:ascii="仿宋_GB2312"/>
          <w:b/>
          <w:sz w:val="32"/>
          <w:szCs w:val="32"/>
        </w:rPr>
        <w:t>五、期货公司</w:t>
      </w:r>
    </w:p>
    <w:p>
      <w:pPr>
        <w:spacing w:before="156" w:beforeLines="50" w:after="156" w:afterLines="50"/>
        <w:ind w:firstLine="664" w:firstLineChars="200"/>
        <w:rPr>
          <w:rFonts w:ascii="仿宋_GB2312"/>
          <w:sz w:val="32"/>
          <w:szCs w:val="32"/>
        </w:rPr>
      </w:pPr>
      <w:r>
        <w:rPr>
          <w:rFonts w:hint="eastAsia" w:ascii="仿宋_GB2312"/>
          <w:sz w:val="32"/>
          <w:szCs w:val="32"/>
        </w:rPr>
        <w:t>期货公司开展各项经营业务，主要受中国证监会监管。</w:t>
      </w:r>
    </w:p>
    <w:p>
      <w:pPr>
        <w:spacing w:before="156" w:beforeLines="50" w:after="156" w:afterLines="50"/>
        <w:ind w:firstLine="664" w:firstLineChars="200"/>
        <w:rPr>
          <w:rFonts w:ascii="仿宋_GB2312"/>
          <w:sz w:val="32"/>
          <w:szCs w:val="32"/>
        </w:rPr>
      </w:pPr>
      <w:r>
        <w:rPr>
          <w:rFonts w:hint="eastAsia" w:ascii="仿宋_GB2312"/>
          <w:sz w:val="32"/>
          <w:szCs w:val="32"/>
        </w:rPr>
        <w:t>对期货公司进行评估，应关注的金融监管指标及相关要求包括：</w:t>
      </w:r>
    </w:p>
    <w:p>
      <w:pPr>
        <w:spacing w:before="156" w:beforeLines="50" w:after="156" w:afterLines="50"/>
        <w:ind w:firstLine="664" w:firstLineChars="200"/>
        <w:rPr>
          <w:rFonts w:ascii="仿宋_GB2312"/>
          <w:sz w:val="32"/>
          <w:szCs w:val="32"/>
        </w:rPr>
      </w:pPr>
      <w:r>
        <w:rPr>
          <w:rFonts w:hint="eastAsia" w:ascii="仿宋_GB2312"/>
          <w:sz w:val="32"/>
          <w:szCs w:val="32"/>
        </w:rPr>
        <w:t>（一）净资本不低于人民币1,500万元；</w:t>
      </w:r>
    </w:p>
    <w:p>
      <w:pPr>
        <w:spacing w:before="156" w:beforeLines="50" w:after="156" w:afterLines="50"/>
        <w:ind w:firstLine="664" w:firstLineChars="200"/>
        <w:rPr>
          <w:rFonts w:ascii="仿宋_GB2312"/>
          <w:sz w:val="32"/>
          <w:szCs w:val="32"/>
        </w:rPr>
      </w:pPr>
      <w:r>
        <w:rPr>
          <w:rFonts w:hint="eastAsia" w:ascii="仿宋_GB2312"/>
          <w:sz w:val="32"/>
          <w:szCs w:val="32"/>
        </w:rPr>
        <w:t>（二）净资本与公司的风险资本准备的比例不低于100%；</w:t>
      </w:r>
    </w:p>
    <w:p>
      <w:pPr>
        <w:spacing w:before="156" w:beforeLines="50" w:after="156" w:afterLines="50"/>
        <w:ind w:firstLine="664" w:firstLineChars="200"/>
        <w:rPr>
          <w:rFonts w:ascii="仿宋_GB2312"/>
          <w:sz w:val="32"/>
          <w:szCs w:val="32"/>
        </w:rPr>
      </w:pPr>
      <w:r>
        <w:rPr>
          <w:rFonts w:hint="eastAsia" w:ascii="仿宋_GB2312"/>
          <w:sz w:val="32"/>
          <w:szCs w:val="32"/>
        </w:rPr>
        <w:t>（三）净资本与净资产的比例不低于40%；</w:t>
      </w:r>
    </w:p>
    <w:p>
      <w:pPr>
        <w:spacing w:before="156" w:beforeLines="50" w:after="156" w:afterLines="50"/>
        <w:ind w:firstLine="664" w:firstLineChars="200"/>
        <w:rPr>
          <w:rFonts w:ascii="仿宋_GB2312"/>
          <w:sz w:val="32"/>
          <w:szCs w:val="32"/>
        </w:rPr>
      </w:pPr>
      <w:r>
        <w:rPr>
          <w:rFonts w:hint="eastAsia" w:ascii="仿宋_GB2312"/>
          <w:sz w:val="32"/>
          <w:szCs w:val="32"/>
        </w:rPr>
        <w:t>（四）流动资产与流动负债的比例不低于100%；</w:t>
      </w:r>
    </w:p>
    <w:p>
      <w:pPr>
        <w:spacing w:before="156" w:beforeLines="50" w:after="156" w:afterLines="50"/>
        <w:ind w:firstLine="664" w:firstLineChars="200"/>
        <w:rPr>
          <w:rFonts w:ascii="仿宋_GB2312"/>
          <w:sz w:val="32"/>
          <w:szCs w:val="32"/>
        </w:rPr>
      </w:pPr>
      <w:r>
        <w:rPr>
          <w:rFonts w:hint="eastAsia" w:ascii="仿宋_GB2312"/>
          <w:sz w:val="32"/>
          <w:szCs w:val="32"/>
        </w:rPr>
        <w:t>（五）负债与净资产的比例不高于150%；</w:t>
      </w:r>
    </w:p>
    <w:p>
      <w:pPr>
        <w:spacing w:before="156" w:beforeLines="50" w:after="156" w:afterLines="50"/>
        <w:ind w:firstLine="664" w:firstLineChars="200"/>
        <w:rPr>
          <w:rFonts w:ascii="仿宋_GB2312"/>
          <w:sz w:val="32"/>
          <w:szCs w:val="32"/>
        </w:rPr>
      </w:pPr>
      <w:r>
        <w:rPr>
          <w:rFonts w:hint="eastAsia" w:ascii="仿宋_GB2312"/>
          <w:sz w:val="32"/>
          <w:szCs w:val="32"/>
        </w:rPr>
        <w:t>（六）</w:t>
      </w:r>
      <w:r>
        <w:rPr>
          <w:rFonts w:ascii="仿宋_GB2312"/>
          <w:sz w:val="32"/>
          <w:szCs w:val="32"/>
        </w:rPr>
        <w:t>规定的最低限额的结算准备金要求。</w:t>
      </w:r>
    </w:p>
    <w:p>
      <w:pPr>
        <w:widowControl w:val="0"/>
        <w:wordWrap/>
        <w:autoSpaceDE w:val="0"/>
        <w:autoSpaceDN w:val="0"/>
        <w:adjustRightInd w:val="0"/>
        <w:snapToGrid w:val="0"/>
        <w:spacing w:line="588" w:lineRule="atLeast"/>
        <w:ind w:left="0" w:leftChars="0" w:right="0" w:firstLine="664" w:firstLineChars="200"/>
        <w:jc w:val="left"/>
        <w:textAlignment w:val="auto"/>
        <w:outlineLvl w:val="9"/>
        <w:rPr>
          <w:rFonts w:hint="eastAsia" w:ascii="仿宋_GB2312"/>
          <w:b w:val="0"/>
          <w:bCs/>
          <w:sz w:val="32"/>
          <w:szCs w:val="32"/>
        </w:rPr>
      </w:pPr>
      <w:r>
        <w:rPr>
          <w:rFonts w:hint="eastAsia" w:ascii="仿宋_GB2312"/>
          <w:b w:val="0"/>
          <w:bCs/>
          <w:sz w:val="32"/>
          <w:szCs w:val="32"/>
        </w:rPr>
        <w:t>附：监管指标涉及的相关法规一览表</w:t>
      </w:r>
    </w:p>
    <w:p>
      <w:pPr>
        <w:spacing w:before="156" w:beforeLines="50" w:after="156" w:afterLines="50"/>
        <w:ind w:firstLine="0" w:firstLineChars="0"/>
        <w:rPr>
          <w:rFonts w:ascii="仿宋_GB2312"/>
          <w:sz w:val="32"/>
          <w:szCs w:val="32"/>
        </w:rPr>
      </w:pPr>
    </w:p>
    <w:p>
      <w:pPr>
        <w:spacing w:before="156" w:beforeLines="50" w:after="156" w:afterLines="50"/>
        <w:ind w:firstLine="0" w:firstLineChars="0"/>
        <w:rPr>
          <w:rFonts w:ascii="仿宋_GB2312"/>
          <w:sz w:val="32"/>
          <w:szCs w:val="32"/>
        </w:rPr>
      </w:pPr>
    </w:p>
    <w:p>
      <w:pPr>
        <w:spacing w:before="156" w:beforeLines="50" w:after="156" w:afterLines="50"/>
        <w:ind w:firstLine="0" w:firstLineChars="0"/>
        <w:rPr>
          <w:rFonts w:ascii="仿宋_GB2312"/>
          <w:sz w:val="32"/>
          <w:szCs w:val="32"/>
        </w:rPr>
      </w:pPr>
    </w:p>
    <w:p>
      <w:pPr>
        <w:spacing w:before="156" w:beforeLines="50" w:after="156" w:afterLines="50"/>
        <w:ind w:firstLine="0" w:firstLineChars="0"/>
        <w:rPr>
          <w:rFonts w:ascii="仿宋_GB2312"/>
          <w:sz w:val="32"/>
          <w:szCs w:val="32"/>
        </w:rPr>
      </w:pPr>
    </w:p>
    <w:p>
      <w:pPr>
        <w:spacing w:before="156" w:beforeLines="50" w:after="156" w:afterLines="50"/>
        <w:ind w:firstLine="0" w:firstLineChars="0"/>
        <w:rPr>
          <w:rFonts w:ascii="仿宋_GB2312"/>
          <w:sz w:val="32"/>
          <w:szCs w:val="32"/>
        </w:rPr>
      </w:pPr>
    </w:p>
    <w:p>
      <w:pPr>
        <w:spacing w:before="156" w:beforeLines="50" w:after="156" w:afterLines="50"/>
        <w:ind w:firstLine="0" w:firstLineChars="0"/>
        <w:rPr>
          <w:rFonts w:ascii="仿宋_GB2312"/>
          <w:sz w:val="32"/>
          <w:szCs w:val="32"/>
        </w:rPr>
      </w:pPr>
    </w:p>
    <w:p>
      <w:pPr>
        <w:spacing w:before="156" w:beforeLines="50" w:after="156" w:afterLines="50"/>
        <w:ind w:firstLine="0" w:firstLineChars="0"/>
        <w:rPr>
          <w:rFonts w:ascii="仿宋_GB2312"/>
          <w:sz w:val="32"/>
          <w:szCs w:val="32"/>
        </w:rPr>
      </w:pPr>
    </w:p>
    <w:p>
      <w:pPr>
        <w:spacing w:before="156" w:beforeLines="50" w:after="156" w:afterLines="50"/>
        <w:ind w:firstLine="0" w:firstLineChars="0"/>
        <w:rPr>
          <w:rFonts w:ascii="仿宋_GB2312"/>
          <w:sz w:val="32"/>
          <w:szCs w:val="32"/>
        </w:rPr>
      </w:pPr>
    </w:p>
    <w:p>
      <w:pPr>
        <w:spacing w:before="156" w:beforeLines="50" w:after="156" w:afterLines="50"/>
        <w:ind w:firstLine="0" w:firstLineChars="0"/>
        <w:rPr>
          <w:rFonts w:ascii="仿宋_GB2312"/>
          <w:sz w:val="32"/>
          <w:szCs w:val="32"/>
        </w:rPr>
      </w:pPr>
    </w:p>
    <w:p>
      <w:pPr>
        <w:spacing w:before="156" w:beforeLines="50" w:after="156" w:afterLines="50"/>
        <w:ind w:firstLine="0" w:firstLineChars="0"/>
        <w:rPr>
          <w:rFonts w:ascii="仿宋_GB2312"/>
          <w:sz w:val="32"/>
          <w:szCs w:val="32"/>
        </w:rPr>
      </w:pPr>
    </w:p>
    <w:p>
      <w:pPr>
        <w:spacing w:before="156" w:beforeLines="50" w:after="156" w:afterLines="50"/>
        <w:ind w:firstLine="0" w:firstLineChars="0"/>
        <w:rPr>
          <w:rFonts w:ascii="仿宋_GB2312"/>
          <w:sz w:val="32"/>
          <w:szCs w:val="32"/>
        </w:rPr>
      </w:pPr>
    </w:p>
    <w:p>
      <w:pPr>
        <w:spacing w:before="156" w:beforeLines="50" w:after="156" w:afterLines="50"/>
        <w:ind w:firstLine="0" w:firstLineChars="0"/>
        <w:rPr>
          <w:rFonts w:ascii="仿宋_GB2312"/>
          <w:sz w:val="32"/>
          <w:szCs w:val="32"/>
        </w:rPr>
      </w:pPr>
    </w:p>
    <w:p>
      <w:pPr>
        <w:spacing w:before="156" w:beforeLines="50" w:after="156" w:afterLines="50"/>
        <w:ind w:firstLine="0" w:firstLineChars="0"/>
        <w:rPr>
          <w:rFonts w:ascii="仿宋_GB2312"/>
          <w:sz w:val="32"/>
          <w:szCs w:val="32"/>
        </w:rPr>
      </w:pPr>
    </w:p>
    <w:p>
      <w:pPr>
        <w:spacing w:before="156" w:beforeLines="50" w:after="156" w:afterLines="50"/>
        <w:ind w:firstLine="0" w:firstLineChars="0"/>
        <w:rPr>
          <w:rFonts w:ascii="仿宋_GB2312"/>
          <w:sz w:val="32"/>
          <w:szCs w:val="32"/>
        </w:rPr>
      </w:pPr>
    </w:p>
    <w:p>
      <w:pPr>
        <w:spacing w:before="0" w:beforeLines="0" w:after="0" w:afterLines="0"/>
        <w:ind w:firstLine="0" w:firstLineChars="0"/>
        <w:jc w:val="both"/>
        <w:rPr>
          <w:rFonts w:hint="eastAsia" w:ascii="仿宋_GB2312"/>
          <w:b/>
          <w:sz w:val="32"/>
          <w:szCs w:val="32"/>
        </w:rPr>
      </w:pPr>
    </w:p>
    <w:p>
      <w:pPr>
        <w:spacing w:before="0" w:beforeLines="0" w:after="0" w:afterLines="0"/>
        <w:ind w:firstLine="0" w:firstLineChars="0"/>
        <w:jc w:val="both"/>
        <w:rPr>
          <w:rFonts w:hint="eastAsia" w:ascii="仿宋_GB2312"/>
          <w:b/>
          <w:sz w:val="32"/>
          <w:szCs w:val="32"/>
        </w:rPr>
      </w:pPr>
    </w:p>
    <w:p>
      <w:pPr>
        <w:spacing w:before="0" w:beforeLines="0" w:after="0" w:afterLines="0"/>
        <w:ind w:firstLine="0" w:firstLineChars="0"/>
        <w:jc w:val="both"/>
        <w:rPr>
          <w:rFonts w:hint="eastAsia" w:ascii="仿宋_GB2312"/>
          <w:b/>
          <w:sz w:val="32"/>
          <w:szCs w:val="32"/>
        </w:rPr>
      </w:pPr>
      <w:bookmarkStart w:id="1" w:name="_GoBack"/>
      <w:bookmarkEnd w:id="1"/>
      <w:r>
        <w:rPr>
          <w:rFonts w:hint="eastAsia" w:ascii="仿宋_GB2312"/>
          <w:b/>
          <w:sz w:val="32"/>
          <w:szCs w:val="32"/>
        </w:rPr>
        <w:t>附：</w:t>
      </w:r>
    </w:p>
    <w:p>
      <w:pPr>
        <w:spacing w:before="0" w:beforeLines="0" w:after="0" w:afterLines="0"/>
        <w:ind w:firstLine="0" w:firstLineChars="0"/>
        <w:jc w:val="center"/>
        <w:rPr>
          <w:rFonts w:hint="eastAsia" w:ascii="仿宋_GB2312"/>
          <w:b/>
          <w:sz w:val="32"/>
          <w:szCs w:val="32"/>
        </w:rPr>
      </w:pPr>
      <w:r>
        <w:rPr>
          <w:rFonts w:hint="eastAsia" w:ascii="仿宋_GB2312"/>
          <w:b/>
          <w:sz w:val="32"/>
          <w:szCs w:val="32"/>
        </w:rPr>
        <w:t>监管指标涉及的相关法规一览表</w:t>
      </w:r>
    </w:p>
    <w:p>
      <w:pPr>
        <w:spacing w:before="156" w:beforeLines="50" w:after="157" w:afterLines="50"/>
        <w:ind w:firstLine="0" w:firstLineChars="0"/>
        <w:jc w:val="center"/>
        <w:rPr>
          <w:rFonts w:ascii="仿宋_GB2312"/>
          <w:b/>
          <w:sz w:val="32"/>
          <w:szCs w:val="32"/>
        </w:rPr>
      </w:pPr>
    </w:p>
    <w:tbl>
      <w:tblPr>
        <w:tblStyle w:val="25"/>
        <w:tblW w:w="9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2092"/>
        <w:gridCol w:w="3402"/>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blHeader/>
        </w:trPr>
        <w:tc>
          <w:tcPr>
            <w:tcW w:w="1418" w:type="dxa"/>
            <w:vAlign w:val="top"/>
          </w:tcPr>
          <w:p>
            <w:pPr>
              <w:spacing w:before="31" w:beforeLines="10" w:after="31" w:afterLines="10" w:line="340" w:lineRule="exact"/>
              <w:jc w:val="center"/>
              <w:rPr>
                <w:rFonts w:ascii="仿宋_GB2312"/>
                <w:b/>
                <w:sz w:val="28"/>
                <w:szCs w:val="28"/>
              </w:rPr>
            </w:pPr>
            <w:r>
              <w:rPr>
                <w:rFonts w:hint="eastAsia" w:ascii="仿宋_GB2312"/>
                <w:b/>
                <w:sz w:val="28"/>
                <w:szCs w:val="28"/>
              </w:rPr>
              <w:t>行业类别</w:t>
            </w:r>
          </w:p>
        </w:tc>
        <w:tc>
          <w:tcPr>
            <w:tcW w:w="2092" w:type="dxa"/>
            <w:vAlign w:val="top"/>
          </w:tcPr>
          <w:p>
            <w:pPr>
              <w:spacing w:before="31" w:beforeLines="10" w:after="31" w:afterLines="10" w:line="340" w:lineRule="exact"/>
              <w:jc w:val="center"/>
              <w:rPr>
                <w:rFonts w:ascii="仿宋_GB2312"/>
                <w:b/>
                <w:sz w:val="28"/>
                <w:szCs w:val="28"/>
              </w:rPr>
            </w:pPr>
            <w:r>
              <w:rPr>
                <w:rFonts w:hint="eastAsia" w:ascii="仿宋_GB2312"/>
                <w:b/>
                <w:sz w:val="28"/>
                <w:szCs w:val="28"/>
              </w:rPr>
              <w:t>指标名称</w:t>
            </w:r>
          </w:p>
        </w:tc>
        <w:tc>
          <w:tcPr>
            <w:tcW w:w="3402" w:type="dxa"/>
            <w:vAlign w:val="top"/>
          </w:tcPr>
          <w:p>
            <w:pPr>
              <w:spacing w:before="31" w:beforeLines="10" w:after="31" w:afterLines="10" w:line="340" w:lineRule="exact"/>
              <w:jc w:val="center"/>
              <w:rPr>
                <w:rFonts w:ascii="仿宋_GB2312"/>
                <w:b/>
                <w:sz w:val="28"/>
                <w:szCs w:val="28"/>
              </w:rPr>
            </w:pPr>
            <w:r>
              <w:rPr>
                <w:rFonts w:hint="eastAsia" w:ascii="仿宋_GB2312"/>
                <w:b/>
                <w:sz w:val="28"/>
                <w:szCs w:val="28"/>
              </w:rPr>
              <w:t>文件名称</w:t>
            </w:r>
          </w:p>
        </w:tc>
        <w:tc>
          <w:tcPr>
            <w:tcW w:w="2268" w:type="dxa"/>
            <w:vAlign w:val="top"/>
          </w:tcPr>
          <w:p>
            <w:pPr>
              <w:spacing w:before="31" w:beforeLines="10" w:after="31" w:afterLines="10" w:line="340" w:lineRule="exact"/>
              <w:jc w:val="center"/>
              <w:rPr>
                <w:rFonts w:ascii="仿宋_GB2312"/>
                <w:b/>
                <w:sz w:val="28"/>
                <w:szCs w:val="28"/>
              </w:rPr>
            </w:pPr>
            <w:r>
              <w:rPr>
                <w:rFonts w:hint="eastAsia" w:ascii="仿宋_GB2312"/>
                <w:b/>
                <w:sz w:val="28"/>
                <w:szCs w:val="28"/>
              </w:rPr>
              <w:t>文件编号（来源）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商业银行</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流动性覆盖率</w:t>
            </w:r>
          </w:p>
        </w:tc>
        <w:tc>
          <w:tcPr>
            <w:tcW w:w="3402" w:type="dxa"/>
            <w:vAlign w:val="top"/>
          </w:tcPr>
          <w:p>
            <w:pPr>
              <w:spacing w:before="31" w:beforeLines="10" w:after="31" w:afterLines="10" w:line="340" w:lineRule="exact"/>
              <w:rPr>
                <w:rFonts w:ascii="仿宋_GB2312"/>
                <w:sz w:val="28"/>
                <w:szCs w:val="28"/>
              </w:rPr>
            </w:pPr>
            <w:r>
              <w:rPr>
                <w:rFonts w:hint="eastAsia" w:ascii="仿宋_GB2312"/>
                <w:sz w:val="28"/>
                <w:szCs w:val="28"/>
              </w:rPr>
              <w:t>《商业银行流动性风险管理办法（试行）》</w:t>
            </w:r>
          </w:p>
        </w:tc>
        <w:tc>
          <w:tcPr>
            <w:tcW w:w="2268" w:type="dxa"/>
            <w:vAlign w:val="top"/>
          </w:tcPr>
          <w:p>
            <w:pPr>
              <w:spacing w:before="31" w:beforeLines="10" w:after="31" w:afterLines="10" w:line="340" w:lineRule="exact"/>
              <w:rPr>
                <w:rFonts w:ascii="仿宋_GB2312"/>
                <w:sz w:val="28"/>
                <w:szCs w:val="28"/>
              </w:rPr>
            </w:pPr>
            <w:r>
              <w:rPr>
                <w:rFonts w:hint="eastAsia" w:ascii="仿宋_GB2312"/>
                <w:sz w:val="28"/>
                <w:szCs w:val="28"/>
              </w:rPr>
              <w:t>银监会令</w:t>
            </w:r>
            <w:r>
              <w:rPr>
                <w:rFonts w:hint="eastAsia" w:ascii="仿宋_GB2312" w:hAnsi="Times New Roman"/>
                <w:sz w:val="28"/>
                <w:szCs w:val="28"/>
              </w:rPr>
              <w:t>〔2014〕2号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商业银行</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流动性比例</w:t>
            </w:r>
          </w:p>
        </w:tc>
        <w:tc>
          <w:tcPr>
            <w:tcW w:w="3402" w:type="dxa"/>
            <w:vAlign w:val="top"/>
          </w:tcPr>
          <w:p>
            <w:pPr>
              <w:spacing w:before="31" w:beforeLines="10" w:after="31" w:afterLines="10" w:line="340" w:lineRule="exact"/>
              <w:rPr>
                <w:rFonts w:ascii="仿宋_GB2312"/>
                <w:sz w:val="28"/>
                <w:szCs w:val="28"/>
              </w:rPr>
            </w:pPr>
            <w:r>
              <w:rPr>
                <w:rFonts w:hint="eastAsia" w:ascii="仿宋_GB2312"/>
                <w:sz w:val="28"/>
                <w:szCs w:val="28"/>
              </w:rPr>
              <w:t>《商业银行流动性风险管理办法（试行）》</w:t>
            </w:r>
          </w:p>
        </w:tc>
        <w:tc>
          <w:tcPr>
            <w:tcW w:w="2268" w:type="dxa"/>
            <w:vAlign w:val="top"/>
          </w:tcPr>
          <w:p>
            <w:pPr>
              <w:spacing w:before="31" w:beforeLines="10" w:after="31" w:afterLines="10" w:line="340" w:lineRule="exact"/>
              <w:rPr>
                <w:rFonts w:ascii="仿宋_GB2312"/>
                <w:sz w:val="28"/>
                <w:szCs w:val="28"/>
              </w:rPr>
            </w:pPr>
            <w:r>
              <w:rPr>
                <w:rFonts w:hint="eastAsia" w:ascii="仿宋_GB2312"/>
                <w:sz w:val="28"/>
                <w:szCs w:val="28"/>
              </w:rPr>
              <w:t>银监会令</w:t>
            </w:r>
            <w:r>
              <w:rPr>
                <w:rFonts w:hint="eastAsia" w:ascii="仿宋_GB2312" w:hAnsi="Times New Roman"/>
                <w:sz w:val="28"/>
                <w:szCs w:val="28"/>
              </w:rPr>
              <w:t>〔2014〕2号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商业银行</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核心负债比例</w:t>
            </w:r>
          </w:p>
        </w:tc>
        <w:tc>
          <w:tcPr>
            <w:tcW w:w="3402" w:type="dxa"/>
            <w:vAlign w:val="top"/>
          </w:tcPr>
          <w:p>
            <w:pPr>
              <w:spacing w:before="31" w:beforeLines="10" w:after="31" w:afterLines="10" w:line="340" w:lineRule="exact"/>
              <w:rPr>
                <w:rFonts w:ascii="仿宋_GB2312"/>
                <w:sz w:val="28"/>
                <w:szCs w:val="28"/>
              </w:rPr>
            </w:pPr>
            <w:r>
              <w:rPr>
                <w:rFonts w:hint="eastAsia" w:ascii="仿宋_GB2312"/>
                <w:sz w:val="28"/>
                <w:szCs w:val="28"/>
              </w:rPr>
              <w:t>《商业银行风险监管核心指标（试行）》</w:t>
            </w:r>
          </w:p>
        </w:tc>
        <w:tc>
          <w:tcPr>
            <w:tcW w:w="2268" w:type="dxa"/>
            <w:vAlign w:val="top"/>
          </w:tcPr>
          <w:p>
            <w:pPr>
              <w:spacing w:before="31" w:beforeLines="10" w:after="31" w:afterLines="10" w:line="340" w:lineRule="exact"/>
              <w:rPr>
                <w:rFonts w:ascii="仿宋_GB2312"/>
                <w:sz w:val="28"/>
                <w:szCs w:val="28"/>
              </w:rPr>
            </w:pPr>
            <w:r>
              <w:rPr>
                <w:rFonts w:hint="eastAsia" w:ascii="仿宋_GB2312"/>
                <w:sz w:val="28"/>
                <w:szCs w:val="28"/>
              </w:rPr>
              <w:t>银监会2005年12月31日公告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商业银行</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不良资产率</w:t>
            </w:r>
          </w:p>
        </w:tc>
        <w:tc>
          <w:tcPr>
            <w:tcW w:w="3402" w:type="dxa"/>
            <w:vAlign w:val="top"/>
          </w:tcPr>
          <w:p>
            <w:pPr>
              <w:spacing w:before="31" w:beforeLines="10" w:after="31" w:afterLines="10" w:line="340" w:lineRule="exact"/>
              <w:rPr>
                <w:rFonts w:ascii="仿宋_GB2312"/>
                <w:sz w:val="28"/>
                <w:szCs w:val="28"/>
              </w:rPr>
            </w:pPr>
            <w:r>
              <w:rPr>
                <w:rFonts w:hint="eastAsia" w:ascii="仿宋_GB2312"/>
                <w:sz w:val="28"/>
                <w:szCs w:val="28"/>
              </w:rPr>
              <w:t>《商业银行风险监管核心指标（试行）》</w:t>
            </w:r>
          </w:p>
        </w:tc>
        <w:tc>
          <w:tcPr>
            <w:tcW w:w="2268" w:type="dxa"/>
            <w:vAlign w:val="top"/>
          </w:tcPr>
          <w:p>
            <w:pPr>
              <w:spacing w:before="31" w:beforeLines="10" w:after="31" w:afterLines="10" w:line="340" w:lineRule="exact"/>
              <w:rPr>
                <w:rFonts w:ascii="仿宋_GB2312"/>
                <w:sz w:val="28"/>
                <w:szCs w:val="28"/>
              </w:rPr>
            </w:pPr>
            <w:r>
              <w:rPr>
                <w:rFonts w:hint="eastAsia" w:ascii="仿宋_GB2312"/>
                <w:sz w:val="28"/>
                <w:szCs w:val="28"/>
              </w:rPr>
              <w:t>银监会2005年12月31日公告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商业银行</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不良贷款率</w:t>
            </w:r>
          </w:p>
        </w:tc>
        <w:tc>
          <w:tcPr>
            <w:tcW w:w="3402" w:type="dxa"/>
            <w:vAlign w:val="top"/>
          </w:tcPr>
          <w:p>
            <w:pPr>
              <w:spacing w:before="31" w:beforeLines="10" w:after="31" w:afterLines="10" w:line="340" w:lineRule="exact"/>
              <w:rPr>
                <w:rFonts w:ascii="仿宋_GB2312"/>
                <w:sz w:val="28"/>
                <w:szCs w:val="28"/>
              </w:rPr>
            </w:pPr>
            <w:r>
              <w:rPr>
                <w:rFonts w:hint="eastAsia" w:ascii="仿宋_GB2312"/>
                <w:sz w:val="28"/>
                <w:szCs w:val="28"/>
              </w:rPr>
              <w:t>《商业银行风险监管核心指标（试行）》</w:t>
            </w:r>
          </w:p>
        </w:tc>
        <w:tc>
          <w:tcPr>
            <w:tcW w:w="2268" w:type="dxa"/>
            <w:vAlign w:val="top"/>
          </w:tcPr>
          <w:p>
            <w:pPr>
              <w:spacing w:before="31" w:beforeLines="10" w:after="31" w:afterLines="10" w:line="340" w:lineRule="exact"/>
              <w:rPr>
                <w:rFonts w:ascii="仿宋_GB2312"/>
                <w:sz w:val="28"/>
                <w:szCs w:val="28"/>
              </w:rPr>
            </w:pPr>
            <w:r>
              <w:rPr>
                <w:rFonts w:hint="eastAsia" w:ascii="仿宋_GB2312"/>
                <w:sz w:val="28"/>
                <w:szCs w:val="28"/>
              </w:rPr>
              <w:t>银监会2005年12月31日公告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商业银行</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贷款拨备率</w:t>
            </w:r>
          </w:p>
        </w:tc>
        <w:tc>
          <w:tcPr>
            <w:tcW w:w="3402" w:type="dxa"/>
            <w:vAlign w:val="top"/>
          </w:tcPr>
          <w:p>
            <w:pPr>
              <w:spacing w:before="31" w:beforeLines="10" w:after="31" w:afterLines="10" w:line="340" w:lineRule="exact"/>
              <w:rPr>
                <w:rFonts w:ascii="仿宋_GB2312"/>
                <w:sz w:val="28"/>
                <w:szCs w:val="28"/>
              </w:rPr>
            </w:pPr>
            <w:r>
              <w:rPr>
                <w:rFonts w:hint="eastAsia" w:ascii="仿宋_GB2312" w:hAnsi="Times New Roman"/>
                <w:sz w:val="28"/>
                <w:szCs w:val="28"/>
              </w:rPr>
              <w:t>《中国银监会关于中国银行业实施新监管标准的指导意见》</w:t>
            </w:r>
          </w:p>
        </w:tc>
        <w:tc>
          <w:tcPr>
            <w:tcW w:w="2268" w:type="dxa"/>
            <w:vAlign w:val="top"/>
          </w:tcPr>
          <w:p>
            <w:pPr>
              <w:spacing w:before="31" w:beforeLines="10" w:after="31" w:afterLines="10" w:line="340" w:lineRule="exact"/>
              <w:rPr>
                <w:rFonts w:ascii="仿宋_GB2312" w:hAnsi="Times New Roman"/>
                <w:sz w:val="28"/>
                <w:szCs w:val="28"/>
              </w:rPr>
            </w:pPr>
            <w:r>
              <w:rPr>
                <w:rFonts w:hint="eastAsia" w:ascii="仿宋_GB2312" w:hAnsi="Times New Roman"/>
                <w:sz w:val="28"/>
                <w:szCs w:val="28"/>
              </w:rPr>
              <w:t>银监发〔2011〕44号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商业银行</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拨备覆盖率</w:t>
            </w:r>
          </w:p>
        </w:tc>
        <w:tc>
          <w:tcPr>
            <w:tcW w:w="3402" w:type="dxa"/>
            <w:vAlign w:val="top"/>
          </w:tcPr>
          <w:p>
            <w:pPr>
              <w:spacing w:before="31" w:beforeLines="10" w:after="31" w:afterLines="10" w:line="340" w:lineRule="exact"/>
              <w:rPr>
                <w:rFonts w:ascii="仿宋_GB2312"/>
                <w:sz w:val="28"/>
                <w:szCs w:val="28"/>
              </w:rPr>
            </w:pPr>
            <w:r>
              <w:rPr>
                <w:rFonts w:hint="eastAsia" w:ascii="仿宋_GB2312" w:hAnsi="Times New Roman"/>
                <w:sz w:val="28"/>
                <w:szCs w:val="28"/>
              </w:rPr>
              <w:t>《中国银监会关于中国银行业实施新监管标准的指导意见》</w:t>
            </w:r>
          </w:p>
        </w:tc>
        <w:tc>
          <w:tcPr>
            <w:tcW w:w="2268" w:type="dxa"/>
            <w:vAlign w:val="top"/>
          </w:tcPr>
          <w:p>
            <w:pPr>
              <w:spacing w:before="31" w:beforeLines="10" w:after="31" w:afterLines="10" w:line="340" w:lineRule="exact"/>
              <w:rPr>
                <w:rFonts w:ascii="仿宋_GB2312" w:hAnsi="Times New Roman"/>
                <w:sz w:val="28"/>
                <w:szCs w:val="28"/>
              </w:rPr>
            </w:pPr>
            <w:r>
              <w:rPr>
                <w:rFonts w:hint="eastAsia" w:ascii="仿宋_GB2312" w:hAnsi="Times New Roman"/>
                <w:sz w:val="28"/>
                <w:szCs w:val="28"/>
              </w:rPr>
              <w:t>银监发〔2011〕44号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商业银行</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贷款迁徙率</w:t>
            </w:r>
          </w:p>
        </w:tc>
        <w:tc>
          <w:tcPr>
            <w:tcW w:w="3402" w:type="dxa"/>
            <w:vAlign w:val="top"/>
          </w:tcPr>
          <w:p>
            <w:pPr>
              <w:spacing w:before="31" w:beforeLines="10" w:after="31" w:afterLines="10" w:line="340" w:lineRule="exact"/>
              <w:rPr>
                <w:rFonts w:ascii="仿宋_GB2312"/>
                <w:sz w:val="28"/>
                <w:szCs w:val="28"/>
              </w:rPr>
            </w:pPr>
            <w:r>
              <w:rPr>
                <w:rFonts w:hint="eastAsia" w:ascii="仿宋_GB2312"/>
                <w:sz w:val="28"/>
                <w:szCs w:val="28"/>
              </w:rPr>
              <w:t>《商业银行风险监管核心指标（试行）》</w:t>
            </w:r>
          </w:p>
        </w:tc>
        <w:tc>
          <w:tcPr>
            <w:tcW w:w="2268" w:type="dxa"/>
            <w:vAlign w:val="top"/>
          </w:tcPr>
          <w:p>
            <w:pPr>
              <w:spacing w:before="31" w:beforeLines="10" w:after="31" w:afterLines="10" w:line="340" w:lineRule="exact"/>
              <w:rPr>
                <w:rFonts w:ascii="仿宋_GB2312"/>
                <w:sz w:val="28"/>
                <w:szCs w:val="28"/>
              </w:rPr>
            </w:pPr>
            <w:r>
              <w:rPr>
                <w:rFonts w:hint="eastAsia" w:ascii="仿宋_GB2312"/>
                <w:sz w:val="28"/>
                <w:szCs w:val="28"/>
              </w:rPr>
              <w:t>银监会2005年12月31日公告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Merge w:val="restart"/>
            <w:vAlign w:val="top"/>
          </w:tcPr>
          <w:p>
            <w:pPr>
              <w:spacing w:before="31" w:beforeLines="10" w:after="31" w:afterLines="10" w:line="340" w:lineRule="exact"/>
              <w:rPr>
                <w:rFonts w:ascii="仿宋_GB2312"/>
                <w:sz w:val="28"/>
                <w:szCs w:val="28"/>
              </w:rPr>
            </w:pPr>
            <w:r>
              <w:rPr>
                <w:rFonts w:hint="eastAsia" w:ascii="仿宋_GB2312"/>
                <w:sz w:val="28"/>
                <w:szCs w:val="28"/>
              </w:rPr>
              <w:t>商业银行</w:t>
            </w:r>
          </w:p>
        </w:tc>
        <w:tc>
          <w:tcPr>
            <w:tcW w:w="2092" w:type="dxa"/>
            <w:vMerge w:val="restart"/>
            <w:vAlign w:val="top"/>
          </w:tcPr>
          <w:p>
            <w:pPr>
              <w:spacing w:before="31" w:beforeLines="10" w:after="31" w:afterLines="10" w:line="340" w:lineRule="exact"/>
              <w:rPr>
                <w:rFonts w:ascii="仿宋_GB2312"/>
                <w:sz w:val="28"/>
                <w:szCs w:val="28"/>
              </w:rPr>
            </w:pPr>
            <w:r>
              <w:rPr>
                <w:rFonts w:hint="eastAsia" w:ascii="仿宋_GB2312"/>
                <w:sz w:val="28"/>
                <w:szCs w:val="28"/>
              </w:rPr>
              <w:t>资本充足率</w:t>
            </w:r>
          </w:p>
        </w:tc>
        <w:tc>
          <w:tcPr>
            <w:tcW w:w="3402" w:type="dxa"/>
            <w:vAlign w:val="top"/>
          </w:tcPr>
          <w:p>
            <w:pPr>
              <w:spacing w:before="31" w:beforeLines="10" w:after="31" w:afterLines="10" w:line="340" w:lineRule="exact"/>
              <w:rPr>
                <w:rFonts w:ascii="仿宋_GB2312"/>
                <w:sz w:val="28"/>
                <w:szCs w:val="28"/>
              </w:rPr>
            </w:pPr>
            <w:r>
              <w:rPr>
                <w:rFonts w:hint="eastAsia" w:ascii="仿宋_GB2312"/>
                <w:sz w:val="28"/>
                <w:szCs w:val="28"/>
              </w:rPr>
              <w:t>《中国银监会关于中国银行业实施新监管标准的指导意见》</w:t>
            </w:r>
          </w:p>
        </w:tc>
        <w:tc>
          <w:tcPr>
            <w:tcW w:w="2268" w:type="dxa"/>
            <w:vAlign w:val="top"/>
          </w:tcPr>
          <w:p>
            <w:pPr>
              <w:spacing w:before="31" w:beforeLines="10" w:after="31" w:afterLines="10" w:line="340" w:lineRule="exact"/>
              <w:rPr>
                <w:rFonts w:ascii="仿宋_GB2312"/>
                <w:sz w:val="28"/>
                <w:szCs w:val="28"/>
              </w:rPr>
            </w:pPr>
            <w:r>
              <w:rPr>
                <w:rFonts w:hint="eastAsia" w:ascii="仿宋_GB2312"/>
                <w:sz w:val="28"/>
                <w:szCs w:val="28"/>
              </w:rPr>
              <w:t>银监发〔2011〕44号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Merge w:val="continue"/>
            <w:vAlign w:val="top"/>
          </w:tcPr>
          <w:p>
            <w:pPr>
              <w:spacing w:before="31" w:beforeLines="10" w:after="31" w:afterLines="10" w:line="340" w:lineRule="exact"/>
              <w:outlineLvl w:val="9"/>
              <w:rPr>
                <w:rFonts w:ascii="仿宋_GB2312" w:cs="黑体"/>
                <w:b/>
                <w:bCs/>
                <w:sz w:val="28"/>
                <w:szCs w:val="28"/>
              </w:rPr>
            </w:pPr>
          </w:p>
        </w:tc>
        <w:tc>
          <w:tcPr>
            <w:tcW w:w="2092" w:type="dxa"/>
            <w:vMerge w:val="continue"/>
            <w:vAlign w:val="top"/>
          </w:tcPr>
          <w:p>
            <w:pPr>
              <w:spacing w:before="31" w:beforeLines="10" w:after="31" w:afterLines="10" w:line="340" w:lineRule="exact"/>
              <w:outlineLvl w:val="9"/>
              <w:rPr>
                <w:rFonts w:ascii="仿宋_GB2312" w:cs="黑体"/>
                <w:b/>
                <w:bCs/>
                <w:sz w:val="28"/>
                <w:szCs w:val="28"/>
              </w:rPr>
            </w:pPr>
          </w:p>
        </w:tc>
        <w:tc>
          <w:tcPr>
            <w:tcW w:w="3402" w:type="dxa"/>
            <w:vAlign w:val="top"/>
          </w:tcPr>
          <w:p>
            <w:pPr>
              <w:spacing w:before="31" w:beforeLines="10" w:after="31" w:afterLines="10" w:line="340" w:lineRule="exact"/>
              <w:rPr>
                <w:rFonts w:ascii="仿宋_GB2312"/>
                <w:sz w:val="28"/>
                <w:szCs w:val="28"/>
              </w:rPr>
            </w:pPr>
            <w:r>
              <w:rPr>
                <w:rFonts w:hint="eastAsia" w:ascii="仿宋_GB2312"/>
                <w:sz w:val="28"/>
                <w:szCs w:val="28"/>
              </w:rPr>
              <w:t>《商业银行资本管理办法（试行）》</w:t>
            </w:r>
          </w:p>
        </w:tc>
        <w:tc>
          <w:tcPr>
            <w:tcW w:w="2268" w:type="dxa"/>
            <w:vAlign w:val="top"/>
          </w:tcPr>
          <w:p>
            <w:pPr>
              <w:spacing w:before="31" w:beforeLines="10" w:after="31" w:afterLines="10" w:line="340" w:lineRule="exact"/>
              <w:rPr>
                <w:rFonts w:ascii="仿宋_GB2312"/>
                <w:sz w:val="28"/>
                <w:szCs w:val="28"/>
              </w:rPr>
            </w:pPr>
            <w:r>
              <w:rPr>
                <w:rFonts w:ascii="仿宋_GB2312"/>
                <w:sz w:val="28"/>
                <w:szCs w:val="28"/>
              </w:rPr>
              <w:t>银监会令</w:t>
            </w:r>
            <w:r>
              <w:rPr>
                <w:rFonts w:hint="eastAsia" w:ascii="仿宋_GB2312"/>
                <w:sz w:val="28"/>
                <w:szCs w:val="28"/>
              </w:rPr>
              <w:t>〔2012〕1</w:t>
            </w:r>
            <w:r>
              <w:rPr>
                <w:rFonts w:ascii="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商业银行</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存款准备金率</w:t>
            </w:r>
          </w:p>
        </w:tc>
        <w:tc>
          <w:tcPr>
            <w:tcW w:w="3402" w:type="dxa"/>
            <w:vAlign w:val="top"/>
          </w:tcPr>
          <w:p>
            <w:pPr>
              <w:spacing w:before="31" w:beforeLines="10" w:after="31" w:afterLines="10" w:line="340" w:lineRule="exact"/>
              <w:outlineLvl w:val="9"/>
              <w:rPr>
                <w:rFonts w:ascii="仿宋_GB2312" w:cs="黑体"/>
                <w:b/>
                <w:bCs/>
                <w:sz w:val="28"/>
                <w:szCs w:val="28"/>
              </w:rPr>
            </w:pPr>
          </w:p>
        </w:tc>
        <w:tc>
          <w:tcPr>
            <w:tcW w:w="2268" w:type="dxa"/>
            <w:vAlign w:val="top"/>
          </w:tcPr>
          <w:p>
            <w:pPr>
              <w:spacing w:before="31" w:beforeLines="10" w:after="31" w:afterLines="10" w:line="340" w:lineRule="exact"/>
              <w:rPr>
                <w:rFonts w:ascii="仿宋_GB2312" w:cs="黑体"/>
                <w:b/>
                <w:bCs/>
                <w:sz w:val="28"/>
                <w:szCs w:val="28"/>
              </w:rPr>
            </w:pPr>
            <w:r>
              <w:rPr>
                <w:rFonts w:hint="eastAsia" w:ascii="仿宋_GB2312"/>
                <w:sz w:val="28"/>
                <w:szCs w:val="28"/>
              </w:rPr>
              <w:t>中国人民银行网站公告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商业银行</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成本收入比</w:t>
            </w:r>
          </w:p>
        </w:tc>
        <w:tc>
          <w:tcPr>
            <w:tcW w:w="3402" w:type="dxa"/>
            <w:vAlign w:val="top"/>
          </w:tcPr>
          <w:p>
            <w:pPr>
              <w:spacing w:before="31" w:beforeLines="10" w:after="31" w:afterLines="10" w:line="340" w:lineRule="exact"/>
              <w:rPr>
                <w:rFonts w:ascii="仿宋_GB2312"/>
                <w:sz w:val="28"/>
                <w:szCs w:val="28"/>
              </w:rPr>
            </w:pPr>
            <w:r>
              <w:rPr>
                <w:rFonts w:hint="eastAsia" w:ascii="仿宋_GB2312"/>
                <w:sz w:val="28"/>
                <w:szCs w:val="28"/>
              </w:rPr>
              <w:t>《商业银行风险监管核心指标（试行）》</w:t>
            </w:r>
          </w:p>
        </w:tc>
        <w:tc>
          <w:tcPr>
            <w:tcW w:w="2268" w:type="dxa"/>
            <w:vAlign w:val="top"/>
          </w:tcPr>
          <w:p>
            <w:pPr>
              <w:spacing w:before="31" w:beforeLines="10" w:after="31" w:afterLines="10" w:line="340" w:lineRule="exact"/>
              <w:rPr>
                <w:rFonts w:ascii="仿宋_GB2312"/>
                <w:sz w:val="28"/>
                <w:szCs w:val="28"/>
              </w:rPr>
            </w:pPr>
            <w:r>
              <w:rPr>
                <w:rFonts w:hint="eastAsia" w:ascii="仿宋_GB2312"/>
                <w:sz w:val="28"/>
                <w:szCs w:val="28"/>
              </w:rPr>
              <w:t>银监会2005年12月31日公告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商业银行</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资产利润率</w:t>
            </w:r>
          </w:p>
        </w:tc>
        <w:tc>
          <w:tcPr>
            <w:tcW w:w="3402" w:type="dxa"/>
            <w:vAlign w:val="top"/>
          </w:tcPr>
          <w:p>
            <w:pPr>
              <w:spacing w:before="31" w:beforeLines="10" w:after="31" w:afterLines="10" w:line="340" w:lineRule="exact"/>
              <w:rPr>
                <w:rFonts w:ascii="仿宋_GB2312"/>
                <w:sz w:val="28"/>
                <w:szCs w:val="28"/>
              </w:rPr>
            </w:pPr>
            <w:r>
              <w:rPr>
                <w:rFonts w:hint="eastAsia" w:ascii="仿宋_GB2312"/>
                <w:sz w:val="28"/>
                <w:szCs w:val="28"/>
              </w:rPr>
              <w:t>《商业银行风险监管核心指标（试行）》</w:t>
            </w:r>
          </w:p>
        </w:tc>
        <w:tc>
          <w:tcPr>
            <w:tcW w:w="2268" w:type="dxa"/>
            <w:vAlign w:val="top"/>
          </w:tcPr>
          <w:p>
            <w:pPr>
              <w:spacing w:before="31" w:beforeLines="10" w:after="31" w:afterLines="10" w:line="340" w:lineRule="exact"/>
              <w:rPr>
                <w:rFonts w:ascii="仿宋_GB2312"/>
                <w:sz w:val="28"/>
                <w:szCs w:val="28"/>
              </w:rPr>
            </w:pPr>
            <w:r>
              <w:rPr>
                <w:rFonts w:hint="eastAsia" w:ascii="仿宋_GB2312"/>
                <w:sz w:val="28"/>
                <w:szCs w:val="28"/>
              </w:rPr>
              <w:t>银监会2005年12月31日公告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商业银行</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资本利润率</w:t>
            </w:r>
          </w:p>
        </w:tc>
        <w:tc>
          <w:tcPr>
            <w:tcW w:w="3402" w:type="dxa"/>
            <w:vAlign w:val="top"/>
          </w:tcPr>
          <w:p>
            <w:pPr>
              <w:spacing w:before="31" w:beforeLines="10" w:after="31" w:afterLines="10" w:line="340" w:lineRule="exact"/>
              <w:rPr>
                <w:rFonts w:ascii="仿宋_GB2312"/>
                <w:sz w:val="28"/>
                <w:szCs w:val="28"/>
              </w:rPr>
            </w:pPr>
            <w:r>
              <w:rPr>
                <w:rFonts w:hint="eastAsia" w:ascii="仿宋_GB2312"/>
                <w:sz w:val="28"/>
                <w:szCs w:val="28"/>
              </w:rPr>
              <w:t>《商业银行风险监管核心指标（试行）》</w:t>
            </w:r>
          </w:p>
        </w:tc>
        <w:tc>
          <w:tcPr>
            <w:tcW w:w="2268" w:type="dxa"/>
            <w:vAlign w:val="top"/>
          </w:tcPr>
          <w:p>
            <w:pPr>
              <w:spacing w:before="31" w:beforeLines="10" w:after="31" w:afterLines="10" w:line="340" w:lineRule="exact"/>
              <w:rPr>
                <w:rFonts w:ascii="仿宋_GB2312"/>
                <w:sz w:val="28"/>
                <w:szCs w:val="28"/>
              </w:rPr>
            </w:pPr>
            <w:r>
              <w:rPr>
                <w:rFonts w:hint="eastAsia" w:ascii="仿宋_GB2312"/>
                <w:sz w:val="28"/>
                <w:szCs w:val="28"/>
              </w:rPr>
              <w:t>银监会2005年12月31日公告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证券公司</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净资本</w:t>
            </w:r>
          </w:p>
        </w:tc>
        <w:tc>
          <w:tcPr>
            <w:tcW w:w="3402" w:type="dxa"/>
            <w:vAlign w:val="top"/>
          </w:tcPr>
          <w:p>
            <w:pPr>
              <w:spacing w:before="31" w:beforeLines="10" w:after="31" w:afterLines="10" w:line="340" w:lineRule="exact"/>
              <w:rPr>
                <w:rFonts w:ascii="仿宋_GB2312"/>
                <w:sz w:val="28"/>
                <w:szCs w:val="28"/>
              </w:rPr>
            </w:pPr>
            <w:r>
              <w:rPr>
                <w:rFonts w:ascii="仿宋_GB2312"/>
                <w:sz w:val="28"/>
                <w:szCs w:val="28"/>
              </w:rPr>
              <w:t>《关于修改〈证券公司风险控制指标管理办法〉的决定》</w:t>
            </w:r>
          </w:p>
        </w:tc>
        <w:tc>
          <w:tcPr>
            <w:tcW w:w="2268" w:type="dxa"/>
            <w:vAlign w:val="top"/>
          </w:tcPr>
          <w:p>
            <w:pPr>
              <w:spacing w:before="31" w:beforeLines="10" w:after="31" w:afterLines="10" w:line="340" w:lineRule="exact"/>
              <w:rPr>
                <w:rFonts w:ascii="仿宋_GB2312"/>
                <w:sz w:val="28"/>
                <w:szCs w:val="28"/>
              </w:rPr>
            </w:pPr>
            <w:r>
              <w:rPr>
                <w:rFonts w:ascii="仿宋_GB2312"/>
                <w:sz w:val="28"/>
                <w:szCs w:val="28"/>
              </w:rPr>
              <w:t>银监会令</w:t>
            </w:r>
            <w:r>
              <w:rPr>
                <w:rFonts w:hint="eastAsia" w:ascii="仿宋_GB2312"/>
                <w:sz w:val="28"/>
                <w:szCs w:val="28"/>
              </w:rPr>
              <w:t>〔2008〕55</w:t>
            </w:r>
            <w:r>
              <w:rPr>
                <w:rFonts w:ascii="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证券公司</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风险资本准备</w:t>
            </w:r>
          </w:p>
        </w:tc>
        <w:tc>
          <w:tcPr>
            <w:tcW w:w="3402" w:type="dxa"/>
            <w:vAlign w:val="top"/>
          </w:tcPr>
          <w:p>
            <w:pPr>
              <w:spacing w:before="31" w:beforeLines="10" w:after="31" w:afterLines="10" w:line="340" w:lineRule="exact"/>
              <w:rPr>
                <w:rFonts w:ascii="仿宋_GB2312"/>
                <w:sz w:val="28"/>
                <w:szCs w:val="28"/>
              </w:rPr>
            </w:pPr>
            <w:r>
              <w:rPr>
                <w:rFonts w:ascii="仿宋_GB2312"/>
                <w:sz w:val="28"/>
                <w:szCs w:val="28"/>
              </w:rPr>
              <w:t>《关于修改〈关于证券公司风险资本准备计算标准的规定〉的决定》，</w:t>
            </w:r>
          </w:p>
        </w:tc>
        <w:tc>
          <w:tcPr>
            <w:tcW w:w="2268" w:type="dxa"/>
            <w:vAlign w:val="top"/>
          </w:tcPr>
          <w:p>
            <w:pPr>
              <w:spacing w:before="31" w:beforeLines="10" w:after="31" w:afterLines="10" w:line="340" w:lineRule="exact"/>
              <w:rPr>
                <w:rFonts w:ascii="仿宋_GB2312"/>
                <w:sz w:val="28"/>
                <w:szCs w:val="28"/>
              </w:rPr>
            </w:pPr>
            <w:r>
              <w:rPr>
                <w:rFonts w:ascii="仿宋_GB2312"/>
                <w:sz w:val="28"/>
                <w:szCs w:val="28"/>
              </w:rPr>
              <w:t>证监会公告</w:t>
            </w:r>
            <w:r>
              <w:rPr>
                <w:rFonts w:hint="eastAsia" w:ascii="仿宋_GB2312"/>
                <w:sz w:val="28"/>
                <w:szCs w:val="28"/>
              </w:rPr>
              <w:t>〔2012〕</w:t>
            </w:r>
            <w:r>
              <w:rPr>
                <w:rFonts w:ascii="仿宋_GB2312"/>
                <w:sz w:val="28"/>
                <w:szCs w:val="28"/>
              </w:rPr>
              <w:t>7号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证券公司</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净资本/风险资本准备</w:t>
            </w:r>
          </w:p>
        </w:tc>
        <w:tc>
          <w:tcPr>
            <w:tcW w:w="3402" w:type="dxa"/>
            <w:vAlign w:val="top"/>
          </w:tcPr>
          <w:p>
            <w:pPr>
              <w:spacing w:before="31" w:beforeLines="10" w:after="31" w:afterLines="10" w:line="340" w:lineRule="exact"/>
              <w:rPr>
                <w:rFonts w:ascii="仿宋_GB2312"/>
                <w:sz w:val="28"/>
                <w:szCs w:val="28"/>
              </w:rPr>
            </w:pPr>
            <w:r>
              <w:rPr>
                <w:rFonts w:ascii="仿宋_GB2312"/>
                <w:sz w:val="28"/>
                <w:szCs w:val="28"/>
              </w:rPr>
              <w:t>《关于修改〈证券公司风险控制指标管理办法〉的决定》</w:t>
            </w:r>
          </w:p>
        </w:tc>
        <w:tc>
          <w:tcPr>
            <w:tcW w:w="2268" w:type="dxa"/>
            <w:vAlign w:val="top"/>
          </w:tcPr>
          <w:p>
            <w:pPr>
              <w:spacing w:before="31" w:beforeLines="10" w:after="31" w:afterLines="10" w:line="340" w:lineRule="exact"/>
              <w:rPr>
                <w:rFonts w:ascii="仿宋_GB2312"/>
                <w:sz w:val="28"/>
                <w:szCs w:val="28"/>
              </w:rPr>
            </w:pPr>
            <w:r>
              <w:rPr>
                <w:rFonts w:ascii="仿宋_GB2312"/>
                <w:sz w:val="28"/>
                <w:szCs w:val="28"/>
              </w:rPr>
              <w:t>银监会令</w:t>
            </w:r>
            <w:r>
              <w:rPr>
                <w:rFonts w:hint="eastAsia" w:ascii="仿宋_GB2312"/>
                <w:sz w:val="28"/>
                <w:szCs w:val="28"/>
              </w:rPr>
              <w:t>〔2008〕55</w:t>
            </w:r>
            <w:r>
              <w:rPr>
                <w:rFonts w:ascii="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证券公司</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净资本/净资产</w:t>
            </w:r>
          </w:p>
        </w:tc>
        <w:tc>
          <w:tcPr>
            <w:tcW w:w="3402" w:type="dxa"/>
            <w:vAlign w:val="top"/>
          </w:tcPr>
          <w:p>
            <w:pPr>
              <w:spacing w:before="31" w:beforeLines="10" w:after="31" w:afterLines="10" w:line="340" w:lineRule="exact"/>
              <w:rPr>
                <w:rFonts w:ascii="仿宋_GB2312"/>
                <w:sz w:val="28"/>
                <w:szCs w:val="28"/>
              </w:rPr>
            </w:pPr>
            <w:r>
              <w:rPr>
                <w:rFonts w:ascii="仿宋_GB2312"/>
                <w:sz w:val="28"/>
                <w:szCs w:val="28"/>
              </w:rPr>
              <w:t>《关于修改〈证券公司风险控制指标管理办法〉的决定》</w:t>
            </w:r>
          </w:p>
        </w:tc>
        <w:tc>
          <w:tcPr>
            <w:tcW w:w="2268" w:type="dxa"/>
            <w:vAlign w:val="top"/>
          </w:tcPr>
          <w:p>
            <w:pPr>
              <w:spacing w:before="31" w:beforeLines="10" w:after="31" w:afterLines="10" w:line="340" w:lineRule="exact"/>
              <w:rPr>
                <w:rFonts w:ascii="仿宋_GB2312"/>
                <w:sz w:val="28"/>
                <w:szCs w:val="28"/>
              </w:rPr>
            </w:pPr>
            <w:r>
              <w:rPr>
                <w:rFonts w:ascii="仿宋_GB2312"/>
                <w:sz w:val="28"/>
                <w:szCs w:val="28"/>
              </w:rPr>
              <w:t>银监会令</w:t>
            </w:r>
            <w:r>
              <w:rPr>
                <w:rFonts w:hint="eastAsia" w:ascii="仿宋_GB2312"/>
                <w:sz w:val="28"/>
                <w:szCs w:val="28"/>
              </w:rPr>
              <w:t>〔2008〕55</w:t>
            </w:r>
            <w:r>
              <w:rPr>
                <w:rFonts w:ascii="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证券公司</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净资本/负债</w:t>
            </w:r>
          </w:p>
        </w:tc>
        <w:tc>
          <w:tcPr>
            <w:tcW w:w="3402" w:type="dxa"/>
            <w:vAlign w:val="top"/>
          </w:tcPr>
          <w:p>
            <w:pPr>
              <w:spacing w:before="31" w:beforeLines="10" w:after="31" w:afterLines="10" w:line="340" w:lineRule="exact"/>
              <w:rPr>
                <w:rFonts w:ascii="仿宋_GB2312"/>
                <w:sz w:val="28"/>
                <w:szCs w:val="28"/>
              </w:rPr>
            </w:pPr>
            <w:r>
              <w:rPr>
                <w:rFonts w:ascii="仿宋_GB2312"/>
                <w:sz w:val="28"/>
                <w:szCs w:val="28"/>
              </w:rPr>
              <w:t>《关于修改〈证券公司风险控制指标管理办法〉的决定》</w:t>
            </w:r>
          </w:p>
        </w:tc>
        <w:tc>
          <w:tcPr>
            <w:tcW w:w="2268" w:type="dxa"/>
            <w:vAlign w:val="top"/>
          </w:tcPr>
          <w:p>
            <w:pPr>
              <w:spacing w:before="31" w:beforeLines="10" w:after="31" w:afterLines="10" w:line="340" w:lineRule="exact"/>
              <w:rPr>
                <w:rFonts w:ascii="仿宋_GB2312"/>
                <w:sz w:val="28"/>
                <w:szCs w:val="28"/>
              </w:rPr>
            </w:pPr>
            <w:r>
              <w:rPr>
                <w:rFonts w:ascii="仿宋_GB2312"/>
                <w:sz w:val="28"/>
                <w:szCs w:val="28"/>
              </w:rPr>
              <w:t>银监会令</w:t>
            </w:r>
            <w:r>
              <w:rPr>
                <w:rFonts w:hint="eastAsia" w:ascii="仿宋_GB2312"/>
                <w:sz w:val="28"/>
                <w:szCs w:val="28"/>
              </w:rPr>
              <w:t>〔2008〕55</w:t>
            </w:r>
            <w:r>
              <w:rPr>
                <w:rFonts w:ascii="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证券公司</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净资产/负债</w:t>
            </w:r>
          </w:p>
        </w:tc>
        <w:tc>
          <w:tcPr>
            <w:tcW w:w="3402" w:type="dxa"/>
            <w:vAlign w:val="top"/>
          </w:tcPr>
          <w:p>
            <w:pPr>
              <w:spacing w:before="31" w:beforeLines="10" w:after="31" w:afterLines="10" w:line="340" w:lineRule="exact"/>
              <w:rPr>
                <w:rFonts w:ascii="仿宋_GB2312"/>
                <w:sz w:val="28"/>
                <w:szCs w:val="28"/>
              </w:rPr>
            </w:pPr>
            <w:r>
              <w:rPr>
                <w:rFonts w:ascii="仿宋_GB2312"/>
                <w:sz w:val="28"/>
                <w:szCs w:val="28"/>
              </w:rPr>
              <w:t>《关于修改〈证券公司风险控制指标管理办法〉的决定》</w:t>
            </w:r>
          </w:p>
        </w:tc>
        <w:tc>
          <w:tcPr>
            <w:tcW w:w="2268" w:type="dxa"/>
            <w:vAlign w:val="top"/>
          </w:tcPr>
          <w:p>
            <w:pPr>
              <w:spacing w:before="31" w:beforeLines="10" w:after="31" w:afterLines="10" w:line="340" w:lineRule="exact"/>
              <w:rPr>
                <w:rFonts w:ascii="仿宋_GB2312"/>
                <w:sz w:val="28"/>
                <w:szCs w:val="28"/>
              </w:rPr>
            </w:pPr>
            <w:r>
              <w:rPr>
                <w:rFonts w:ascii="仿宋_GB2312"/>
                <w:sz w:val="28"/>
                <w:szCs w:val="28"/>
              </w:rPr>
              <w:t>银监会令</w:t>
            </w:r>
            <w:r>
              <w:rPr>
                <w:rFonts w:hint="eastAsia" w:ascii="仿宋_GB2312"/>
                <w:sz w:val="28"/>
                <w:szCs w:val="28"/>
              </w:rPr>
              <w:t>〔2008〕55</w:t>
            </w:r>
            <w:r>
              <w:rPr>
                <w:rFonts w:ascii="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证券公司</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流动性覆盖率</w:t>
            </w:r>
          </w:p>
        </w:tc>
        <w:tc>
          <w:tcPr>
            <w:tcW w:w="3402" w:type="dxa"/>
            <w:vAlign w:val="top"/>
          </w:tcPr>
          <w:p>
            <w:pPr>
              <w:spacing w:before="31" w:beforeLines="10" w:after="31" w:afterLines="10" w:line="340" w:lineRule="exact"/>
              <w:rPr>
                <w:rFonts w:ascii="仿宋_GB2312"/>
                <w:sz w:val="28"/>
                <w:szCs w:val="28"/>
              </w:rPr>
            </w:pPr>
            <w:r>
              <w:rPr>
                <w:rFonts w:hint="eastAsia" w:ascii="仿宋_GB2312"/>
                <w:sz w:val="28"/>
                <w:szCs w:val="28"/>
              </w:rPr>
              <w:t>《证券公司流动性风险管理指引》</w:t>
            </w:r>
          </w:p>
        </w:tc>
        <w:tc>
          <w:tcPr>
            <w:tcW w:w="2268" w:type="dxa"/>
            <w:vAlign w:val="top"/>
          </w:tcPr>
          <w:p>
            <w:pPr>
              <w:spacing w:before="31" w:beforeLines="10" w:after="31" w:afterLines="10" w:line="340" w:lineRule="exact"/>
              <w:rPr>
                <w:rFonts w:ascii="仿宋_GB2312"/>
                <w:sz w:val="28"/>
                <w:szCs w:val="28"/>
              </w:rPr>
            </w:pPr>
            <w:r>
              <w:rPr>
                <w:rFonts w:hint="eastAsia" w:ascii="仿宋_GB2312"/>
                <w:sz w:val="28"/>
                <w:szCs w:val="28"/>
              </w:rPr>
              <w:t>中证协发〔2014〕36号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证券公司</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净稳定资金率</w:t>
            </w:r>
          </w:p>
        </w:tc>
        <w:tc>
          <w:tcPr>
            <w:tcW w:w="3402" w:type="dxa"/>
            <w:vAlign w:val="top"/>
          </w:tcPr>
          <w:p>
            <w:pPr>
              <w:spacing w:before="31" w:beforeLines="10" w:after="31" w:afterLines="10" w:line="340" w:lineRule="exact"/>
              <w:rPr>
                <w:rFonts w:ascii="仿宋_GB2312"/>
                <w:sz w:val="28"/>
                <w:szCs w:val="28"/>
              </w:rPr>
            </w:pPr>
            <w:r>
              <w:rPr>
                <w:rFonts w:hint="eastAsia" w:ascii="仿宋_GB2312"/>
                <w:sz w:val="28"/>
                <w:szCs w:val="28"/>
              </w:rPr>
              <w:t>《证券公司流动性风险管理指引》</w:t>
            </w:r>
          </w:p>
        </w:tc>
        <w:tc>
          <w:tcPr>
            <w:tcW w:w="2268" w:type="dxa"/>
            <w:vAlign w:val="top"/>
          </w:tcPr>
          <w:p>
            <w:pPr>
              <w:spacing w:before="31" w:beforeLines="10" w:after="31" w:afterLines="10" w:line="340" w:lineRule="exact"/>
              <w:rPr>
                <w:rFonts w:ascii="仿宋_GB2312"/>
                <w:sz w:val="28"/>
                <w:szCs w:val="28"/>
              </w:rPr>
            </w:pPr>
            <w:r>
              <w:rPr>
                <w:rFonts w:hint="eastAsia" w:ascii="仿宋_GB2312"/>
                <w:sz w:val="28"/>
                <w:szCs w:val="28"/>
              </w:rPr>
              <w:t>中证协发〔2014〕36号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保险公司</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实际资本</w:t>
            </w:r>
          </w:p>
        </w:tc>
        <w:tc>
          <w:tcPr>
            <w:tcW w:w="3402" w:type="dxa"/>
            <w:vAlign w:val="top"/>
          </w:tcPr>
          <w:p>
            <w:pPr>
              <w:spacing w:before="31" w:beforeLines="10" w:after="31" w:afterLines="10" w:line="340" w:lineRule="exact"/>
              <w:rPr>
                <w:rFonts w:ascii="仿宋_GB2312"/>
                <w:sz w:val="28"/>
                <w:szCs w:val="28"/>
              </w:rPr>
            </w:pPr>
            <w:r>
              <w:rPr>
                <w:rFonts w:hint="eastAsia" w:ascii="仿宋_GB2312"/>
                <w:sz w:val="28"/>
                <w:szCs w:val="28"/>
              </w:rPr>
              <w:t>《保险公司偿付能力报告编报规则第8号：实际资本》实务指南</w:t>
            </w:r>
          </w:p>
        </w:tc>
        <w:tc>
          <w:tcPr>
            <w:tcW w:w="2268" w:type="dxa"/>
            <w:vAlign w:val="top"/>
          </w:tcPr>
          <w:p>
            <w:pPr>
              <w:spacing w:before="31" w:beforeLines="10" w:after="31" w:afterLines="10" w:line="340" w:lineRule="exact"/>
              <w:rPr>
                <w:rFonts w:ascii="仿宋_GB2312"/>
                <w:sz w:val="28"/>
                <w:szCs w:val="28"/>
              </w:rPr>
            </w:pPr>
            <w:r>
              <w:rPr>
                <w:rFonts w:hint="eastAsia" w:ascii="仿宋_GB2312"/>
                <w:sz w:val="28"/>
                <w:szCs w:val="28"/>
              </w:rPr>
              <w:t>保监会2006年4月18日公告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保险公司</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最低资本</w:t>
            </w:r>
          </w:p>
        </w:tc>
        <w:tc>
          <w:tcPr>
            <w:tcW w:w="3402" w:type="dxa"/>
            <w:vAlign w:val="top"/>
          </w:tcPr>
          <w:p>
            <w:pPr>
              <w:spacing w:before="31" w:beforeLines="10" w:after="31" w:afterLines="10" w:line="340" w:lineRule="exact"/>
              <w:rPr>
                <w:rFonts w:ascii="仿宋_GB2312"/>
                <w:sz w:val="28"/>
                <w:szCs w:val="28"/>
              </w:rPr>
            </w:pPr>
            <w:r>
              <w:rPr>
                <w:rFonts w:hint="eastAsia" w:ascii="仿宋_GB2312"/>
                <w:sz w:val="28"/>
                <w:szCs w:val="28"/>
              </w:rPr>
              <w:t>关于实施《保险公司偿付能力管理规定》有关事项的通知</w:t>
            </w:r>
          </w:p>
        </w:tc>
        <w:tc>
          <w:tcPr>
            <w:tcW w:w="2268" w:type="dxa"/>
            <w:vAlign w:val="top"/>
          </w:tcPr>
          <w:p>
            <w:pPr>
              <w:spacing w:before="31" w:beforeLines="10" w:after="31" w:afterLines="10" w:line="340" w:lineRule="exact"/>
              <w:rPr>
                <w:rFonts w:ascii="仿宋_GB2312"/>
                <w:sz w:val="28"/>
                <w:szCs w:val="28"/>
              </w:rPr>
            </w:pPr>
            <w:r>
              <w:rPr>
                <w:rFonts w:ascii="仿宋_GB2312"/>
                <w:sz w:val="28"/>
                <w:szCs w:val="28"/>
              </w:rPr>
              <w:t>保监发</w:t>
            </w:r>
            <w:r>
              <w:rPr>
                <w:rFonts w:hint="eastAsia" w:ascii="仿宋_GB2312"/>
                <w:sz w:val="28"/>
                <w:szCs w:val="28"/>
              </w:rPr>
              <w:t>〔2008〕</w:t>
            </w:r>
            <w:r>
              <w:rPr>
                <w:rFonts w:ascii="仿宋_GB2312"/>
                <w:sz w:val="28"/>
                <w:szCs w:val="28"/>
              </w:rPr>
              <w:t>89号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保险公司</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偿付能力充足率</w:t>
            </w:r>
          </w:p>
        </w:tc>
        <w:tc>
          <w:tcPr>
            <w:tcW w:w="3402" w:type="dxa"/>
            <w:vAlign w:val="top"/>
          </w:tcPr>
          <w:p>
            <w:pPr>
              <w:spacing w:before="31" w:beforeLines="10" w:after="31" w:afterLines="10" w:line="340" w:lineRule="exact"/>
              <w:rPr>
                <w:rFonts w:ascii="仿宋_GB2312"/>
                <w:sz w:val="28"/>
                <w:szCs w:val="28"/>
              </w:rPr>
            </w:pPr>
            <w:r>
              <w:rPr>
                <w:rFonts w:hint="eastAsia" w:ascii="仿宋_GB2312"/>
                <w:sz w:val="28"/>
                <w:szCs w:val="28"/>
              </w:rPr>
              <w:t>《保险公司偿付能力管理规定》</w:t>
            </w:r>
          </w:p>
        </w:tc>
        <w:tc>
          <w:tcPr>
            <w:tcW w:w="2268" w:type="dxa"/>
            <w:vAlign w:val="top"/>
          </w:tcPr>
          <w:p>
            <w:pPr>
              <w:spacing w:before="31" w:beforeLines="10" w:after="31" w:afterLines="10" w:line="340" w:lineRule="exact"/>
              <w:rPr>
                <w:rFonts w:ascii="仿宋_GB2312"/>
                <w:sz w:val="28"/>
                <w:szCs w:val="28"/>
              </w:rPr>
            </w:pPr>
            <w:r>
              <w:rPr>
                <w:rFonts w:ascii="仿宋_GB2312"/>
                <w:sz w:val="28"/>
                <w:szCs w:val="28"/>
              </w:rPr>
              <w:t>保监会令</w:t>
            </w:r>
            <w:r>
              <w:rPr>
                <w:rFonts w:hint="eastAsia" w:ascii="仿宋_GB2312"/>
                <w:sz w:val="28"/>
                <w:szCs w:val="28"/>
              </w:rPr>
              <w:t>〔2008〕</w:t>
            </w:r>
            <w:r>
              <w:rPr>
                <w:rFonts w:ascii="仿宋_GB2312"/>
                <w:sz w:val="28"/>
                <w:szCs w:val="28"/>
              </w:rPr>
              <w:t>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保险公司</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次级债</w:t>
            </w:r>
          </w:p>
        </w:tc>
        <w:tc>
          <w:tcPr>
            <w:tcW w:w="3402" w:type="dxa"/>
            <w:vAlign w:val="top"/>
          </w:tcPr>
          <w:p>
            <w:pPr>
              <w:spacing w:before="31" w:beforeLines="10" w:after="31" w:afterLines="10" w:line="340" w:lineRule="exact"/>
              <w:rPr>
                <w:rFonts w:ascii="仿宋_GB2312"/>
                <w:sz w:val="28"/>
                <w:szCs w:val="28"/>
              </w:rPr>
            </w:pPr>
            <w:r>
              <w:rPr>
                <w:rFonts w:hint="eastAsia" w:ascii="仿宋_GB2312"/>
                <w:sz w:val="28"/>
                <w:szCs w:val="28"/>
              </w:rPr>
              <w:t>《保险公司次级定期债务管理办法》</w:t>
            </w:r>
          </w:p>
        </w:tc>
        <w:tc>
          <w:tcPr>
            <w:tcW w:w="2268" w:type="dxa"/>
            <w:vAlign w:val="top"/>
          </w:tcPr>
          <w:p>
            <w:pPr>
              <w:spacing w:before="31" w:beforeLines="10" w:after="31" w:afterLines="10" w:line="340" w:lineRule="exact"/>
              <w:rPr>
                <w:rFonts w:ascii="仿宋_GB2312"/>
                <w:sz w:val="28"/>
                <w:szCs w:val="28"/>
              </w:rPr>
            </w:pPr>
            <w:r>
              <w:rPr>
                <w:rFonts w:ascii="仿宋_GB2312"/>
                <w:sz w:val="28"/>
                <w:szCs w:val="28"/>
              </w:rPr>
              <w:t>保监会令</w:t>
            </w:r>
            <w:r>
              <w:rPr>
                <w:rFonts w:hint="eastAsia" w:ascii="仿宋_GB2312"/>
                <w:sz w:val="28"/>
                <w:szCs w:val="28"/>
              </w:rPr>
              <w:t>〔2013〕5</w:t>
            </w:r>
            <w:r>
              <w:rPr>
                <w:rFonts w:ascii="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保险公司</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保证金</w:t>
            </w:r>
          </w:p>
        </w:tc>
        <w:tc>
          <w:tcPr>
            <w:tcW w:w="3402" w:type="dxa"/>
            <w:vAlign w:val="top"/>
          </w:tcPr>
          <w:p>
            <w:pPr>
              <w:spacing w:before="31" w:beforeLines="10" w:after="31" w:afterLines="10" w:line="340" w:lineRule="exact"/>
              <w:rPr>
                <w:rFonts w:ascii="仿宋_GB2312"/>
                <w:sz w:val="28"/>
                <w:szCs w:val="28"/>
              </w:rPr>
            </w:pPr>
            <w:r>
              <w:rPr>
                <w:rFonts w:hint="eastAsia" w:ascii="仿宋_GB2312"/>
                <w:sz w:val="28"/>
                <w:szCs w:val="28"/>
              </w:rPr>
              <w:t>《保险法》</w:t>
            </w:r>
          </w:p>
        </w:tc>
        <w:tc>
          <w:tcPr>
            <w:tcW w:w="2268" w:type="dxa"/>
            <w:vAlign w:val="top"/>
          </w:tcPr>
          <w:p>
            <w:pPr>
              <w:spacing w:before="31" w:beforeLines="10" w:after="31" w:afterLines="10" w:line="340" w:lineRule="exact"/>
              <w:rPr>
                <w:rFonts w:ascii="仿宋_GB2312"/>
                <w:sz w:val="28"/>
                <w:szCs w:val="28"/>
              </w:rPr>
            </w:pPr>
            <w:r>
              <w:rPr>
                <w:rFonts w:ascii="仿宋_GB2312"/>
                <w:sz w:val="28"/>
                <w:szCs w:val="28"/>
              </w:rPr>
              <w:t>2009年2月28日第十一届全国人民代表大会常务委员会第七次会议修订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保险公司</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保险保障基金</w:t>
            </w:r>
          </w:p>
        </w:tc>
        <w:tc>
          <w:tcPr>
            <w:tcW w:w="3402" w:type="dxa"/>
            <w:vAlign w:val="top"/>
          </w:tcPr>
          <w:p>
            <w:pPr>
              <w:spacing w:before="31" w:beforeLines="10" w:after="31" w:afterLines="10" w:line="340" w:lineRule="exact"/>
              <w:rPr>
                <w:rFonts w:ascii="仿宋_GB2312"/>
                <w:sz w:val="28"/>
                <w:szCs w:val="28"/>
              </w:rPr>
            </w:pPr>
            <w:r>
              <w:rPr>
                <w:rFonts w:hint="eastAsia" w:ascii="仿宋_GB2312"/>
                <w:sz w:val="28"/>
                <w:szCs w:val="28"/>
              </w:rPr>
              <w:t>《保险保障基金管理办法》</w:t>
            </w:r>
          </w:p>
        </w:tc>
        <w:tc>
          <w:tcPr>
            <w:tcW w:w="2268" w:type="dxa"/>
            <w:vAlign w:val="top"/>
          </w:tcPr>
          <w:p>
            <w:pPr>
              <w:spacing w:before="31" w:beforeLines="10" w:after="31" w:afterLines="10" w:line="340" w:lineRule="exact"/>
              <w:rPr>
                <w:rFonts w:ascii="仿宋_GB2312"/>
                <w:sz w:val="28"/>
                <w:szCs w:val="28"/>
              </w:rPr>
            </w:pPr>
            <w:r>
              <w:rPr>
                <w:rFonts w:ascii="仿宋_GB2312"/>
                <w:sz w:val="28"/>
                <w:szCs w:val="28"/>
              </w:rPr>
              <w:t>保监会令</w:t>
            </w:r>
            <w:r>
              <w:rPr>
                <w:rFonts w:hint="eastAsia" w:ascii="仿宋_GB2312"/>
                <w:sz w:val="28"/>
                <w:szCs w:val="28"/>
              </w:rPr>
              <w:t>〔2008〕2</w:t>
            </w:r>
            <w:r>
              <w:rPr>
                <w:rFonts w:ascii="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保险公司</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综合成本率</w:t>
            </w:r>
          </w:p>
        </w:tc>
        <w:tc>
          <w:tcPr>
            <w:tcW w:w="3402" w:type="dxa"/>
            <w:vAlign w:val="top"/>
          </w:tcPr>
          <w:p>
            <w:pPr>
              <w:spacing w:before="31" w:beforeLines="10" w:after="31" w:afterLines="10" w:line="340" w:lineRule="exact"/>
              <w:rPr>
                <w:rFonts w:ascii="仿宋_GB2312"/>
                <w:sz w:val="28"/>
                <w:szCs w:val="28"/>
              </w:rPr>
            </w:pPr>
            <w:r>
              <w:rPr>
                <w:rFonts w:hint="eastAsia" w:ascii="仿宋_GB2312"/>
                <w:sz w:val="28"/>
                <w:szCs w:val="28"/>
              </w:rPr>
              <w:t>《保险公司偿付能力额度及监管指标管理规定》</w:t>
            </w:r>
          </w:p>
        </w:tc>
        <w:tc>
          <w:tcPr>
            <w:tcW w:w="2268" w:type="dxa"/>
            <w:vAlign w:val="top"/>
          </w:tcPr>
          <w:p>
            <w:pPr>
              <w:spacing w:before="31" w:beforeLines="10" w:after="31" w:afterLines="10" w:line="340" w:lineRule="exact"/>
              <w:rPr>
                <w:rFonts w:ascii="仿宋_GB2312"/>
                <w:sz w:val="28"/>
                <w:szCs w:val="28"/>
              </w:rPr>
            </w:pPr>
            <w:r>
              <w:rPr>
                <w:rFonts w:ascii="仿宋_GB2312"/>
                <w:sz w:val="28"/>
                <w:szCs w:val="28"/>
              </w:rPr>
              <w:t>保监会令</w:t>
            </w:r>
            <w:r>
              <w:rPr>
                <w:rFonts w:hint="eastAsia" w:ascii="仿宋_GB2312"/>
                <w:sz w:val="28"/>
                <w:szCs w:val="28"/>
              </w:rPr>
              <w:t>〔2003〕1</w:t>
            </w:r>
            <w:r>
              <w:rPr>
                <w:rFonts w:ascii="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保险公司</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应收保费率</w:t>
            </w:r>
          </w:p>
        </w:tc>
        <w:tc>
          <w:tcPr>
            <w:tcW w:w="3402" w:type="dxa"/>
            <w:vAlign w:val="top"/>
          </w:tcPr>
          <w:p>
            <w:pPr>
              <w:spacing w:before="31" w:beforeLines="10" w:after="31" w:afterLines="10" w:line="340" w:lineRule="exact"/>
              <w:rPr>
                <w:rFonts w:ascii="仿宋_GB2312"/>
                <w:sz w:val="28"/>
                <w:szCs w:val="28"/>
              </w:rPr>
            </w:pPr>
            <w:r>
              <w:rPr>
                <w:rFonts w:hint="eastAsia" w:ascii="仿宋_GB2312"/>
                <w:sz w:val="28"/>
                <w:szCs w:val="28"/>
              </w:rPr>
              <w:t>《保险公司偿付能力额度及监管指标管理规定》</w:t>
            </w:r>
          </w:p>
        </w:tc>
        <w:tc>
          <w:tcPr>
            <w:tcW w:w="2268" w:type="dxa"/>
            <w:vAlign w:val="top"/>
          </w:tcPr>
          <w:p>
            <w:pPr>
              <w:spacing w:before="31" w:beforeLines="10" w:after="31" w:afterLines="10" w:line="340" w:lineRule="exact"/>
              <w:rPr>
                <w:rFonts w:ascii="仿宋_GB2312"/>
                <w:sz w:val="28"/>
                <w:szCs w:val="28"/>
              </w:rPr>
            </w:pPr>
            <w:r>
              <w:rPr>
                <w:rFonts w:ascii="仿宋_GB2312"/>
                <w:sz w:val="28"/>
                <w:szCs w:val="28"/>
              </w:rPr>
              <w:t>保监会令</w:t>
            </w:r>
            <w:r>
              <w:rPr>
                <w:rFonts w:hint="eastAsia" w:ascii="仿宋_GB2312"/>
                <w:sz w:val="28"/>
                <w:szCs w:val="28"/>
              </w:rPr>
              <w:t>〔2003〕1</w:t>
            </w:r>
            <w:r>
              <w:rPr>
                <w:rFonts w:ascii="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保险公司</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退保率</w:t>
            </w:r>
          </w:p>
        </w:tc>
        <w:tc>
          <w:tcPr>
            <w:tcW w:w="3402" w:type="dxa"/>
            <w:vAlign w:val="top"/>
          </w:tcPr>
          <w:p>
            <w:pPr>
              <w:spacing w:before="31" w:beforeLines="10" w:after="31" w:afterLines="10" w:line="340" w:lineRule="exact"/>
              <w:rPr>
                <w:rFonts w:ascii="仿宋_GB2312"/>
                <w:sz w:val="28"/>
                <w:szCs w:val="28"/>
              </w:rPr>
            </w:pPr>
            <w:r>
              <w:rPr>
                <w:rFonts w:hint="eastAsia" w:ascii="仿宋_GB2312"/>
                <w:sz w:val="28"/>
                <w:szCs w:val="28"/>
              </w:rPr>
              <w:t>《保险公司偿付能力额度及监管指标管理规定》</w:t>
            </w:r>
          </w:p>
        </w:tc>
        <w:tc>
          <w:tcPr>
            <w:tcW w:w="2268" w:type="dxa"/>
            <w:vAlign w:val="top"/>
          </w:tcPr>
          <w:p>
            <w:pPr>
              <w:spacing w:before="31" w:beforeLines="10" w:after="31" w:afterLines="10" w:line="340" w:lineRule="exact"/>
              <w:rPr>
                <w:rFonts w:ascii="仿宋_GB2312"/>
                <w:sz w:val="28"/>
                <w:szCs w:val="28"/>
              </w:rPr>
            </w:pPr>
            <w:r>
              <w:rPr>
                <w:rFonts w:ascii="仿宋_GB2312"/>
                <w:sz w:val="28"/>
                <w:szCs w:val="28"/>
              </w:rPr>
              <w:t>保监会令</w:t>
            </w:r>
            <w:r>
              <w:rPr>
                <w:rFonts w:hint="eastAsia" w:ascii="仿宋_GB2312"/>
                <w:sz w:val="28"/>
                <w:szCs w:val="28"/>
              </w:rPr>
              <w:t>〔2003〕1</w:t>
            </w:r>
            <w:r>
              <w:rPr>
                <w:rFonts w:ascii="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信托公司</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净资本</w:t>
            </w:r>
          </w:p>
        </w:tc>
        <w:tc>
          <w:tcPr>
            <w:tcW w:w="3402" w:type="dxa"/>
            <w:vAlign w:val="top"/>
          </w:tcPr>
          <w:p>
            <w:pPr>
              <w:spacing w:before="31" w:beforeLines="10" w:after="31" w:afterLines="10" w:line="340" w:lineRule="exact"/>
              <w:rPr>
                <w:rFonts w:ascii="仿宋_GB2312"/>
                <w:sz w:val="28"/>
                <w:szCs w:val="28"/>
              </w:rPr>
            </w:pPr>
            <w:r>
              <w:rPr>
                <w:rFonts w:hint="eastAsia" w:ascii="仿宋_GB2312"/>
                <w:sz w:val="28"/>
                <w:szCs w:val="28"/>
              </w:rPr>
              <w:t>《信托公司净资本管理办法》</w:t>
            </w:r>
          </w:p>
        </w:tc>
        <w:tc>
          <w:tcPr>
            <w:tcW w:w="2268" w:type="dxa"/>
            <w:vAlign w:val="top"/>
          </w:tcPr>
          <w:p>
            <w:pPr>
              <w:spacing w:before="31" w:beforeLines="10" w:after="31" w:afterLines="10" w:line="340" w:lineRule="exact"/>
              <w:rPr>
                <w:rFonts w:ascii="仿宋_GB2312"/>
                <w:sz w:val="28"/>
                <w:szCs w:val="28"/>
              </w:rPr>
            </w:pPr>
            <w:r>
              <w:rPr>
                <w:rFonts w:ascii="仿宋_GB2312"/>
                <w:sz w:val="28"/>
                <w:szCs w:val="28"/>
              </w:rPr>
              <w:t>银监会令</w:t>
            </w:r>
            <w:r>
              <w:rPr>
                <w:rFonts w:hint="eastAsia" w:ascii="仿宋_GB2312"/>
                <w:sz w:val="28"/>
                <w:szCs w:val="28"/>
              </w:rPr>
              <w:t>〔2010〕5</w:t>
            </w:r>
            <w:r>
              <w:rPr>
                <w:rFonts w:ascii="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信托公司</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风险资本</w:t>
            </w:r>
          </w:p>
        </w:tc>
        <w:tc>
          <w:tcPr>
            <w:tcW w:w="3402" w:type="dxa"/>
            <w:vAlign w:val="top"/>
          </w:tcPr>
          <w:p>
            <w:pPr>
              <w:spacing w:before="31" w:beforeLines="10" w:after="31" w:afterLines="10" w:line="340" w:lineRule="exact"/>
              <w:rPr>
                <w:rFonts w:ascii="仿宋_GB2312"/>
                <w:sz w:val="28"/>
                <w:szCs w:val="28"/>
              </w:rPr>
            </w:pPr>
            <w:r>
              <w:rPr>
                <w:rFonts w:hint="eastAsia" w:ascii="仿宋_GB2312"/>
                <w:sz w:val="28"/>
                <w:szCs w:val="28"/>
              </w:rPr>
              <w:t>《信托公司净资本管理办法》</w:t>
            </w:r>
          </w:p>
        </w:tc>
        <w:tc>
          <w:tcPr>
            <w:tcW w:w="2268" w:type="dxa"/>
            <w:vAlign w:val="top"/>
          </w:tcPr>
          <w:p>
            <w:pPr>
              <w:spacing w:before="31" w:beforeLines="10" w:after="31" w:afterLines="10" w:line="340" w:lineRule="exact"/>
              <w:rPr>
                <w:rFonts w:ascii="仿宋_GB2312"/>
                <w:sz w:val="28"/>
                <w:szCs w:val="28"/>
              </w:rPr>
            </w:pPr>
            <w:r>
              <w:rPr>
                <w:rFonts w:ascii="仿宋_GB2312"/>
                <w:sz w:val="28"/>
                <w:szCs w:val="28"/>
              </w:rPr>
              <w:t>银监会令</w:t>
            </w:r>
            <w:r>
              <w:rPr>
                <w:rFonts w:hint="eastAsia" w:ascii="仿宋_GB2312"/>
                <w:sz w:val="28"/>
                <w:szCs w:val="28"/>
              </w:rPr>
              <w:t>〔2010〕5</w:t>
            </w:r>
            <w:r>
              <w:rPr>
                <w:rFonts w:ascii="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信托公司</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净资本/风险资本</w:t>
            </w:r>
          </w:p>
        </w:tc>
        <w:tc>
          <w:tcPr>
            <w:tcW w:w="3402" w:type="dxa"/>
            <w:vAlign w:val="top"/>
          </w:tcPr>
          <w:p>
            <w:pPr>
              <w:spacing w:before="31" w:beforeLines="10" w:after="31" w:afterLines="10" w:line="340" w:lineRule="exact"/>
              <w:rPr>
                <w:rFonts w:ascii="仿宋_GB2312"/>
                <w:sz w:val="28"/>
                <w:szCs w:val="28"/>
              </w:rPr>
            </w:pPr>
            <w:r>
              <w:rPr>
                <w:rFonts w:hint="eastAsia" w:ascii="仿宋_GB2312"/>
                <w:sz w:val="28"/>
                <w:szCs w:val="28"/>
              </w:rPr>
              <w:t>《信托公司净资本管理办法》</w:t>
            </w:r>
          </w:p>
        </w:tc>
        <w:tc>
          <w:tcPr>
            <w:tcW w:w="2268" w:type="dxa"/>
            <w:vAlign w:val="top"/>
          </w:tcPr>
          <w:p>
            <w:pPr>
              <w:spacing w:before="31" w:beforeLines="10" w:after="31" w:afterLines="10" w:line="340" w:lineRule="exact"/>
              <w:rPr>
                <w:rFonts w:ascii="仿宋_GB2312"/>
                <w:sz w:val="28"/>
                <w:szCs w:val="28"/>
              </w:rPr>
            </w:pPr>
            <w:r>
              <w:rPr>
                <w:rFonts w:ascii="仿宋_GB2312"/>
                <w:sz w:val="28"/>
                <w:szCs w:val="28"/>
              </w:rPr>
              <w:t>银监会令</w:t>
            </w:r>
            <w:r>
              <w:rPr>
                <w:rFonts w:hint="eastAsia" w:ascii="仿宋_GB2312"/>
                <w:sz w:val="28"/>
                <w:szCs w:val="28"/>
              </w:rPr>
              <w:t>〔2010〕5</w:t>
            </w:r>
            <w:r>
              <w:rPr>
                <w:rFonts w:ascii="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信托公司</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净资本/净资产</w:t>
            </w:r>
          </w:p>
        </w:tc>
        <w:tc>
          <w:tcPr>
            <w:tcW w:w="3402" w:type="dxa"/>
            <w:vAlign w:val="top"/>
          </w:tcPr>
          <w:p>
            <w:pPr>
              <w:spacing w:before="31" w:beforeLines="10" w:after="31" w:afterLines="10" w:line="340" w:lineRule="exact"/>
              <w:rPr>
                <w:rFonts w:ascii="仿宋_GB2312"/>
                <w:sz w:val="28"/>
                <w:szCs w:val="28"/>
              </w:rPr>
            </w:pPr>
            <w:r>
              <w:rPr>
                <w:rFonts w:hint="eastAsia" w:ascii="仿宋_GB2312"/>
                <w:sz w:val="28"/>
                <w:szCs w:val="28"/>
              </w:rPr>
              <w:t>《信托公司净资本管理办法》</w:t>
            </w:r>
          </w:p>
        </w:tc>
        <w:tc>
          <w:tcPr>
            <w:tcW w:w="2268" w:type="dxa"/>
            <w:vAlign w:val="top"/>
          </w:tcPr>
          <w:p>
            <w:pPr>
              <w:spacing w:before="31" w:beforeLines="10" w:after="31" w:afterLines="10" w:line="340" w:lineRule="exact"/>
              <w:rPr>
                <w:rFonts w:ascii="仿宋_GB2312"/>
                <w:sz w:val="28"/>
                <w:szCs w:val="28"/>
              </w:rPr>
            </w:pPr>
            <w:r>
              <w:rPr>
                <w:rFonts w:ascii="仿宋_GB2312"/>
                <w:sz w:val="28"/>
                <w:szCs w:val="28"/>
              </w:rPr>
              <w:t>银监会令</w:t>
            </w:r>
            <w:r>
              <w:rPr>
                <w:rFonts w:hint="eastAsia" w:ascii="仿宋_GB2312"/>
                <w:sz w:val="28"/>
                <w:szCs w:val="28"/>
              </w:rPr>
              <w:t>〔2010〕5</w:t>
            </w:r>
            <w:r>
              <w:rPr>
                <w:rFonts w:ascii="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信托公司</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信托赔偿准备金</w:t>
            </w:r>
          </w:p>
        </w:tc>
        <w:tc>
          <w:tcPr>
            <w:tcW w:w="3402" w:type="dxa"/>
            <w:vAlign w:val="top"/>
          </w:tcPr>
          <w:p>
            <w:pPr>
              <w:spacing w:before="31" w:beforeLines="10" w:after="31" w:afterLines="10" w:line="340" w:lineRule="exact"/>
              <w:rPr>
                <w:rFonts w:ascii="仿宋_GB2312"/>
                <w:sz w:val="28"/>
                <w:szCs w:val="28"/>
              </w:rPr>
            </w:pPr>
            <w:r>
              <w:rPr>
                <w:rFonts w:hint="eastAsia" w:ascii="仿宋_GB2312"/>
                <w:sz w:val="28"/>
                <w:szCs w:val="28"/>
              </w:rPr>
              <w:t>《信托公司管理办法》</w:t>
            </w:r>
          </w:p>
        </w:tc>
        <w:tc>
          <w:tcPr>
            <w:tcW w:w="2268" w:type="dxa"/>
            <w:vAlign w:val="top"/>
          </w:tcPr>
          <w:p>
            <w:pPr>
              <w:spacing w:before="31" w:beforeLines="10" w:after="31" w:afterLines="10" w:line="340" w:lineRule="exact"/>
              <w:rPr>
                <w:rFonts w:ascii="仿宋_GB2312"/>
                <w:sz w:val="28"/>
                <w:szCs w:val="28"/>
              </w:rPr>
            </w:pPr>
            <w:r>
              <w:rPr>
                <w:rFonts w:ascii="仿宋_GB2312"/>
                <w:sz w:val="28"/>
                <w:szCs w:val="28"/>
              </w:rPr>
              <w:t>银监会令</w:t>
            </w:r>
            <w:r>
              <w:rPr>
                <w:rFonts w:hint="eastAsia" w:ascii="仿宋_GB2312"/>
                <w:sz w:val="28"/>
                <w:szCs w:val="28"/>
              </w:rPr>
              <w:t>〔2007〕2</w:t>
            </w:r>
            <w:r>
              <w:rPr>
                <w:rFonts w:ascii="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Merge w:val="restart"/>
            <w:vAlign w:val="top"/>
          </w:tcPr>
          <w:p>
            <w:pPr>
              <w:spacing w:before="31" w:beforeLines="10" w:after="31" w:afterLines="10" w:line="340" w:lineRule="exact"/>
              <w:rPr>
                <w:rFonts w:ascii="仿宋_GB2312"/>
                <w:sz w:val="28"/>
                <w:szCs w:val="28"/>
              </w:rPr>
            </w:pPr>
            <w:r>
              <w:rPr>
                <w:rFonts w:hint="eastAsia" w:ascii="仿宋_GB2312"/>
                <w:sz w:val="28"/>
                <w:szCs w:val="28"/>
              </w:rPr>
              <w:t>金融资产管理公司</w:t>
            </w:r>
          </w:p>
        </w:tc>
        <w:tc>
          <w:tcPr>
            <w:tcW w:w="2092" w:type="dxa"/>
            <w:vMerge w:val="restart"/>
            <w:vAlign w:val="top"/>
          </w:tcPr>
          <w:p>
            <w:pPr>
              <w:spacing w:before="31" w:beforeLines="10" w:after="31" w:afterLines="10" w:line="340" w:lineRule="exact"/>
              <w:rPr>
                <w:rFonts w:ascii="仿宋_GB2312"/>
                <w:sz w:val="28"/>
                <w:szCs w:val="28"/>
              </w:rPr>
            </w:pPr>
            <w:r>
              <w:rPr>
                <w:rFonts w:hint="eastAsia" w:ascii="仿宋_GB2312"/>
                <w:sz w:val="28"/>
                <w:szCs w:val="28"/>
              </w:rPr>
              <w:t>最低资本、财务杠杆率、流动性比例</w:t>
            </w:r>
          </w:p>
        </w:tc>
        <w:tc>
          <w:tcPr>
            <w:tcW w:w="3402" w:type="dxa"/>
            <w:vAlign w:val="top"/>
          </w:tcPr>
          <w:p>
            <w:pPr>
              <w:spacing w:before="31" w:beforeLines="10" w:after="31" w:afterLines="10" w:line="340" w:lineRule="exact"/>
              <w:rPr>
                <w:rFonts w:ascii="仿宋_GB2312"/>
                <w:sz w:val="28"/>
                <w:szCs w:val="28"/>
              </w:rPr>
            </w:pPr>
            <w:r>
              <w:rPr>
                <w:rFonts w:hint="eastAsia" w:ascii="仿宋_GB2312"/>
                <w:sz w:val="28"/>
                <w:szCs w:val="28"/>
              </w:rPr>
              <w:t>《金融资产管理公司并表监管指引（试行）》</w:t>
            </w:r>
          </w:p>
        </w:tc>
        <w:tc>
          <w:tcPr>
            <w:tcW w:w="2268" w:type="dxa"/>
            <w:vAlign w:val="top"/>
          </w:tcPr>
          <w:p>
            <w:pPr>
              <w:spacing w:before="31" w:beforeLines="10" w:after="31" w:afterLines="10" w:line="340" w:lineRule="exact"/>
              <w:rPr>
                <w:rFonts w:ascii="仿宋_GB2312"/>
                <w:sz w:val="28"/>
                <w:szCs w:val="28"/>
              </w:rPr>
            </w:pPr>
            <w:r>
              <w:rPr>
                <w:rFonts w:hint="eastAsia" w:ascii="仿宋_GB2312"/>
                <w:sz w:val="28"/>
                <w:szCs w:val="28"/>
              </w:rPr>
              <w:t>银监发〔2011〕20号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Merge w:val="continue"/>
            <w:vAlign w:val="top"/>
          </w:tcPr>
          <w:p>
            <w:pPr>
              <w:spacing w:before="31" w:beforeLines="10" w:after="31" w:afterLines="10" w:line="340" w:lineRule="exact"/>
              <w:outlineLvl w:val="9"/>
              <w:rPr>
                <w:rFonts w:ascii="仿宋_GB2312" w:cs="黑体"/>
                <w:b/>
                <w:bCs/>
                <w:sz w:val="28"/>
                <w:szCs w:val="28"/>
              </w:rPr>
            </w:pPr>
          </w:p>
        </w:tc>
        <w:tc>
          <w:tcPr>
            <w:tcW w:w="2092" w:type="dxa"/>
            <w:vMerge w:val="continue"/>
            <w:vAlign w:val="top"/>
          </w:tcPr>
          <w:p>
            <w:pPr>
              <w:spacing w:before="31" w:beforeLines="10" w:after="31" w:afterLines="10" w:line="340" w:lineRule="exact"/>
              <w:outlineLvl w:val="9"/>
              <w:rPr>
                <w:rFonts w:ascii="仿宋_GB2312" w:cs="黑体"/>
                <w:b/>
                <w:bCs/>
                <w:sz w:val="28"/>
                <w:szCs w:val="28"/>
              </w:rPr>
            </w:pPr>
          </w:p>
        </w:tc>
        <w:tc>
          <w:tcPr>
            <w:tcW w:w="3402" w:type="dxa"/>
            <w:vAlign w:val="top"/>
          </w:tcPr>
          <w:p>
            <w:pPr>
              <w:spacing w:before="31" w:beforeLines="10" w:after="31" w:afterLines="10" w:line="340" w:lineRule="exact"/>
              <w:rPr>
                <w:rFonts w:ascii="仿宋_GB2312"/>
                <w:sz w:val="28"/>
                <w:szCs w:val="28"/>
              </w:rPr>
            </w:pPr>
            <w:r>
              <w:rPr>
                <w:rFonts w:hint="eastAsia" w:ascii="仿宋_GB2312"/>
                <w:sz w:val="28"/>
                <w:szCs w:val="28"/>
              </w:rPr>
              <w:t>《关于印发&lt;金融资产管理公司非现场监管报表指标体系（试行）&gt;的通知》</w:t>
            </w:r>
          </w:p>
        </w:tc>
        <w:tc>
          <w:tcPr>
            <w:tcW w:w="2268" w:type="dxa"/>
            <w:vAlign w:val="top"/>
          </w:tcPr>
          <w:p>
            <w:pPr>
              <w:spacing w:before="31" w:beforeLines="10" w:after="31" w:afterLines="10" w:line="340" w:lineRule="exact"/>
              <w:rPr>
                <w:rFonts w:ascii="仿宋_GB2312"/>
                <w:sz w:val="28"/>
                <w:szCs w:val="28"/>
              </w:rPr>
            </w:pPr>
            <w:r>
              <w:rPr>
                <w:rFonts w:hint="eastAsia" w:ascii="仿宋_GB2312"/>
                <w:sz w:val="28"/>
                <w:szCs w:val="28"/>
              </w:rPr>
              <w:t>银监办发〔2012〕153号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金融租赁公司</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资本充足率、同业拆借比例、固定收益类证券投资业务/资本净额</w:t>
            </w:r>
          </w:p>
        </w:tc>
        <w:tc>
          <w:tcPr>
            <w:tcW w:w="3402" w:type="dxa"/>
            <w:vAlign w:val="top"/>
          </w:tcPr>
          <w:p>
            <w:pPr>
              <w:spacing w:before="31" w:beforeLines="10" w:after="31" w:afterLines="10" w:line="340" w:lineRule="exact"/>
              <w:rPr>
                <w:rFonts w:ascii="仿宋_GB2312"/>
                <w:sz w:val="28"/>
                <w:szCs w:val="28"/>
              </w:rPr>
            </w:pPr>
            <w:r>
              <w:rPr>
                <w:rFonts w:hint="eastAsia" w:ascii="仿宋_GB2312"/>
                <w:sz w:val="28"/>
                <w:szCs w:val="28"/>
              </w:rPr>
              <w:t>《金融租赁公司管理办法》</w:t>
            </w:r>
          </w:p>
        </w:tc>
        <w:tc>
          <w:tcPr>
            <w:tcW w:w="2268" w:type="dxa"/>
            <w:vAlign w:val="top"/>
          </w:tcPr>
          <w:p>
            <w:pPr>
              <w:spacing w:before="31" w:beforeLines="10" w:after="31" w:afterLines="10" w:line="340" w:lineRule="exact"/>
              <w:rPr>
                <w:rFonts w:ascii="仿宋_GB2312"/>
                <w:sz w:val="28"/>
                <w:szCs w:val="28"/>
              </w:rPr>
            </w:pPr>
            <w:r>
              <w:rPr>
                <w:rFonts w:ascii="仿宋_GB2312"/>
                <w:sz w:val="28"/>
                <w:szCs w:val="28"/>
              </w:rPr>
              <w:t>银监会令</w:t>
            </w:r>
            <w:r>
              <w:rPr>
                <w:rFonts w:hint="eastAsia" w:ascii="仿宋_GB2312"/>
                <w:sz w:val="28"/>
                <w:szCs w:val="28"/>
              </w:rPr>
              <w:t>〔2014〕3</w:t>
            </w:r>
            <w:r>
              <w:rPr>
                <w:rFonts w:ascii="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汽车金融公司</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资本充足率、核心资本充足率、自用固定资产/资本净额</w:t>
            </w:r>
          </w:p>
        </w:tc>
        <w:tc>
          <w:tcPr>
            <w:tcW w:w="3402" w:type="dxa"/>
            <w:vAlign w:val="top"/>
          </w:tcPr>
          <w:p>
            <w:pPr>
              <w:spacing w:before="31" w:beforeLines="10" w:after="31" w:afterLines="10" w:line="340" w:lineRule="exact"/>
              <w:rPr>
                <w:rFonts w:ascii="仿宋_GB2312"/>
                <w:sz w:val="28"/>
                <w:szCs w:val="28"/>
              </w:rPr>
            </w:pPr>
            <w:r>
              <w:rPr>
                <w:rFonts w:hint="eastAsia" w:ascii="仿宋_GB2312"/>
                <w:sz w:val="28"/>
                <w:szCs w:val="28"/>
              </w:rPr>
              <w:t>《汽车金融公司管理办法》</w:t>
            </w:r>
          </w:p>
        </w:tc>
        <w:tc>
          <w:tcPr>
            <w:tcW w:w="2268" w:type="dxa"/>
            <w:vAlign w:val="top"/>
          </w:tcPr>
          <w:p>
            <w:pPr>
              <w:spacing w:before="31" w:beforeLines="10" w:after="31" w:afterLines="10" w:line="340" w:lineRule="exact"/>
              <w:rPr>
                <w:rFonts w:ascii="仿宋_GB2312"/>
                <w:sz w:val="28"/>
                <w:szCs w:val="28"/>
              </w:rPr>
            </w:pPr>
            <w:r>
              <w:rPr>
                <w:rFonts w:ascii="仿宋_GB2312"/>
                <w:sz w:val="28"/>
                <w:szCs w:val="28"/>
              </w:rPr>
              <w:t>银监会令</w:t>
            </w:r>
            <w:r>
              <w:rPr>
                <w:rFonts w:hint="eastAsia" w:ascii="仿宋_GB2312"/>
                <w:sz w:val="28"/>
                <w:szCs w:val="28"/>
              </w:rPr>
              <w:t>〔2008〕1</w:t>
            </w:r>
            <w:r>
              <w:rPr>
                <w:rFonts w:ascii="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消费金融公司</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资本充足率、同业拆入资金比例、资产损失准备充足率、投资余额/资本总额</w:t>
            </w:r>
          </w:p>
        </w:tc>
        <w:tc>
          <w:tcPr>
            <w:tcW w:w="3402" w:type="dxa"/>
            <w:vAlign w:val="top"/>
          </w:tcPr>
          <w:p>
            <w:pPr>
              <w:spacing w:before="31" w:beforeLines="10" w:after="31" w:afterLines="10" w:line="340" w:lineRule="exact"/>
              <w:rPr>
                <w:rFonts w:ascii="仿宋_GB2312"/>
                <w:sz w:val="28"/>
                <w:szCs w:val="28"/>
              </w:rPr>
            </w:pPr>
            <w:r>
              <w:rPr>
                <w:rFonts w:hint="eastAsia" w:ascii="仿宋_GB2312"/>
                <w:sz w:val="28"/>
                <w:szCs w:val="28"/>
              </w:rPr>
              <w:t>《消费金融公司试点管理办法》</w:t>
            </w:r>
          </w:p>
        </w:tc>
        <w:tc>
          <w:tcPr>
            <w:tcW w:w="2268" w:type="dxa"/>
            <w:vAlign w:val="top"/>
          </w:tcPr>
          <w:p>
            <w:pPr>
              <w:spacing w:before="31" w:beforeLines="10" w:after="31" w:afterLines="10" w:line="340" w:lineRule="exact"/>
              <w:rPr>
                <w:rFonts w:ascii="仿宋_GB2312"/>
                <w:sz w:val="28"/>
                <w:szCs w:val="28"/>
              </w:rPr>
            </w:pPr>
            <w:r>
              <w:rPr>
                <w:rFonts w:ascii="仿宋_GB2312"/>
                <w:sz w:val="28"/>
                <w:szCs w:val="28"/>
              </w:rPr>
              <w:t>银监会令</w:t>
            </w:r>
            <w:r>
              <w:rPr>
                <w:rFonts w:hint="eastAsia" w:ascii="仿宋_GB2312"/>
                <w:sz w:val="28"/>
                <w:szCs w:val="28"/>
              </w:rPr>
              <w:t>〔2013〕2</w:t>
            </w:r>
            <w:r>
              <w:rPr>
                <w:rFonts w:ascii="仿宋_GB2312"/>
                <w:sz w:val="28"/>
                <w:szCs w:val="28"/>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418" w:type="dxa"/>
            <w:vAlign w:val="top"/>
          </w:tcPr>
          <w:p>
            <w:pPr>
              <w:spacing w:before="31" w:beforeLines="10" w:after="31" w:afterLines="10" w:line="340" w:lineRule="exact"/>
              <w:rPr>
                <w:rFonts w:ascii="仿宋_GB2312"/>
                <w:sz w:val="28"/>
                <w:szCs w:val="28"/>
              </w:rPr>
            </w:pPr>
            <w:r>
              <w:rPr>
                <w:rFonts w:hint="eastAsia" w:ascii="仿宋_GB2312"/>
                <w:sz w:val="28"/>
                <w:szCs w:val="28"/>
              </w:rPr>
              <w:t>期货公司</w:t>
            </w:r>
          </w:p>
        </w:tc>
        <w:tc>
          <w:tcPr>
            <w:tcW w:w="2092" w:type="dxa"/>
            <w:vAlign w:val="top"/>
          </w:tcPr>
          <w:p>
            <w:pPr>
              <w:spacing w:before="31" w:beforeLines="10" w:after="31" w:afterLines="10" w:line="340" w:lineRule="exact"/>
              <w:rPr>
                <w:rFonts w:ascii="仿宋_GB2312"/>
                <w:sz w:val="28"/>
                <w:szCs w:val="28"/>
              </w:rPr>
            </w:pPr>
            <w:r>
              <w:rPr>
                <w:rFonts w:hint="eastAsia" w:ascii="仿宋_GB2312"/>
                <w:sz w:val="28"/>
                <w:szCs w:val="28"/>
              </w:rPr>
              <w:t>净资本、净资本/风险资本准备、净资本/净资产、流动资产/流动负债、负债/净资产</w:t>
            </w:r>
          </w:p>
        </w:tc>
        <w:tc>
          <w:tcPr>
            <w:tcW w:w="3402" w:type="dxa"/>
            <w:vAlign w:val="top"/>
          </w:tcPr>
          <w:p>
            <w:pPr>
              <w:spacing w:before="31" w:beforeLines="10" w:after="31" w:afterLines="10" w:line="340" w:lineRule="exact"/>
              <w:rPr>
                <w:rFonts w:ascii="仿宋_GB2312"/>
                <w:sz w:val="28"/>
                <w:szCs w:val="28"/>
              </w:rPr>
            </w:pPr>
            <w:r>
              <w:rPr>
                <w:rFonts w:hint="eastAsia" w:ascii="仿宋_GB2312"/>
                <w:sz w:val="28"/>
                <w:szCs w:val="28"/>
              </w:rPr>
              <w:t>《关于修改〈</w:t>
            </w:r>
            <w:r>
              <w:fldChar w:fldCharType="begin"/>
            </w:r>
            <w:r>
              <w:instrText xml:space="preserve">HYPERLINK "http://futures.hexun.com/" \t "_blank" </w:instrText>
            </w:r>
            <w:r>
              <w:fldChar w:fldCharType="separate"/>
            </w:r>
            <w:r>
              <w:rPr>
                <w:rFonts w:hint="eastAsia" w:ascii="仿宋_GB2312"/>
                <w:sz w:val="28"/>
                <w:szCs w:val="28"/>
              </w:rPr>
              <w:t>期货</w:t>
            </w:r>
            <w:r>
              <w:fldChar w:fldCharType="end"/>
            </w:r>
            <w:r>
              <w:rPr>
                <w:rFonts w:hint="eastAsia" w:ascii="仿宋_GB2312"/>
                <w:sz w:val="28"/>
                <w:szCs w:val="28"/>
              </w:rPr>
              <w:t>公司风险监管指标管理试行办法〉的决定》修订）</w:t>
            </w:r>
          </w:p>
        </w:tc>
        <w:tc>
          <w:tcPr>
            <w:tcW w:w="2268" w:type="dxa"/>
            <w:vAlign w:val="top"/>
          </w:tcPr>
          <w:p>
            <w:pPr>
              <w:spacing w:before="31" w:beforeLines="10" w:after="31" w:afterLines="10" w:line="340" w:lineRule="exact"/>
            </w:pPr>
            <w:r>
              <w:fldChar w:fldCharType="begin"/>
            </w:r>
            <w:r>
              <w:instrText xml:space="preserve">HYPERLINK "http://gov.hexun.com/csrc/index.html" \t "_blank" </w:instrText>
            </w:r>
            <w:r>
              <w:fldChar w:fldCharType="separate"/>
            </w:r>
            <w:r>
              <w:rPr>
                <w:rFonts w:hint="eastAsia" w:ascii="仿宋_GB2312"/>
                <w:sz w:val="28"/>
                <w:szCs w:val="28"/>
              </w:rPr>
              <w:t>证监会</w:t>
            </w:r>
            <w:r>
              <w:fldChar w:fldCharType="end"/>
            </w:r>
            <w:r>
              <w:rPr>
                <w:rFonts w:hint="eastAsia" w:ascii="仿宋_GB2312"/>
                <w:sz w:val="28"/>
                <w:szCs w:val="28"/>
              </w:rPr>
              <w:t>公告〔2013〕12号</w:t>
            </w:r>
          </w:p>
        </w:tc>
      </w:tr>
    </w:tbl>
    <w:p>
      <w:pPr>
        <w:spacing w:before="156" w:beforeLines="50" w:after="156" w:afterLines="50" w:line="400" w:lineRule="exact"/>
        <w:outlineLvl w:val="1"/>
        <w:rPr>
          <w:rFonts w:ascii="华文中宋" w:hAnsi="华文中宋" w:eastAsia="华文中宋"/>
          <w:spacing w:val="-2"/>
          <w:sz w:val="44"/>
          <w:szCs w:val="44"/>
        </w:rPr>
      </w:pPr>
    </w:p>
    <w:p>
      <w:pPr>
        <w:spacing w:before="156" w:after="156"/>
      </w:pPr>
    </w:p>
    <w:sectPr>
      <w:headerReference r:id="rId4" w:type="default"/>
      <w:footerReference r:id="rId5" w:type="default"/>
      <w:footerReference r:id="rId6" w:type="even"/>
      <w:pgSz w:w="11906" w:h="16838"/>
      <w:pgMar w:top="1644" w:right="1418" w:bottom="1985" w:left="1542"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framePr w:w="2055" w:wrap="around" w:vAnchor="text" w:hAnchor="page" w:x="8440" w:y="-355"/>
      <w:spacing w:line="0" w:lineRule="atLeast"/>
      <w:ind w:right="345"/>
      <w:jc w:val="right"/>
      <w:rPr>
        <w:rStyle w:val="22"/>
        <w:rFonts w:ascii="仿宋_GB2312"/>
      </w:rPr>
    </w:pPr>
  </w:p>
  <w:p>
    <w:pPr>
      <w:pStyle w:val="16"/>
      <w:framePr w:w="2055" w:wrap="around" w:vAnchor="text" w:hAnchor="page" w:x="8440" w:y="-355"/>
      <w:spacing w:line="0" w:lineRule="atLeast"/>
      <w:ind w:right="345"/>
      <w:jc w:val="right"/>
      <w:rPr>
        <w:rStyle w:val="22"/>
        <w:rFonts w:ascii="仿宋_GB2312"/>
      </w:rPr>
    </w:pPr>
  </w:p>
  <w:p>
    <w:pPr>
      <w:pStyle w:val="16"/>
      <w:framePr w:w="2055" w:wrap="around" w:vAnchor="text" w:hAnchor="page" w:x="8440" w:y="-355"/>
      <w:spacing w:line="0" w:lineRule="atLeast"/>
      <w:ind w:right="345"/>
      <w:jc w:val="right"/>
      <w:rPr>
        <w:rStyle w:val="22"/>
        <w:rFonts w:ascii="仿宋_GB2312"/>
      </w:rPr>
    </w:pPr>
  </w:p>
  <w:p>
    <w:pPr>
      <w:pStyle w:val="16"/>
      <w:framePr w:w="2055" w:wrap="around" w:vAnchor="text" w:hAnchor="page" w:x="8440" w:y="-355"/>
      <w:spacing w:line="0" w:lineRule="atLeast"/>
      <w:ind w:right="345"/>
      <w:jc w:val="right"/>
      <w:rPr>
        <w:rStyle w:val="22"/>
      </w:rPr>
    </w:pPr>
    <w:r>
      <w:rPr>
        <w:rStyle w:val="22"/>
        <w:rFonts w:hint="eastAsia" w:ascii="仿宋_GB2312"/>
      </w:rPr>
      <w:t>—</w:t>
    </w:r>
    <w:r>
      <w:rPr>
        <w:rStyle w:val="22"/>
      </w:rPr>
      <w:fldChar w:fldCharType="begin"/>
    </w:r>
    <w:r>
      <w:rPr>
        <w:rStyle w:val="22"/>
      </w:rPr>
      <w:instrText xml:space="preserve">PAGE  </w:instrText>
    </w:r>
    <w:r>
      <w:rPr>
        <w:rStyle w:val="22"/>
      </w:rPr>
      <w:fldChar w:fldCharType="separate"/>
    </w:r>
    <w:r>
      <w:rPr>
        <w:rStyle w:val="22"/>
      </w:rPr>
      <w:t>1</w:t>
    </w:r>
    <w:r>
      <w:rPr>
        <w:rStyle w:val="22"/>
      </w:rPr>
      <w:fldChar w:fldCharType="end"/>
    </w:r>
    <w:r>
      <w:rPr>
        <w:rStyle w:val="22"/>
        <w:rFonts w:hint="eastAsia" w:ascii="仿宋_GB2312"/>
      </w:rPr>
      <w:t>—</w:t>
    </w:r>
  </w:p>
  <w:p>
    <w:pPr>
      <w:pStyle w:val="16"/>
      <w:tabs>
        <w:tab w:val="clear"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framePr w:w="1596" w:wrap="around" w:vAnchor="text" w:hAnchor="page" w:x="1885" w:y="-415"/>
      <w:rPr>
        <w:rStyle w:val="22"/>
      </w:rPr>
    </w:pPr>
    <w:r>
      <w:rPr>
        <w:rStyle w:val="22"/>
        <w:rFonts w:hint="eastAsia" w:ascii="仿宋_GB2312"/>
      </w:rPr>
      <w:t>—</w:t>
    </w:r>
    <w:r>
      <w:rPr>
        <w:rStyle w:val="22"/>
      </w:rPr>
      <w:fldChar w:fldCharType="begin"/>
    </w:r>
    <w:r>
      <w:rPr>
        <w:rStyle w:val="22"/>
      </w:rPr>
      <w:instrText xml:space="preserve">PAGE  </w:instrText>
    </w:r>
    <w:r>
      <w:rPr>
        <w:rStyle w:val="22"/>
      </w:rPr>
      <w:fldChar w:fldCharType="separate"/>
    </w:r>
    <w:r>
      <w:rPr>
        <w:rStyle w:val="22"/>
      </w:rPr>
      <w:t>8</w:t>
    </w:r>
    <w:r>
      <w:rPr>
        <w:rStyle w:val="22"/>
      </w:rPr>
      <w:fldChar w:fldCharType="end"/>
    </w:r>
    <w:r>
      <w:rPr>
        <w:rStyle w:val="22"/>
        <w:rFonts w:hint="eastAsia" w:ascii="仿宋_GB2312"/>
      </w:rPr>
      <w:t>—</w:t>
    </w:r>
  </w:p>
  <w:p>
    <w:pPr>
      <w:pStyle w:val="1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150905966">
    <w:nsid w:val="44996E6E"/>
    <w:multiLevelType w:val="multilevel"/>
    <w:tmpl w:val="44996E6E"/>
    <w:lvl w:ilvl="0" w:tentative="1">
      <w:start w:val="1"/>
      <w:numFmt w:val="bullet"/>
      <w:lvlText w:val=""/>
      <w:lvlJc w:val="left"/>
      <w:pPr>
        <w:ind w:left="420" w:hanging="420"/>
      </w:pPr>
      <w:rPr>
        <w:rFonts w:hint="default" w:ascii="Wingdings" w:hAnsi="Wingdings"/>
        <w:sz w:val="11"/>
        <w:szCs w:val="11"/>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num w:numId="1">
    <w:abstractNumId w:val="11509059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C67DE"/>
    <w:rsid w:val="00005147"/>
    <w:rsid w:val="00050D9B"/>
    <w:rsid w:val="00075111"/>
    <w:rsid w:val="00077D11"/>
    <w:rsid w:val="000C5C00"/>
    <w:rsid w:val="001059BC"/>
    <w:rsid w:val="00141F81"/>
    <w:rsid w:val="00153964"/>
    <w:rsid w:val="001544B5"/>
    <w:rsid w:val="00173E0B"/>
    <w:rsid w:val="00183418"/>
    <w:rsid w:val="001849DF"/>
    <w:rsid w:val="00195510"/>
    <w:rsid w:val="001B3415"/>
    <w:rsid w:val="001B5B49"/>
    <w:rsid w:val="001C67DE"/>
    <w:rsid w:val="001D6BE1"/>
    <w:rsid w:val="001E63D1"/>
    <w:rsid w:val="00210AC6"/>
    <w:rsid w:val="00214048"/>
    <w:rsid w:val="002321A0"/>
    <w:rsid w:val="00235A05"/>
    <w:rsid w:val="00245115"/>
    <w:rsid w:val="002F4401"/>
    <w:rsid w:val="002F621D"/>
    <w:rsid w:val="00385ACC"/>
    <w:rsid w:val="003A16DB"/>
    <w:rsid w:val="003B52BC"/>
    <w:rsid w:val="003D17DD"/>
    <w:rsid w:val="003D34A4"/>
    <w:rsid w:val="003E3D0E"/>
    <w:rsid w:val="003E5467"/>
    <w:rsid w:val="00416D96"/>
    <w:rsid w:val="00424FC1"/>
    <w:rsid w:val="00457F47"/>
    <w:rsid w:val="005146F5"/>
    <w:rsid w:val="00583C30"/>
    <w:rsid w:val="005843A1"/>
    <w:rsid w:val="00593939"/>
    <w:rsid w:val="00621E34"/>
    <w:rsid w:val="0064650E"/>
    <w:rsid w:val="006478D8"/>
    <w:rsid w:val="00666194"/>
    <w:rsid w:val="00680100"/>
    <w:rsid w:val="00696E5D"/>
    <w:rsid w:val="006B1C83"/>
    <w:rsid w:val="006C2613"/>
    <w:rsid w:val="006E4395"/>
    <w:rsid w:val="00732BA1"/>
    <w:rsid w:val="00760064"/>
    <w:rsid w:val="007763E9"/>
    <w:rsid w:val="007A7842"/>
    <w:rsid w:val="007E6167"/>
    <w:rsid w:val="0082010C"/>
    <w:rsid w:val="008539DB"/>
    <w:rsid w:val="00873F02"/>
    <w:rsid w:val="008A3242"/>
    <w:rsid w:val="0091291F"/>
    <w:rsid w:val="0094512B"/>
    <w:rsid w:val="00997D21"/>
    <w:rsid w:val="009A7C19"/>
    <w:rsid w:val="009B3F25"/>
    <w:rsid w:val="00A51A18"/>
    <w:rsid w:val="00A646E5"/>
    <w:rsid w:val="00A71C14"/>
    <w:rsid w:val="00AC6BCA"/>
    <w:rsid w:val="00AD1BE0"/>
    <w:rsid w:val="00B007D2"/>
    <w:rsid w:val="00B02F6E"/>
    <w:rsid w:val="00B1177C"/>
    <w:rsid w:val="00B62FC9"/>
    <w:rsid w:val="00BF2C45"/>
    <w:rsid w:val="00BF7554"/>
    <w:rsid w:val="00C609F7"/>
    <w:rsid w:val="00C816DC"/>
    <w:rsid w:val="00C85755"/>
    <w:rsid w:val="00CB5EF6"/>
    <w:rsid w:val="00CD2233"/>
    <w:rsid w:val="00D11A6F"/>
    <w:rsid w:val="00D252A8"/>
    <w:rsid w:val="00D5187F"/>
    <w:rsid w:val="00D521D1"/>
    <w:rsid w:val="00D5328C"/>
    <w:rsid w:val="00D9521D"/>
    <w:rsid w:val="00E1159B"/>
    <w:rsid w:val="00E406FC"/>
    <w:rsid w:val="00E4170B"/>
    <w:rsid w:val="00E573D8"/>
    <w:rsid w:val="00E636E3"/>
    <w:rsid w:val="00E85302"/>
    <w:rsid w:val="00EA5F1B"/>
    <w:rsid w:val="00EA5F95"/>
    <w:rsid w:val="00EE6917"/>
    <w:rsid w:val="00F2110B"/>
    <w:rsid w:val="00F56F8B"/>
    <w:rsid w:val="00F729C8"/>
    <w:rsid w:val="00FB05D7"/>
    <w:rsid w:val="00FC095C"/>
    <w:rsid w:val="00FD599E"/>
    <w:rsid w:val="00FE0C1F"/>
    <w:rsid w:val="00FE1A91"/>
    <w:rsid w:val="036B4BAC"/>
    <w:rsid w:val="0C855915"/>
    <w:rsid w:val="14E34827"/>
    <w:rsid w:val="16996037"/>
    <w:rsid w:val="17D06121"/>
    <w:rsid w:val="1C4B2E22"/>
    <w:rsid w:val="1CDB5968"/>
    <w:rsid w:val="1CFD009B"/>
    <w:rsid w:val="1D120041"/>
    <w:rsid w:val="243B22DC"/>
    <w:rsid w:val="33CE4B52"/>
    <w:rsid w:val="34A47150"/>
    <w:rsid w:val="3914417C"/>
    <w:rsid w:val="3CEF722E"/>
    <w:rsid w:val="3FF74C02"/>
    <w:rsid w:val="471C3E9C"/>
    <w:rsid w:val="47546D12"/>
    <w:rsid w:val="48310C7F"/>
    <w:rsid w:val="4919745B"/>
    <w:rsid w:val="4B5F0E37"/>
    <w:rsid w:val="4DD45B69"/>
    <w:rsid w:val="4EC61D76"/>
    <w:rsid w:val="52CA1363"/>
    <w:rsid w:val="55E27B2C"/>
    <w:rsid w:val="562F3BF3"/>
    <w:rsid w:val="5D2D376B"/>
    <w:rsid w:val="5DEE03F5"/>
    <w:rsid w:val="5FA22C2A"/>
    <w:rsid w:val="65886660"/>
    <w:rsid w:val="68CC41FB"/>
    <w:rsid w:val="75A44310"/>
    <w:rsid w:val="7DA35F0F"/>
    <w:rsid w:val="7DEC4166"/>
    <w:rsid w:val="7FA11F03"/>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semiHidden="0" w:name="annotation text"/>
    <w:lsdException w:uiPriority="99" w:semiHidden="0" w:name="header"/>
    <w:lsdException w:uiPriority="0" w:semiHidden="0" w:name="footer"/>
    <w:lsdException w:uiPriority="0" w:name="index heading"/>
    <w:lsdException w:uiPriority="35" w:name="caption"/>
    <w:lsdException w:uiPriority="0" w:name="table of figures"/>
    <w:lsdException w:uiPriority="0" w:name="envelope address"/>
    <w:lsdException w:uiPriority="0" w:name="envelope return"/>
    <w:lsdException w:uiPriority="0" w:name="footnote reference"/>
    <w:lsdException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napToGrid w:val="0"/>
      <w:spacing w:line="588" w:lineRule="atLeast"/>
      <w:jc w:val="both"/>
    </w:pPr>
    <w:rPr>
      <w:rFonts w:ascii="宋体" w:hAnsi="宋体" w:eastAsia="仿宋_GB2312" w:cs="Times New Roman"/>
      <w:spacing w:val="6"/>
      <w:kern w:val="2"/>
      <w:sz w:val="30"/>
      <w:szCs w:val="24"/>
      <w:lang w:val="en-US" w:eastAsia="zh-CN" w:bidi="ar-SA"/>
    </w:rPr>
  </w:style>
  <w:style w:type="paragraph" w:styleId="2">
    <w:name w:val="heading 1"/>
    <w:basedOn w:val="1"/>
    <w:next w:val="1"/>
    <w:link w:val="33"/>
    <w:qFormat/>
    <w:uiPriority w:val="9"/>
    <w:pPr>
      <w:keepNext/>
      <w:spacing w:before="240" w:after="60"/>
      <w:outlineLvl w:val="0"/>
    </w:pPr>
    <w:rPr>
      <w:rFonts w:ascii="Cambria" w:hAnsi="Cambria" w:eastAsia="宋体" w:cs="黑体"/>
      <w:b/>
      <w:bCs/>
      <w:kern w:val="32"/>
      <w:sz w:val="32"/>
      <w:szCs w:val="32"/>
    </w:rPr>
  </w:style>
  <w:style w:type="paragraph" w:styleId="3">
    <w:name w:val="heading 2"/>
    <w:basedOn w:val="1"/>
    <w:next w:val="1"/>
    <w:link w:val="34"/>
    <w:unhideWhenUsed/>
    <w:qFormat/>
    <w:uiPriority w:val="9"/>
    <w:pPr>
      <w:keepNext/>
      <w:spacing w:before="240" w:after="60"/>
      <w:outlineLvl w:val="1"/>
    </w:pPr>
    <w:rPr>
      <w:rFonts w:ascii="Cambria" w:hAnsi="Cambria" w:eastAsia="宋体" w:cs="黑体"/>
      <w:b/>
      <w:bCs/>
      <w:i/>
      <w:iCs/>
      <w:sz w:val="28"/>
      <w:szCs w:val="28"/>
    </w:rPr>
  </w:style>
  <w:style w:type="paragraph" w:styleId="4">
    <w:name w:val="heading 3"/>
    <w:basedOn w:val="1"/>
    <w:next w:val="1"/>
    <w:link w:val="35"/>
    <w:unhideWhenUsed/>
    <w:qFormat/>
    <w:uiPriority w:val="9"/>
    <w:pPr>
      <w:keepNext/>
      <w:spacing w:before="240" w:after="60"/>
      <w:outlineLvl w:val="2"/>
    </w:pPr>
    <w:rPr>
      <w:rFonts w:ascii="Cambria" w:hAnsi="Cambria" w:eastAsia="宋体" w:cs="黑体"/>
      <w:b/>
      <w:bCs/>
      <w:sz w:val="26"/>
      <w:szCs w:val="26"/>
    </w:rPr>
  </w:style>
  <w:style w:type="paragraph" w:styleId="5">
    <w:name w:val="heading 4"/>
    <w:basedOn w:val="1"/>
    <w:next w:val="1"/>
    <w:link w:val="36"/>
    <w:unhideWhenUsed/>
    <w:qFormat/>
    <w:uiPriority w:val="9"/>
    <w:pPr>
      <w:keepNext/>
      <w:spacing w:before="240" w:after="60"/>
      <w:outlineLvl w:val="3"/>
    </w:pPr>
    <w:rPr>
      <w:rFonts w:cs="黑体"/>
      <w:b/>
      <w:bCs/>
      <w:sz w:val="28"/>
      <w:szCs w:val="28"/>
    </w:rPr>
  </w:style>
  <w:style w:type="paragraph" w:styleId="6">
    <w:name w:val="heading 5"/>
    <w:basedOn w:val="1"/>
    <w:next w:val="1"/>
    <w:link w:val="37"/>
    <w:unhideWhenUsed/>
    <w:qFormat/>
    <w:uiPriority w:val="9"/>
    <w:pPr>
      <w:spacing w:before="240" w:after="60"/>
      <w:outlineLvl w:val="4"/>
    </w:pPr>
    <w:rPr>
      <w:rFonts w:cs="黑体"/>
      <w:b/>
      <w:bCs/>
      <w:i/>
      <w:iCs/>
      <w:sz w:val="26"/>
      <w:szCs w:val="26"/>
    </w:rPr>
  </w:style>
  <w:style w:type="paragraph" w:styleId="7">
    <w:name w:val="heading 6"/>
    <w:basedOn w:val="1"/>
    <w:next w:val="1"/>
    <w:link w:val="38"/>
    <w:unhideWhenUsed/>
    <w:qFormat/>
    <w:uiPriority w:val="9"/>
    <w:pPr>
      <w:spacing w:before="240" w:after="60"/>
      <w:outlineLvl w:val="5"/>
    </w:pPr>
    <w:rPr>
      <w:rFonts w:cs="黑体"/>
      <w:b/>
      <w:bCs/>
      <w:sz w:val="22"/>
      <w:szCs w:val="22"/>
    </w:rPr>
  </w:style>
  <w:style w:type="paragraph" w:styleId="8">
    <w:name w:val="heading 7"/>
    <w:basedOn w:val="1"/>
    <w:next w:val="1"/>
    <w:link w:val="39"/>
    <w:unhideWhenUsed/>
    <w:qFormat/>
    <w:uiPriority w:val="9"/>
    <w:pPr>
      <w:spacing w:before="240" w:after="60"/>
      <w:outlineLvl w:val="6"/>
    </w:pPr>
    <w:rPr>
      <w:rFonts w:cs="黑体"/>
    </w:rPr>
  </w:style>
  <w:style w:type="paragraph" w:styleId="9">
    <w:name w:val="heading 8"/>
    <w:basedOn w:val="1"/>
    <w:next w:val="1"/>
    <w:link w:val="40"/>
    <w:unhideWhenUsed/>
    <w:qFormat/>
    <w:uiPriority w:val="9"/>
    <w:pPr>
      <w:spacing w:before="240" w:after="60"/>
      <w:outlineLvl w:val="7"/>
    </w:pPr>
    <w:rPr>
      <w:rFonts w:cs="黑体"/>
      <w:i/>
      <w:iCs/>
    </w:rPr>
  </w:style>
  <w:style w:type="paragraph" w:styleId="10">
    <w:name w:val="heading 9"/>
    <w:basedOn w:val="1"/>
    <w:next w:val="1"/>
    <w:link w:val="41"/>
    <w:unhideWhenUsed/>
    <w:qFormat/>
    <w:uiPriority w:val="9"/>
    <w:pPr>
      <w:spacing w:before="240" w:after="60"/>
      <w:outlineLvl w:val="8"/>
    </w:pPr>
    <w:rPr>
      <w:rFonts w:ascii="Cambria" w:hAnsi="Cambria" w:eastAsia="宋体" w:cs="黑体"/>
      <w:sz w:val="22"/>
      <w:szCs w:val="22"/>
    </w:rPr>
  </w:style>
  <w:style w:type="character" w:default="1" w:styleId="20">
    <w:name w:val="Default Paragraph Font"/>
    <w:unhideWhenUsed/>
    <w:uiPriority w:val="1"/>
  </w:style>
  <w:style w:type="table" w:default="1" w:styleId="25">
    <w:name w:val="Normal Table"/>
    <w:unhideWhenUsed/>
    <w:uiPriority w:val="99"/>
    <w:tblPr>
      <w:tblStyle w:val="25"/>
      <w:tblLayout w:type="fixed"/>
      <w:tblCellMar>
        <w:top w:w="0" w:type="dxa"/>
        <w:left w:w="108" w:type="dxa"/>
        <w:bottom w:w="0" w:type="dxa"/>
        <w:right w:w="108" w:type="dxa"/>
      </w:tblCellMar>
    </w:tblPr>
    <w:tcPr>
      <w:textDirection w:val="lrTb"/>
    </w:tcPr>
  </w:style>
  <w:style w:type="paragraph" w:styleId="11">
    <w:name w:val="annotation subject"/>
    <w:basedOn w:val="12"/>
    <w:next w:val="12"/>
    <w:link w:val="56"/>
    <w:unhideWhenUsed/>
    <w:uiPriority w:val="0"/>
    <w:rPr>
      <w:b/>
      <w:bCs/>
    </w:rPr>
  </w:style>
  <w:style w:type="paragraph" w:styleId="12">
    <w:name w:val="annotation text"/>
    <w:basedOn w:val="1"/>
    <w:link w:val="55"/>
    <w:unhideWhenUsed/>
    <w:uiPriority w:val="0"/>
    <w:pPr>
      <w:jc w:val="left"/>
    </w:pPr>
  </w:style>
  <w:style w:type="paragraph" w:styleId="13">
    <w:name w:val="Document Map"/>
    <w:basedOn w:val="1"/>
    <w:link w:val="57"/>
    <w:unhideWhenUsed/>
    <w:uiPriority w:val="0"/>
    <w:rPr>
      <w:rFonts w:eastAsia="宋体"/>
      <w:sz w:val="18"/>
      <w:szCs w:val="18"/>
    </w:rPr>
  </w:style>
  <w:style w:type="paragraph" w:styleId="14">
    <w:name w:val="Body Text"/>
    <w:basedOn w:val="1"/>
    <w:link w:val="53"/>
    <w:uiPriority w:val="0"/>
  </w:style>
  <w:style w:type="paragraph" w:styleId="15">
    <w:name w:val="Balloon Text"/>
    <w:basedOn w:val="1"/>
    <w:link w:val="54"/>
    <w:unhideWhenUsed/>
    <w:uiPriority w:val="0"/>
    <w:pPr>
      <w:spacing w:line="240" w:lineRule="auto"/>
    </w:pPr>
    <w:rPr>
      <w:sz w:val="18"/>
      <w:szCs w:val="18"/>
    </w:rPr>
  </w:style>
  <w:style w:type="paragraph" w:styleId="16">
    <w:name w:val="footer"/>
    <w:basedOn w:val="1"/>
    <w:link w:val="52"/>
    <w:unhideWhenUsed/>
    <w:uiPriority w:val="0"/>
    <w:pPr>
      <w:tabs>
        <w:tab w:val="center" w:pos="4153"/>
        <w:tab w:val="right" w:pos="8306"/>
      </w:tabs>
    </w:pPr>
    <w:rPr>
      <w:sz w:val="18"/>
      <w:szCs w:val="18"/>
    </w:rPr>
  </w:style>
  <w:style w:type="paragraph" w:styleId="17">
    <w:name w:val="header"/>
    <w:basedOn w:val="1"/>
    <w:link w:val="51"/>
    <w:unhideWhenUsed/>
    <w:uiPriority w:val="99"/>
    <w:pPr>
      <w:pBdr>
        <w:bottom w:val="single" w:color="auto" w:sz="6" w:space="1"/>
      </w:pBdr>
      <w:tabs>
        <w:tab w:val="center" w:pos="4153"/>
        <w:tab w:val="right" w:pos="8306"/>
      </w:tabs>
      <w:jc w:val="center"/>
    </w:pPr>
    <w:rPr>
      <w:sz w:val="18"/>
      <w:szCs w:val="18"/>
    </w:rPr>
  </w:style>
  <w:style w:type="paragraph" w:styleId="18">
    <w:name w:val="Subtitle"/>
    <w:basedOn w:val="1"/>
    <w:next w:val="1"/>
    <w:link w:val="43"/>
    <w:qFormat/>
    <w:uiPriority w:val="11"/>
    <w:pPr>
      <w:spacing w:after="60"/>
      <w:jc w:val="center"/>
      <w:outlineLvl w:val="1"/>
    </w:pPr>
    <w:rPr>
      <w:rFonts w:ascii="Cambria" w:hAnsi="Cambria" w:eastAsia="宋体" w:cs="黑体"/>
    </w:rPr>
  </w:style>
  <w:style w:type="paragraph" w:styleId="19">
    <w:name w:val="Title"/>
    <w:basedOn w:val="1"/>
    <w:next w:val="1"/>
    <w:link w:val="42"/>
    <w:qFormat/>
    <w:uiPriority w:val="10"/>
    <w:pPr>
      <w:spacing w:before="240" w:after="60"/>
      <w:jc w:val="center"/>
      <w:outlineLvl w:val="0"/>
    </w:pPr>
    <w:rPr>
      <w:rFonts w:ascii="Cambria" w:hAnsi="Cambria" w:eastAsia="宋体" w:cs="黑体"/>
      <w:b/>
      <w:bCs/>
      <w:kern w:val="28"/>
      <w:sz w:val="32"/>
      <w:szCs w:val="32"/>
    </w:rPr>
  </w:style>
  <w:style w:type="character" w:styleId="21">
    <w:name w:val="Strong"/>
    <w:qFormat/>
    <w:uiPriority w:val="22"/>
    <w:rPr>
      <w:b/>
      <w:bCs/>
    </w:rPr>
  </w:style>
  <w:style w:type="character" w:styleId="22">
    <w:name w:val="page number"/>
    <w:basedOn w:val="20"/>
    <w:uiPriority w:val="0"/>
    <w:rPr/>
  </w:style>
  <w:style w:type="character" w:styleId="23">
    <w:name w:val="Emphasis"/>
    <w:qFormat/>
    <w:uiPriority w:val="20"/>
    <w:rPr>
      <w:rFonts w:ascii="Calibri" w:hAnsi="Calibri"/>
      <w:b/>
      <w:i/>
      <w:iCs/>
    </w:rPr>
  </w:style>
  <w:style w:type="character" w:styleId="24">
    <w:name w:val="annotation reference"/>
    <w:unhideWhenUsed/>
    <w:uiPriority w:val="0"/>
    <w:rPr>
      <w:sz w:val="21"/>
      <w:szCs w:val="21"/>
    </w:rPr>
  </w:style>
  <w:style w:type="paragraph" w:customStyle="1" w:styleId="26">
    <w:name w:val="列出段落1"/>
    <w:basedOn w:val="1"/>
    <w:qFormat/>
    <w:uiPriority w:val="34"/>
    <w:pPr>
      <w:ind w:left="720"/>
      <w:contextualSpacing/>
    </w:pPr>
  </w:style>
  <w:style w:type="paragraph" w:customStyle="1" w:styleId="27">
    <w:name w:val="无间隔1"/>
    <w:basedOn w:val="1"/>
    <w:qFormat/>
    <w:uiPriority w:val="1"/>
    <w:rPr>
      <w:szCs w:val="32"/>
    </w:rPr>
  </w:style>
  <w:style w:type="paragraph" w:customStyle="1" w:styleId="28">
    <w:name w:val="引用1"/>
    <w:basedOn w:val="1"/>
    <w:next w:val="1"/>
    <w:link w:val="44"/>
    <w:qFormat/>
    <w:uiPriority w:val="29"/>
    <w:rPr>
      <w:i/>
    </w:rPr>
  </w:style>
  <w:style w:type="paragraph" w:customStyle="1" w:styleId="29">
    <w:name w:val="明显引用1"/>
    <w:basedOn w:val="1"/>
    <w:next w:val="1"/>
    <w:link w:val="45"/>
    <w:qFormat/>
    <w:uiPriority w:val="30"/>
    <w:pPr>
      <w:ind w:left="720" w:right="720"/>
    </w:pPr>
    <w:rPr>
      <w:b/>
      <w:i/>
      <w:szCs w:val="22"/>
    </w:rPr>
  </w:style>
  <w:style w:type="paragraph" w:customStyle="1" w:styleId="30">
    <w:name w:val="TOC 标题1"/>
    <w:basedOn w:val="2"/>
    <w:next w:val="1"/>
    <w:unhideWhenUsed/>
    <w:qFormat/>
    <w:uiPriority w:val="39"/>
    <w:pPr>
      <w:outlineLvl w:val="9"/>
    </w:pPr>
  </w:style>
  <w:style w:type="paragraph" w:customStyle="1" w:styleId="31">
    <w:name w:val="_Style 21"/>
    <w:basedOn w:val="1"/>
    <w:qFormat/>
    <w:uiPriority w:val="0"/>
    <w:pPr>
      <w:ind w:firstLine="420" w:firstLineChars="200"/>
    </w:pPr>
  </w:style>
  <w:style w:type="paragraph" w:customStyle="1" w:styleId="32">
    <w:name w:val="修订1"/>
    <w:hidden/>
    <w:unhideWhenUsed/>
    <w:uiPriority w:val="99"/>
    <w:rPr>
      <w:rFonts w:ascii="宋体" w:hAnsi="宋体" w:eastAsia="仿宋_GB2312" w:cs="Times New Roman"/>
      <w:spacing w:val="6"/>
      <w:kern w:val="2"/>
      <w:sz w:val="30"/>
      <w:szCs w:val="24"/>
      <w:lang w:val="en-US" w:eastAsia="zh-CN" w:bidi="ar-SA"/>
    </w:rPr>
  </w:style>
  <w:style w:type="character" w:customStyle="1" w:styleId="33">
    <w:name w:val="标题 1 Char"/>
    <w:link w:val="2"/>
    <w:uiPriority w:val="9"/>
    <w:rPr>
      <w:rFonts w:ascii="Cambria" w:hAnsi="Cambria" w:eastAsia="宋体" w:cs="黑体"/>
      <w:b/>
      <w:bCs/>
      <w:kern w:val="32"/>
      <w:sz w:val="32"/>
      <w:szCs w:val="32"/>
    </w:rPr>
  </w:style>
  <w:style w:type="character" w:customStyle="1" w:styleId="34">
    <w:name w:val="标题 2 Char"/>
    <w:link w:val="3"/>
    <w:semiHidden/>
    <w:uiPriority w:val="9"/>
    <w:rPr>
      <w:rFonts w:ascii="Cambria" w:hAnsi="Cambria" w:eastAsia="宋体" w:cs="黑体"/>
      <w:b/>
      <w:bCs/>
      <w:i/>
      <w:iCs/>
      <w:sz w:val="28"/>
      <w:szCs w:val="28"/>
    </w:rPr>
  </w:style>
  <w:style w:type="character" w:customStyle="1" w:styleId="35">
    <w:name w:val="标题 3 Char"/>
    <w:link w:val="4"/>
    <w:semiHidden/>
    <w:uiPriority w:val="9"/>
    <w:rPr>
      <w:rFonts w:ascii="Cambria" w:hAnsi="Cambria" w:eastAsia="宋体" w:cs="黑体"/>
      <w:b/>
      <w:bCs/>
      <w:sz w:val="26"/>
      <w:szCs w:val="26"/>
    </w:rPr>
  </w:style>
  <w:style w:type="character" w:customStyle="1" w:styleId="36">
    <w:name w:val="标题 4 Char"/>
    <w:link w:val="5"/>
    <w:semiHidden/>
    <w:uiPriority w:val="9"/>
    <w:rPr>
      <w:rFonts w:cs="黑体"/>
      <w:b/>
      <w:bCs/>
      <w:sz w:val="28"/>
      <w:szCs w:val="28"/>
    </w:rPr>
  </w:style>
  <w:style w:type="character" w:customStyle="1" w:styleId="37">
    <w:name w:val="标题 5 Char"/>
    <w:link w:val="6"/>
    <w:semiHidden/>
    <w:uiPriority w:val="9"/>
    <w:rPr>
      <w:rFonts w:cs="黑体"/>
      <w:b/>
      <w:bCs/>
      <w:i/>
      <w:iCs/>
      <w:sz w:val="26"/>
      <w:szCs w:val="26"/>
    </w:rPr>
  </w:style>
  <w:style w:type="character" w:customStyle="1" w:styleId="38">
    <w:name w:val="标题 6 Char"/>
    <w:link w:val="7"/>
    <w:semiHidden/>
    <w:uiPriority w:val="9"/>
    <w:rPr>
      <w:rFonts w:cs="黑体"/>
      <w:b/>
      <w:bCs/>
    </w:rPr>
  </w:style>
  <w:style w:type="character" w:customStyle="1" w:styleId="39">
    <w:name w:val="标题 7 Char"/>
    <w:link w:val="8"/>
    <w:semiHidden/>
    <w:uiPriority w:val="9"/>
    <w:rPr>
      <w:rFonts w:cs="黑体"/>
      <w:sz w:val="24"/>
      <w:szCs w:val="24"/>
    </w:rPr>
  </w:style>
  <w:style w:type="character" w:customStyle="1" w:styleId="40">
    <w:name w:val="标题 8 Char"/>
    <w:link w:val="9"/>
    <w:semiHidden/>
    <w:uiPriority w:val="9"/>
    <w:rPr>
      <w:rFonts w:cs="黑体"/>
      <w:i/>
      <w:iCs/>
      <w:sz w:val="24"/>
      <w:szCs w:val="24"/>
    </w:rPr>
  </w:style>
  <w:style w:type="character" w:customStyle="1" w:styleId="41">
    <w:name w:val="标题 9 Char"/>
    <w:link w:val="10"/>
    <w:semiHidden/>
    <w:uiPriority w:val="9"/>
    <w:rPr>
      <w:rFonts w:ascii="Cambria" w:hAnsi="Cambria" w:eastAsia="宋体" w:cs="黑体"/>
    </w:rPr>
  </w:style>
  <w:style w:type="character" w:customStyle="1" w:styleId="42">
    <w:name w:val="标题 Char"/>
    <w:link w:val="19"/>
    <w:uiPriority w:val="10"/>
    <w:rPr>
      <w:rFonts w:ascii="Cambria" w:hAnsi="Cambria" w:eastAsia="宋体" w:cs="黑体"/>
      <w:b/>
      <w:bCs/>
      <w:kern w:val="28"/>
      <w:sz w:val="32"/>
      <w:szCs w:val="32"/>
    </w:rPr>
  </w:style>
  <w:style w:type="character" w:customStyle="1" w:styleId="43">
    <w:name w:val="副标题 Char"/>
    <w:link w:val="18"/>
    <w:uiPriority w:val="11"/>
    <w:rPr>
      <w:rFonts w:ascii="Cambria" w:hAnsi="Cambria" w:eastAsia="宋体" w:cs="黑体"/>
      <w:sz w:val="24"/>
      <w:szCs w:val="24"/>
    </w:rPr>
  </w:style>
  <w:style w:type="character" w:customStyle="1" w:styleId="44">
    <w:name w:val="引用 Char"/>
    <w:link w:val="28"/>
    <w:uiPriority w:val="29"/>
    <w:rPr>
      <w:i/>
      <w:sz w:val="24"/>
      <w:szCs w:val="24"/>
    </w:rPr>
  </w:style>
  <w:style w:type="character" w:customStyle="1" w:styleId="45">
    <w:name w:val="明显引用 Char"/>
    <w:link w:val="29"/>
    <w:uiPriority w:val="30"/>
    <w:rPr>
      <w:b/>
      <w:i/>
      <w:sz w:val="24"/>
    </w:rPr>
  </w:style>
  <w:style w:type="character" w:customStyle="1" w:styleId="46">
    <w:name w:val="不明显强调1"/>
    <w:qFormat/>
    <w:uiPriority w:val="19"/>
    <w:rPr>
      <w:i/>
      <w:color w:val="595959"/>
    </w:rPr>
  </w:style>
  <w:style w:type="character" w:customStyle="1" w:styleId="47">
    <w:name w:val="明显强调1"/>
    <w:qFormat/>
    <w:uiPriority w:val="21"/>
    <w:rPr>
      <w:b/>
      <w:i/>
      <w:sz w:val="24"/>
      <w:szCs w:val="24"/>
      <w:u w:val="single"/>
    </w:rPr>
  </w:style>
  <w:style w:type="character" w:customStyle="1" w:styleId="48">
    <w:name w:val="不明显参考1"/>
    <w:qFormat/>
    <w:uiPriority w:val="31"/>
    <w:rPr>
      <w:sz w:val="24"/>
      <w:szCs w:val="24"/>
      <w:u w:val="single"/>
    </w:rPr>
  </w:style>
  <w:style w:type="character" w:customStyle="1" w:styleId="49">
    <w:name w:val="明显参考1"/>
    <w:qFormat/>
    <w:uiPriority w:val="32"/>
    <w:rPr>
      <w:b/>
      <w:sz w:val="24"/>
      <w:u w:val="single"/>
    </w:rPr>
  </w:style>
  <w:style w:type="character" w:customStyle="1" w:styleId="50">
    <w:name w:val="书籍标题1"/>
    <w:qFormat/>
    <w:uiPriority w:val="33"/>
    <w:rPr>
      <w:rFonts w:ascii="Cambria" w:hAnsi="Cambria" w:eastAsia="宋体"/>
      <w:b/>
      <w:i/>
      <w:sz w:val="24"/>
      <w:szCs w:val="24"/>
    </w:rPr>
  </w:style>
  <w:style w:type="character" w:customStyle="1" w:styleId="51">
    <w:name w:val="页眉 Char"/>
    <w:link w:val="17"/>
    <w:uiPriority w:val="99"/>
    <w:rPr>
      <w:sz w:val="18"/>
      <w:szCs w:val="18"/>
    </w:rPr>
  </w:style>
  <w:style w:type="character" w:customStyle="1" w:styleId="52">
    <w:name w:val="页脚 Char"/>
    <w:link w:val="16"/>
    <w:uiPriority w:val="99"/>
    <w:rPr>
      <w:sz w:val="18"/>
      <w:szCs w:val="18"/>
    </w:rPr>
  </w:style>
  <w:style w:type="character" w:customStyle="1" w:styleId="53">
    <w:name w:val="正文文本 Char"/>
    <w:link w:val="14"/>
    <w:uiPriority w:val="0"/>
    <w:rPr>
      <w:rFonts w:ascii="宋体" w:hAnsi="宋体" w:eastAsia="仿宋_GB2312"/>
      <w:spacing w:val="6"/>
      <w:kern w:val="2"/>
      <w:sz w:val="30"/>
      <w:szCs w:val="24"/>
    </w:rPr>
  </w:style>
  <w:style w:type="character" w:customStyle="1" w:styleId="54">
    <w:name w:val="批注框文本 Char"/>
    <w:link w:val="15"/>
    <w:semiHidden/>
    <w:uiPriority w:val="0"/>
    <w:rPr>
      <w:rFonts w:ascii="宋体" w:hAnsi="宋体" w:eastAsia="仿宋_GB2312"/>
      <w:spacing w:val="6"/>
      <w:kern w:val="2"/>
      <w:sz w:val="18"/>
      <w:szCs w:val="18"/>
    </w:rPr>
  </w:style>
  <w:style w:type="character" w:customStyle="1" w:styleId="55">
    <w:name w:val="批注文字 Char"/>
    <w:link w:val="12"/>
    <w:uiPriority w:val="0"/>
    <w:rPr>
      <w:rFonts w:ascii="宋体" w:hAnsi="宋体" w:eastAsia="仿宋_GB2312"/>
      <w:spacing w:val="6"/>
      <w:kern w:val="2"/>
      <w:sz w:val="30"/>
      <w:szCs w:val="24"/>
    </w:rPr>
  </w:style>
  <w:style w:type="character" w:customStyle="1" w:styleId="56">
    <w:name w:val="批注主题 Char"/>
    <w:link w:val="11"/>
    <w:semiHidden/>
    <w:uiPriority w:val="0"/>
    <w:rPr>
      <w:rFonts w:ascii="宋体" w:hAnsi="宋体" w:eastAsia="仿宋_GB2312"/>
      <w:b/>
      <w:bCs/>
      <w:spacing w:val="6"/>
      <w:kern w:val="2"/>
      <w:sz w:val="30"/>
      <w:szCs w:val="24"/>
    </w:rPr>
  </w:style>
  <w:style w:type="character" w:customStyle="1" w:styleId="57">
    <w:name w:val="文档结构图 Char"/>
    <w:link w:val="13"/>
    <w:semiHidden/>
    <w:uiPriority w:val="0"/>
    <w:rPr>
      <w:rFonts w:ascii="宋体" w:hAnsi="宋体"/>
      <w:spacing w:val="6"/>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49</Pages>
  <Words>3336</Words>
  <Characters>19016</Characters>
  <Lines>158</Lines>
  <Paragraphs>44</Paragraphs>
  <ScaleCrop>false</ScaleCrop>
  <LinksUpToDate>false</LinksUpToDate>
  <CharactersWithSpaces>0</CharactersWithSpaces>
  <Application>WPS Office_9.1.0.5184_F1E327BC-269C-435d-A152-05C5408002CA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2015-06-04T02:38:00Z</dcterms:created>
  <dc:creator>杜斯达</dc:creator>
  <cp:lastModifiedBy>刘胜飞</cp:lastModifiedBy>
  <cp:lastPrinted>2015-08-04T01:42:00Z</cp:lastPrinted>
  <dcterms:modified xsi:type="dcterms:W3CDTF">2015-08-28T08:03:23Z</dcterms:modified>
  <dc:title>中评协〔2015〕   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