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rPr>
          <w:rFonts w:hint="eastAsia" w:eastAsia="黑体"/>
          <w:spacing w:val="-2"/>
          <w:lang w:val="en-US" w:eastAsia="zh-CN"/>
        </w:rPr>
      </w:pPr>
      <w:r>
        <w:rPr>
          <w:rFonts w:hint="eastAsia" w:eastAsia="黑体"/>
          <w:spacing w:val="-2"/>
          <w:lang w:val="en-US" w:eastAsia="zh-CN"/>
        </w:rPr>
        <w:t xml:space="preserve"> </w:t>
      </w:r>
    </w:p>
    <w:p>
      <w:pPr>
        <w:rPr>
          <w:rFonts w:ascii="黑体" w:eastAsia="黑体"/>
          <w:spacing w:val="-2"/>
          <w:sz w:val="32"/>
        </w:rPr>
      </w:pPr>
      <w:bookmarkStart w:id="0" w:name="_Toc332433906"/>
      <w:bookmarkStart w:id="1" w:name="_GoBack"/>
      <w:bookmarkEnd w:id="1"/>
      <w:r>
        <w:rPr>
          <w:rFonts w:hint="eastAsia" w:ascii="黑体" w:eastAsia="黑体"/>
          <w:spacing w:val="-2"/>
          <w:sz w:val="32"/>
        </w:rPr>
        <w:t>附件</w:t>
      </w:r>
    </w:p>
    <w:p>
      <w:pPr>
        <w:spacing w:line="540" w:lineRule="atLeast"/>
        <w:ind w:firstLine="872" w:firstLineChars="200"/>
        <w:jc w:val="center"/>
        <w:rPr>
          <w:rFonts w:ascii="华文中宋" w:hAnsi="华文中宋" w:eastAsia="华文中宋"/>
          <w:spacing w:val="-2"/>
          <w:sz w:val="44"/>
          <w:szCs w:val="44"/>
        </w:rPr>
      </w:pPr>
    </w:p>
    <w:p>
      <w:pPr>
        <w:jc w:val="center"/>
        <w:rPr>
          <w:rFonts w:ascii="黑体" w:hAnsi="黑体" w:eastAsia="黑体" w:cs="黑体"/>
          <w:b/>
          <w:bCs/>
          <w:spacing w:val="-2"/>
          <w:sz w:val="44"/>
          <w:szCs w:val="44"/>
        </w:rPr>
      </w:pPr>
      <w:r>
        <w:rPr>
          <w:rFonts w:hint="eastAsia" w:ascii="黑体" w:hAnsi="黑体" w:eastAsia="黑体" w:cs="黑体"/>
          <w:b/>
          <w:bCs/>
          <w:spacing w:val="-2"/>
          <w:sz w:val="44"/>
          <w:szCs w:val="44"/>
        </w:rPr>
        <w:t>资产评估专家指引第6号</w:t>
      </w:r>
      <w:bookmarkEnd w:id="0"/>
      <w:r>
        <w:rPr>
          <w:rFonts w:hint="eastAsia" w:ascii="黑体" w:hAnsi="黑体" w:eastAsia="黑体" w:cs="黑体"/>
          <w:b/>
          <w:bCs/>
          <w:spacing w:val="-2"/>
          <w:sz w:val="44"/>
          <w:szCs w:val="44"/>
        </w:rPr>
        <w:t>——上市公司</w:t>
      </w:r>
    </w:p>
    <w:p>
      <w:pPr>
        <w:jc w:val="center"/>
        <w:rPr>
          <w:rFonts w:ascii="黑体" w:hAnsi="黑体" w:eastAsia="黑体" w:cs="黑体"/>
          <w:b/>
          <w:bCs/>
          <w:spacing w:val="-2"/>
          <w:sz w:val="44"/>
          <w:szCs w:val="44"/>
        </w:rPr>
      </w:pPr>
      <w:r>
        <w:rPr>
          <w:rFonts w:hint="eastAsia" w:ascii="黑体" w:hAnsi="黑体" w:eastAsia="黑体" w:cs="黑体"/>
          <w:b/>
          <w:bCs/>
          <w:spacing w:val="-2"/>
          <w:sz w:val="44"/>
          <w:szCs w:val="44"/>
        </w:rPr>
        <w:t>重大资产重组评估报告披露</w:t>
      </w:r>
    </w:p>
    <w:p>
      <w:pPr>
        <w:jc w:val="center"/>
        <w:rPr>
          <w:rFonts w:ascii="黑体" w:hAnsi="黑体" w:eastAsia="黑体" w:cs="黑体"/>
          <w:b/>
          <w:bCs/>
          <w:spacing w:val="-2"/>
          <w:sz w:val="44"/>
          <w:szCs w:val="44"/>
        </w:rPr>
      </w:pPr>
    </w:p>
    <w:p>
      <w:pPr>
        <w:ind w:firstLine="664" w:firstLineChars="200"/>
        <w:rPr>
          <w:rFonts w:ascii="仿宋_GB2312"/>
          <w:sz w:val="32"/>
          <w:szCs w:val="32"/>
        </w:rPr>
      </w:pPr>
      <w:r>
        <w:rPr>
          <w:rFonts w:hint="eastAsia" w:ascii="仿宋_GB2312"/>
          <w:sz w:val="32"/>
          <w:szCs w:val="32"/>
        </w:rPr>
        <w:t>本专家指引是一种专家建议。评估机构执行资产评估业务，可以参照本专家指引，也可以根据具体情况采用其他适当的做法。中国资产评估协会将根据业务发展，对本专家指引进行更新。</w:t>
      </w:r>
    </w:p>
    <w:p>
      <w:pPr>
        <w:ind w:firstLine="632" w:firstLineChars="200"/>
        <w:rPr>
          <w:spacing w:val="-2"/>
          <w:sz w:val="32"/>
        </w:rPr>
      </w:pPr>
      <w:r>
        <w:rPr>
          <w:rFonts w:hint="eastAsia"/>
          <w:spacing w:val="-2"/>
          <w:sz w:val="32"/>
        </w:rPr>
        <w:t>第一条 为进一步提高上市公司重大资产重组评估报告信息披露质量，使监管部门和评估报告使用者能够充分理解评估结论，中国资产评估协会组织制定了本专家指引。</w:t>
      </w:r>
    </w:p>
    <w:p>
      <w:pPr>
        <w:ind w:firstLine="632" w:firstLineChars="200"/>
        <w:rPr>
          <w:spacing w:val="-2"/>
          <w:sz w:val="32"/>
        </w:rPr>
      </w:pPr>
      <w:r>
        <w:rPr>
          <w:rFonts w:hint="eastAsia"/>
          <w:spacing w:val="-2"/>
          <w:sz w:val="32"/>
        </w:rPr>
        <w:t>第二条 上市公司重大资产重组评估报告，是指中国证监会上市公司重大资产重组相关规定涉及的评估报告。</w:t>
      </w:r>
    </w:p>
    <w:p>
      <w:pPr>
        <w:ind w:firstLine="632" w:firstLineChars="200"/>
        <w:rPr>
          <w:spacing w:val="-2"/>
          <w:sz w:val="32"/>
        </w:rPr>
      </w:pPr>
      <w:r>
        <w:rPr>
          <w:rFonts w:hint="eastAsia"/>
          <w:spacing w:val="-2"/>
          <w:sz w:val="32"/>
        </w:rPr>
        <w:t>第三条 上市公司重大资产重组评估业务可能涉及多种资产类型和多重监管，资产评估师编写上市公司重大资产重组评估报告时，应当遵守相关监管规定和评估准则对于信息披露的格式和内容的要求。</w:t>
      </w:r>
    </w:p>
    <w:p>
      <w:pPr>
        <w:ind w:firstLine="632" w:firstLineChars="200"/>
        <w:rPr>
          <w:spacing w:val="-2"/>
          <w:sz w:val="32"/>
        </w:rPr>
      </w:pPr>
      <w:r>
        <w:rPr>
          <w:rFonts w:hint="eastAsia"/>
          <w:spacing w:val="-2"/>
          <w:sz w:val="32"/>
        </w:rPr>
        <w:t>第四条 上市公司重大资产重组评估报告，应当关注相关审计报告的审计目标、审计范围及审计意见。</w:t>
      </w:r>
    </w:p>
    <w:p>
      <w:pPr>
        <w:ind w:firstLine="632" w:firstLineChars="200"/>
        <w:rPr>
          <w:spacing w:val="-2"/>
          <w:sz w:val="32"/>
        </w:rPr>
      </w:pPr>
      <w:r>
        <w:rPr>
          <w:rFonts w:hint="eastAsia"/>
          <w:spacing w:val="-2"/>
          <w:sz w:val="32"/>
        </w:rPr>
        <w:t>审计意见为带强调事项段的无保留意见或者保留意见时，资产评估师应当关注并恰当考虑强调事项或者保留事项对评估结论的影响，并在评估报告中进行披露。</w:t>
      </w:r>
    </w:p>
    <w:p>
      <w:pPr>
        <w:ind w:firstLine="632" w:firstLineChars="200"/>
        <w:rPr>
          <w:spacing w:val="-2"/>
          <w:sz w:val="32"/>
        </w:rPr>
      </w:pPr>
      <w:r>
        <w:rPr>
          <w:rFonts w:hint="eastAsia"/>
          <w:spacing w:val="-2"/>
          <w:sz w:val="32"/>
        </w:rPr>
        <w:t>审计意见为否定意见或无法表示意见时，资产评估师应当在评估报告中对相关事项及评估处理方式进行披露。</w:t>
      </w:r>
    </w:p>
    <w:p>
      <w:pPr>
        <w:ind w:firstLine="632" w:firstLineChars="200"/>
        <w:rPr>
          <w:spacing w:val="-2"/>
          <w:sz w:val="32"/>
        </w:rPr>
      </w:pPr>
      <w:r>
        <w:rPr>
          <w:rFonts w:hint="eastAsia"/>
          <w:spacing w:val="-2"/>
          <w:sz w:val="32"/>
        </w:rPr>
        <w:t>上市公司重大资产重组评估报告中，评估对象是完整经营性实体的，应当披露评估对象涉及的资产、负债与已经审计财务报表之间的对应关系；评估对象不是完整经营性实体的，应当披露委托评估范围和被审计单位财务报表的关系。</w:t>
      </w:r>
    </w:p>
    <w:p>
      <w:pPr>
        <w:ind w:firstLine="632" w:firstLineChars="200"/>
        <w:rPr>
          <w:spacing w:val="-2"/>
          <w:sz w:val="32"/>
        </w:rPr>
      </w:pPr>
      <w:r>
        <w:rPr>
          <w:rFonts w:hint="eastAsia"/>
          <w:spacing w:val="-2"/>
          <w:sz w:val="32"/>
        </w:rPr>
        <w:t>第五条 资产评估中涉及土地使用权评估，评估报告通常披露如下内容：</w:t>
      </w:r>
    </w:p>
    <w:p>
      <w:pPr>
        <w:ind w:firstLine="632" w:firstLineChars="200"/>
        <w:rPr>
          <w:spacing w:val="-2"/>
          <w:sz w:val="32"/>
        </w:rPr>
      </w:pPr>
      <w:r>
        <w:rPr>
          <w:rFonts w:hint="eastAsia"/>
          <w:spacing w:val="-2"/>
          <w:sz w:val="32"/>
        </w:rPr>
        <w:t>（一）土地使用权评估基准日现状状态与评估设定状态，包括宗数、面积、用途、剩余年限、取得方式、取得成本、相关费用缴纳等；相关费用的承担方式以及对评估值的影响；</w:t>
      </w:r>
    </w:p>
    <w:p>
      <w:pPr>
        <w:ind w:firstLine="632" w:firstLineChars="200"/>
        <w:rPr>
          <w:spacing w:val="-2"/>
          <w:sz w:val="32"/>
        </w:rPr>
      </w:pPr>
      <w:r>
        <w:rPr>
          <w:rFonts w:hint="eastAsia"/>
          <w:spacing w:val="-2"/>
          <w:sz w:val="32"/>
        </w:rPr>
        <w:t>（二）土地使用权权属资料，包括土地证、出让协议、使用协议等；土地使用状态，法规或政策限制交易、抵押等权利限制或者诉讼等权利争议事项；</w:t>
      </w:r>
    </w:p>
    <w:p>
      <w:pPr>
        <w:ind w:firstLine="632" w:firstLineChars="200"/>
        <w:rPr>
          <w:spacing w:val="-2"/>
          <w:sz w:val="32"/>
        </w:rPr>
      </w:pPr>
      <w:r>
        <w:rPr>
          <w:rFonts w:hint="eastAsia"/>
          <w:spacing w:val="-2"/>
          <w:sz w:val="32"/>
        </w:rPr>
        <w:t>存在抵押、担保等权利限制情形的，评估报告应当披露处理方式。</w:t>
      </w:r>
    </w:p>
    <w:p>
      <w:pPr>
        <w:ind w:firstLine="632" w:firstLineChars="200"/>
        <w:rPr>
          <w:spacing w:val="-2"/>
          <w:sz w:val="32"/>
        </w:rPr>
      </w:pPr>
      <w:r>
        <w:rPr>
          <w:rFonts w:hint="eastAsia"/>
          <w:spacing w:val="-2"/>
          <w:sz w:val="32"/>
        </w:rPr>
        <w:t>第六条 资产评估中涉及矿业权评估，评估报告通常披露如下内容：</w:t>
      </w:r>
    </w:p>
    <w:p>
      <w:pPr>
        <w:ind w:firstLine="632" w:firstLineChars="200"/>
        <w:rPr>
          <w:spacing w:val="-2"/>
          <w:sz w:val="32"/>
        </w:rPr>
      </w:pPr>
      <w:r>
        <w:rPr>
          <w:rFonts w:hint="eastAsia"/>
          <w:spacing w:val="-2"/>
          <w:sz w:val="32"/>
        </w:rPr>
        <w:t xml:space="preserve">（一）矿业权评估范围，包括矿产资源勘查许可证或采矿许可证取得时间、有效期、勘查或开采矿种、开采方式、矿区面积、开采深度、生产规模等；取得方式；取得成本；有偿处置情况及相关税费，包括矿产资源补偿费、资源税、探矿权使用费、采矿权使用费等的缴纳情况；   </w:t>
      </w:r>
    </w:p>
    <w:p>
      <w:pPr>
        <w:ind w:firstLine="632" w:firstLineChars="200"/>
        <w:rPr>
          <w:spacing w:val="-2"/>
          <w:sz w:val="32"/>
        </w:rPr>
      </w:pPr>
      <w:r>
        <w:rPr>
          <w:rFonts w:hint="eastAsia"/>
          <w:spacing w:val="-2"/>
          <w:sz w:val="32"/>
        </w:rPr>
        <w:t>对于无偿取得的矿业权，披露矿业权价款对资产评估结论的影响；</w:t>
      </w:r>
    </w:p>
    <w:p>
      <w:pPr>
        <w:ind w:firstLine="632" w:firstLineChars="200"/>
        <w:rPr>
          <w:spacing w:val="-2"/>
          <w:sz w:val="32"/>
        </w:rPr>
      </w:pPr>
      <w:r>
        <w:rPr>
          <w:rFonts w:hint="eastAsia"/>
          <w:spacing w:val="-2"/>
          <w:sz w:val="32"/>
        </w:rPr>
        <w:t>对于以出让方式取得的矿业权，披露矿业权出让的合同、批准文件，矿业权价款缴纳情况；</w:t>
      </w:r>
    </w:p>
    <w:p>
      <w:pPr>
        <w:ind w:firstLine="632" w:firstLineChars="200"/>
        <w:rPr>
          <w:spacing w:val="-2"/>
          <w:sz w:val="32"/>
        </w:rPr>
      </w:pPr>
      <w:r>
        <w:rPr>
          <w:rFonts w:hint="eastAsia"/>
          <w:spacing w:val="-2"/>
          <w:sz w:val="32"/>
        </w:rPr>
        <w:t>对于以转让方式取得的矿业权，披露矿业权交易价格及依据；</w:t>
      </w:r>
    </w:p>
    <w:p>
      <w:pPr>
        <w:ind w:firstLine="632" w:firstLineChars="200"/>
        <w:rPr>
          <w:spacing w:val="-2"/>
          <w:sz w:val="32"/>
        </w:rPr>
      </w:pPr>
      <w:r>
        <w:rPr>
          <w:rFonts w:hint="eastAsia"/>
          <w:spacing w:val="-2"/>
          <w:sz w:val="32"/>
        </w:rPr>
        <w:t>矿业权人出资勘查形成的矿产地，披露目前勘查及其投入情况；</w:t>
      </w:r>
    </w:p>
    <w:p>
      <w:pPr>
        <w:ind w:firstLine="632" w:firstLineChars="200"/>
        <w:rPr>
          <w:spacing w:val="-2"/>
          <w:sz w:val="32"/>
        </w:rPr>
      </w:pPr>
      <w:r>
        <w:rPr>
          <w:rFonts w:hint="eastAsia"/>
          <w:spacing w:val="-2"/>
          <w:sz w:val="32"/>
        </w:rPr>
        <w:t>上市公司购买拥有矿业权公司的股权，如果矿业权处置价款已确定，披露是否存在未付的款项并已足额记为负债；如果矿业权应当处置而未处置并且涉及价款的，披露未来支付的相关协议或者意向以及支付方式，及其对评估结论的影响。</w:t>
      </w:r>
    </w:p>
    <w:p>
      <w:pPr>
        <w:ind w:firstLine="632" w:firstLineChars="200"/>
        <w:rPr>
          <w:spacing w:val="-2"/>
          <w:sz w:val="32"/>
        </w:rPr>
      </w:pPr>
      <w:r>
        <w:rPr>
          <w:rFonts w:hint="eastAsia"/>
          <w:spacing w:val="-2"/>
          <w:sz w:val="32"/>
        </w:rPr>
        <w:t>（二）矿业权权属文件，包括《矿产资源勘查许可证》、《采矿许可证》、“矿区范围划定批复文件”、与矿业权管理部门签署的“探矿权采矿权出让合同”等，矿业权权属是否存在抵押等权利限制或者诉讼等权属争议；</w:t>
      </w:r>
    </w:p>
    <w:p>
      <w:pPr>
        <w:ind w:firstLine="632" w:firstLineChars="200"/>
        <w:rPr>
          <w:spacing w:val="-2"/>
          <w:sz w:val="32"/>
        </w:rPr>
      </w:pPr>
      <w:r>
        <w:rPr>
          <w:rFonts w:hint="eastAsia"/>
          <w:spacing w:val="-2"/>
          <w:sz w:val="32"/>
        </w:rPr>
        <w:t>已经付清相关费用或不属于国家出资勘查探明矿产、但尚未取得《矿产资源勘查许可证》或《采矿许可证》的，披露对应的矿种、面积、评估价值、相应权证办理进展情况、相关费用承担方式，以及对评估结论的影响；</w:t>
      </w:r>
    </w:p>
    <w:p>
      <w:pPr>
        <w:ind w:firstLine="632" w:firstLineChars="200"/>
        <w:rPr>
          <w:spacing w:val="-2"/>
          <w:sz w:val="32"/>
        </w:rPr>
      </w:pPr>
      <w:r>
        <w:rPr>
          <w:rFonts w:hint="eastAsia"/>
          <w:spacing w:val="-2"/>
          <w:sz w:val="32"/>
        </w:rPr>
        <w:t>《矿产资源勘查许可证》或《采矿许可证》存在抵押等权利限制等情形的，披露对评估结论的影响。</w:t>
      </w:r>
    </w:p>
    <w:p>
      <w:pPr>
        <w:ind w:firstLine="632" w:firstLineChars="200"/>
        <w:rPr>
          <w:spacing w:val="-2"/>
          <w:sz w:val="32"/>
        </w:rPr>
      </w:pPr>
      <w:r>
        <w:rPr>
          <w:rFonts w:hint="eastAsia"/>
          <w:spacing w:val="-2"/>
          <w:sz w:val="32"/>
        </w:rPr>
        <w:t>（三）矿产资源储量评审备案情况，评审意见书及备案证明的时间和文号等；最近三年内最后一次储量核实与本次储量评审的差异情况。</w:t>
      </w:r>
    </w:p>
    <w:p>
      <w:pPr>
        <w:ind w:firstLine="632" w:firstLineChars="200"/>
        <w:rPr>
          <w:spacing w:val="-2"/>
          <w:sz w:val="32"/>
        </w:rPr>
      </w:pPr>
      <w:r>
        <w:rPr>
          <w:rFonts w:hint="eastAsia"/>
          <w:spacing w:val="-2"/>
          <w:sz w:val="32"/>
        </w:rPr>
        <w:t>（四）确定的收益期长于《采矿许可证》有效期，或处于申办《采矿许可证》而《矿产资源勘查许可证》到期的“探转采”矿产的，披露到期续展情况或“探转采”是否涉及矿业权价款及相关费用的缴纳，及其对评估结论的影响。</w:t>
      </w:r>
    </w:p>
    <w:p>
      <w:pPr>
        <w:ind w:firstLine="632" w:firstLineChars="200"/>
        <w:rPr>
          <w:spacing w:val="-2"/>
          <w:sz w:val="32"/>
        </w:rPr>
      </w:pPr>
      <w:r>
        <w:rPr>
          <w:rFonts w:hint="eastAsia"/>
          <w:spacing w:val="-2"/>
          <w:sz w:val="32"/>
        </w:rPr>
        <w:t>第七条 上市公司重大资产重组评估报告中，评估对象是完整经营性实体的，应当根据《资产评估准则</w:t>
      </w:r>
      <w:r>
        <w:rPr>
          <w:rFonts w:hint="eastAsia"/>
          <w:spacing w:val="-40"/>
          <w:sz w:val="32"/>
          <w:szCs w:val="32"/>
        </w:rPr>
        <w:t>—</w:t>
      </w:r>
      <w:r>
        <w:rPr>
          <w:rFonts w:hint="eastAsia"/>
          <w:spacing w:val="-2"/>
          <w:sz w:val="32"/>
        </w:rPr>
        <w:t>—企业价值》的要求恰当选择评估方法，并结合评估方法的适用性，披露评估方法选择的理由。</w:t>
      </w:r>
    </w:p>
    <w:p>
      <w:pPr>
        <w:ind w:firstLine="632" w:firstLineChars="200"/>
        <w:rPr>
          <w:spacing w:val="-2"/>
          <w:sz w:val="32"/>
        </w:rPr>
      </w:pPr>
      <w:r>
        <w:rPr>
          <w:rFonts w:hint="eastAsia"/>
          <w:spacing w:val="-2"/>
          <w:sz w:val="32"/>
        </w:rPr>
        <w:t>评估对象不是完整经营性实体的，披露主要资产的评估方法及选择理由。</w:t>
      </w:r>
    </w:p>
    <w:p>
      <w:pPr>
        <w:ind w:firstLine="632" w:firstLineChars="200"/>
        <w:rPr>
          <w:spacing w:val="-2"/>
          <w:sz w:val="32"/>
        </w:rPr>
      </w:pPr>
      <w:r>
        <w:rPr>
          <w:rFonts w:hint="eastAsia"/>
          <w:spacing w:val="-2"/>
          <w:sz w:val="32"/>
        </w:rPr>
        <w:t>第八条 采用收益法进行企业价值评估，评估报告应当披露：</w:t>
      </w:r>
    </w:p>
    <w:p>
      <w:pPr>
        <w:ind w:firstLine="632" w:firstLineChars="200"/>
        <w:rPr>
          <w:spacing w:val="-2"/>
          <w:sz w:val="32"/>
        </w:rPr>
      </w:pPr>
      <w:r>
        <w:rPr>
          <w:rFonts w:hint="eastAsia"/>
          <w:spacing w:val="-2"/>
          <w:sz w:val="32"/>
        </w:rPr>
        <w:t>（一）结合所选择的具体方法，披露评估结论测算时涉及的相关表格。当采用现金流量折现法时，通常包括资产调整表、负债调整表、折现现金流量测算表、营业收入预测表、营业成本预测表、营业税金及附加预测表、销售费用预测表、管理费用预测表、财务费用预测表、营运资金预测表、折旧摊销预测表、资本性支出预测表、负债预测表等；</w:t>
      </w:r>
    </w:p>
    <w:p>
      <w:pPr>
        <w:ind w:firstLine="632" w:firstLineChars="200"/>
        <w:rPr>
          <w:spacing w:val="-2"/>
          <w:sz w:val="32"/>
        </w:rPr>
      </w:pPr>
      <w:r>
        <w:rPr>
          <w:rFonts w:hint="eastAsia"/>
          <w:spacing w:val="-2"/>
          <w:sz w:val="32"/>
        </w:rPr>
        <w:t>折现现金流测算表中，建议将历史数据与预测数据按可比口径列示在同一张表格中，并列示营业收入增长率，营业成本、销售费用、管理费用等占销售收入比例</w:t>
      </w:r>
      <w:r>
        <w:rPr>
          <w:rFonts w:hint="eastAsia"/>
          <w:spacing w:val="-2"/>
          <w:sz w:val="32"/>
          <w:lang w:eastAsia="zh-CN"/>
        </w:rPr>
        <w:t>；</w:t>
      </w:r>
    </w:p>
    <w:p>
      <w:pPr>
        <w:ind w:firstLine="632" w:firstLineChars="200"/>
        <w:rPr>
          <w:spacing w:val="-2"/>
          <w:sz w:val="32"/>
        </w:rPr>
      </w:pPr>
      <w:r>
        <w:rPr>
          <w:rFonts w:hint="eastAsia"/>
          <w:spacing w:val="-2"/>
          <w:sz w:val="32"/>
        </w:rPr>
        <w:t>（二）资产、负债调整表中溢余资产、非经营性资产、负债以及付息负债的情况</w:t>
      </w:r>
      <w:r>
        <w:rPr>
          <w:rFonts w:hint="eastAsia"/>
          <w:spacing w:val="-2"/>
          <w:sz w:val="32"/>
          <w:lang w:eastAsia="zh-CN"/>
        </w:rPr>
        <w:t>；</w:t>
      </w:r>
    </w:p>
    <w:p>
      <w:pPr>
        <w:ind w:firstLine="632" w:firstLineChars="200"/>
        <w:rPr>
          <w:spacing w:val="-2"/>
          <w:sz w:val="32"/>
        </w:rPr>
      </w:pPr>
      <w:r>
        <w:rPr>
          <w:rFonts w:hint="eastAsia"/>
          <w:spacing w:val="-2"/>
          <w:sz w:val="32"/>
        </w:rPr>
        <w:t>（三）业绩承诺期前后预测趋势存在重大差异的原因及其合理性</w:t>
      </w:r>
      <w:r>
        <w:rPr>
          <w:rFonts w:hint="eastAsia"/>
          <w:spacing w:val="-2"/>
          <w:sz w:val="32"/>
          <w:lang w:eastAsia="zh-CN"/>
        </w:rPr>
        <w:t>；</w:t>
      </w:r>
    </w:p>
    <w:p>
      <w:pPr>
        <w:ind w:firstLine="632" w:firstLineChars="200"/>
        <w:rPr>
          <w:spacing w:val="-2"/>
          <w:sz w:val="32"/>
        </w:rPr>
      </w:pPr>
      <w:r>
        <w:rPr>
          <w:rFonts w:hint="eastAsia"/>
          <w:spacing w:val="-2"/>
          <w:sz w:val="32"/>
        </w:rPr>
        <w:t>（四）折现率模型或估算方法，以及无风险利率、风险溢价、个别风险或行业收益率、附加风险的估算过程及结果；引用数据的出处，可比公司的选择标准和选择结果。</w:t>
      </w:r>
    </w:p>
    <w:p>
      <w:pPr>
        <w:ind w:firstLine="632" w:firstLineChars="200"/>
        <w:rPr>
          <w:spacing w:val="-2"/>
          <w:sz w:val="32"/>
        </w:rPr>
      </w:pPr>
      <w:r>
        <w:rPr>
          <w:rFonts w:hint="eastAsia"/>
          <w:spacing w:val="-2"/>
          <w:sz w:val="32"/>
        </w:rPr>
        <w:t>第九条 采用市场法评估企业价值，评估报告应当披露：</w:t>
      </w:r>
    </w:p>
    <w:p>
      <w:pPr>
        <w:ind w:firstLine="632" w:firstLineChars="200"/>
        <w:rPr>
          <w:spacing w:val="-2"/>
          <w:sz w:val="32"/>
        </w:rPr>
      </w:pPr>
      <w:r>
        <w:rPr>
          <w:rFonts w:hint="eastAsia"/>
          <w:spacing w:val="-2"/>
          <w:sz w:val="32"/>
        </w:rPr>
        <w:t>（一）可比上市公司的选择标准、股票简称及代码；</w:t>
      </w:r>
    </w:p>
    <w:p>
      <w:pPr>
        <w:ind w:firstLine="632" w:firstLineChars="200"/>
        <w:rPr>
          <w:spacing w:val="-2"/>
          <w:sz w:val="32"/>
        </w:rPr>
      </w:pPr>
      <w:r>
        <w:rPr>
          <w:rFonts w:hint="eastAsia"/>
          <w:spacing w:val="-2"/>
          <w:sz w:val="32"/>
        </w:rPr>
        <w:t>（二）交易案例选择标准、案例来源及相关信息，案例相关信息通常包括交易目的、交易时间、交易股权比例等；</w:t>
      </w:r>
    </w:p>
    <w:p>
      <w:pPr>
        <w:ind w:firstLine="632" w:firstLineChars="200"/>
        <w:rPr>
          <w:spacing w:val="-2"/>
          <w:sz w:val="32"/>
        </w:rPr>
      </w:pPr>
      <w:r>
        <w:rPr>
          <w:rFonts w:hint="eastAsia"/>
          <w:spacing w:val="-2"/>
          <w:sz w:val="32"/>
        </w:rPr>
        <w:t>（三）价值比率选择过程、调整过程及结果。</w:t>
      </w:r>
    </w:p>
    <w:p>
      <w:pPr>
        <w:ind w:firstLine="632" w:firstLineChars="200"/>
        <w:rPr>
          <w:spacing w:val="-2"/>
          <w:sz w:val="32"/>
        </w:rPr>
      </w:pPr>
      <w:r>
        <w:rPr>
          <w:rFonts w:hint="eastAsia"/>
          <w:spacing w:val="-2"/>
          <w:sz w:val="32"/>
        </w:rPr>
        <w:t>第十条 采用资产基础法评估企业价值，评估报告应当披露对评估对象价值有重大影响的表外资产、负债的识别过程和结论；主要单项资产的评估方法及选择理由。</w:t>
      </w:r>
    </w:p>
    <w:p>
      <w:pPr>
        <w:ind w:firstLine="632" w:firstLineChars="200"/>
        <w:rPr>
          <w:spacing w:val="-2"/>
          <w:sz w:val="32"/>
        </w:rPr>
      </w:pPr>
      <w:r>
        <w:rPr>
          <w:rFonts w:hint="eastAsia"/>
          <w:spacing w:val="-2"/>
          <w:sz w:val="32"/>
        </w:rPr>
        <w:t>第十一条 上市公司重大资产重组评估报告中，引用土地、矿业权等单项资产评估报告作为资产评估结论的组成部分，评估报告应当披露：</w:t>
      </w:r>
    </w:p>
    <w:p>
      <w:pPr>
        <w:ind w:firstLine="632" w:firstLineChars="200"/>
        <w:rPr>
          <w:spacing w:val="-2"/>
          <w:sz w:val="32"/>
        </w:rPr>
      </w:pPr>
      <w:r>
        <w:rPr>
          <w:rFonts w:hint="eastAsia"/>
          <w:spacing w:val="-2"/>
          <w:sz w:val="32"/>
        </w:rPr>
        <w:t>（一）引用评估报告的评估机构名称、资质、报告编号、出具日期、备案情况；</w:t>
      </w:r>
    </w:p>
    <w:p>
      <w:pPr>
        <w:ind w:firstLine="632" w:firstLineChars="200"/>
        <w:rPr>
          <w:spacing w:val="-2"/>
          <w:sz w:val="32"/>
        </w:rPr>
      </w:pPr>
      <w:r>
        <w:rPr>
          <w:rFonts w:hint="eastAsia"/>
          <w:spacing w:val="-2"/>
          <w:sz w:val="32"/>
        </w:rPr>
        <w:t>（二）引用评估报告的资产类型、数量、产权权属、取得成本、会计核算、相关负债以及账面价值；</w:t>
      </w:r>
    </w:p>
    <w:p>
      <w:pPr>
        <w:ind w:firstLine="632" w:firstLineChars="200"/>
        <w:rPr>
          <w:spacing w:val="-2"/>
          <w:sz w:val="32"/>
        </w:rPr>
      </w:pPr>
      <w:r>
        <w:rPr>
          <w:rFonts w:hint="eastAsia"/>
          <w:spacing w:val="-2"/>
          <w:sz w:val="32"/>
        </w:rPr>
        <w:t>（三）引用评估报告采用的评估方法、披露的假设前提、使用限制及相关事项；</w:t>
      </w:r>
    </w:p>
    <w:p>
      <w:pPr>
        <w:ind w:firstLine="632" w:firstLineChars="200"/>
        <w:rPr>
          <w:spacing w:val="-2"/>
          <w:sz w:val="32"/>
        </w:rPr>
      </w:pPr>
      <w:r>
        <w:rPr>
          <w:rFonts w:hint="eastAsia"/>
          <w:spacing w:val="-2"/>
          <w:sz w:val="32"/>
        </w:rPr>
        <w:t>（四）引用评估报告披露的评估结论数据，以及对于可能存在相关负债的处理情况；</w:t>
      </w:r>
    </w:p>
    <w:p>
      <w:pPr>
        <w:ind w:firstLine="632" w:firstLineChars="200"/>
        <w:rPr>
          <w:spacing w:val="-2"/>
          <w:sz w:val="32"/>
        </w:rPr>
      </w:pPr>
      <w:r>
        <w:rPr>
          <w:rFonts w:hint="eastAsia"/>
          <w:spacing w:val="-2"/>
          <w:sz w:val="32"/>
        </w:rPr>
        <w:t>（五）其他需要披露的重要事项。</w:t>
      </w:r>
    </w:p>
    <w:p>
      <w:pPr>
        <w:ind w:firstLine="632" w:firstLineChars="200"/>
        <w:rPr>
          <w:spacing w:val="-2"/>
          <w:sz w:val="32"/>
        </w:rPr>
      </w:pPr>
      <w:r>
        <w:rPr>
          <w:rFonts w:hint="eastAsia"/>
          <w:spacing w:val="-2"/>
          <w:sz w:val="32"/>
        </w:rPr>
        <w:t>第十二条 评估结论形成过程应当披露：</w:t>
      </w:r>
    </w:p>
    <w:p>
      <w:pPr>
        <w:ind w:firstLine="632" w:firstLineChars="200"/>
        <w:rPr>
          <w:spacing w:val="-2"/>
          <w:sz w:val="32"/>
        </w:rPr>
      </w:pPr>
      <w:r>
        <w:rPr>
          <w:rFonts w:hint="eastAsia"/>
          <w:spacing w:val="-2"/>
          <w:sz w:val="32"/>
        </w:rPr>
        <w:t>（一）不同评估方法的结果差异及原因分析；</w:t>
      </w:r>
    </w:p>
    <w:p>
      <w:pPr>
        <w:ind w:firstLine="632" w:firstLineChars="200"/>
        <w:rPr>
          <w:spacing w:val="-2"/>
          <w:sz w:val="32"/>
        </w:rPr>
      </w:pPr>
      <w:r>
        <w:rPr>
          <w:rFonts w:hint="eastAsia"/>
          <w:spacing w:val="-2"/>
          <w:sz w:val="32"/>
        </w:rPr>
        <w:t>（二）形成评估结论的过程和理由；</w:t>
      </w:r>
    </w:p>
    <w:p>
      <w:pPr>
        <w:ind w:firstLine="632" w:firstLineChars="200"/>
        <w:rPr>
          <w:spacing w:val="-2"/>
          <w:sz w:val="32"/>
        </w:rPr>
      </w:pPr>
      <w:r>
        <w:rPr>
          <w:rFonts w:hint="eastAsia"/>
          <w:spacing w:val="-2"/>
          <w:sz w:val="32"/>
        </w:rPr>
        <w:t>（三）评估结果考虑了具有控制权溢价或者缺乏控制权折价，或流动性对评估对象价值影响的，应当披露溢价或折价数值的测算过程及确定依据，并对相关差异进行分析说明；</w:t>
      </w:r>
    </w:p>
    <w:p>
      <w:pPr>
        <w:ind w:firstLine="632" w:firstLineChars="200"/>
        <w:rPr>
          <w:spacing w:val="-2"/>
          <w:sz w:val="32"/>
        </w:rPr>
      </w:pPr>
      <w:r>
        <w:rPr>
          <w:rFonts w:hint="eastAsia"/>
          <w:spacing w:val="-2"/>
          <w:sz w:val="32"/>
        </w:rPr>
        <w:t>（四）评估对象涉及境外资产的，应当披露评估假设、重要参数的选取是否考虑了资产所在地的市场环境、人员、技术、法律、税收等方面的因素；</w:t>
      </w:r>
    </w:p>
    <w:p>
      <w:pPr>
        <w:ind w:firstLine="632" w:firstLineChars="200"/>
        <w:rPr>
          <w:spacing w:val="-2"/>
          <w:sz w:val="32"/>
        </w:rPr>
      </w:pPr>
      <w:r>
        <w:rPr>
          <w:rFonts w:hint="eastAsia"/>
          <w:spacing w:val="-2"/>
          <w:sz w:val="32"/>
        </w:rPr>
        <w:t>（五）可以结合对应的重组方式分析评估结论合理性。</w:t>
      </w:r>
    </w:p>
    <w:p>
      <w:pPr>
        <w:ind w:firstLine="632" w:firstLineChars="200"/>
        <w:rPr>
          <w:spacing w:val="-2"/>
          <w:sz w:val="32"/>
        </w:rPr>
      </w:pPr>
      <w:r>
        <w:rPr>
          <w:rFonts w:hint="eastAsia"/>
          <w:spacing w:val="-2"/>
          <w:sz w:val="32"/>
        </w:rPr>
        <w:t>第十三条 应当披露主要资产的瑕疵事项。当瑕疵事项对评估结论可能存在重大影响时，还应当披露是否考虑瑕疵事项对评估结论的影响，存在瑕疵事项的资产评估值占总资产评估值以及评估结论的比例，相关方对瑕疵事项的承诺。</w:t>
      </w:r>
    </w:p>
    <w:p>
      <w:pPr>
        <w:ind w:firstLine="632" w:firstLineChars="200"/>
        <w:rPr>
          <w:spacing w:val="-2"/>
          <w:sz w:val="32"/>
        </w:rPr>
      </w:pPr>
      <w:r>
        <w:rPr>
          <w:rFonts w:hint="eastAsia"/>
          <w:spacing w:val="-2"/>
          <w:sz w:val="32"/>
        </w:rPr>
        <w:t>第十四条 应当披露影响评估对象价值的重大不确定性事项，以及对该事项的处理方式。</w:t>
      </w:r>
    </w:p>
    <w:p>
      <w:pPr>
        <w:ind w:firstLine="632" w:firstLineChars="200"/>
        <w:rPr>
          <w:spacing w:val="-2"/>
          <w:sz w:val="32"/>
        </w:rPr>
      </w:pPr>
      <w:r>
        <w:rPr>
          <w:rFonts w:hint="eastAsia"/>
          <w:spacing w:val="-2"/>
          <w:sz w:val="32"/>
        </w:rPr>
        <w:t>第十五条 应当披露评估基准日至评估报告日期间发生的影响评估结论的重大事项，以及对该事项的处理方式。</w:t>
      </w:r>
    </w:p>
    <w:p>
      <w:pPr>
        <w:ind w:firstLine="632" w:firstLineChars="200"/>
        <w:rPr>
          <w:spacing w:val="-2"/>
          <w:sz w:val="32"/>
        </w:rPr>
      </w:pPr>
      <w:r>
        <w:rPr>
          <w:rFonts w:hint="eastAsia"/>
          <w:spacing w:val="-2"/>
          <w:sz w:val="32"/>
        </w:rPr>
        <w:t>第十六条 本专家指引是以上市公司重大资产重组业务中的评估实践为基础，针对此类评估业务评估报告披露的重点、难点提出的建议。本专家指引不涉及评估报告格式及评估报告基本内容的建议，未包括此类业务评估报告应该披露的全部内容。本专家指引不是对相关资产评估准则和上市公司信息披露有关规定的修正，也不是一项新的评估报告准则。</w:t>
      </w:r>
    </w:p>
    <w:p>
      <w:pPr>
        <w:rPr>
          <w:rFonts w:ascii="仿宋_GB2312"/>
          <w:sz w:val="32"/>
          <w:szCs w:val="32"/>
        </w:rPr>
      </w:pPr>
    </w:p>
    <w:p>
      <w:pPr>
        <w:spacing w:line="440" w:lineRule="atLeast"/>
        <w:ind w:firstLine="872" w:firstLineChars="200"/>
        <w:rPr>
          <w:rFonts w:ascii="华文中宋" w:hAnsi="华文中宋" w:eastAsia="华文中宋"/>
          <w:spacing w:val="-2"/>
          <w:sz w:val="44"/>
          <w:szCs w:val="44"/>
        </w:rPr>
      </w:pPr>
    </w:p>
    <w:p>
      <w:pPr>
        <w:spacing w:line="440" w:lineRule="atLeast"/>
        <w:ind w:firstLine="872" w:firstLineChars="200"/>
        <w:rPr>
          <w:rFonts w:ascii="华文中宋" w:hAnsi="华文中宋" w:eastAsia="华文中宋"/>
          <w:spacing w:val="-2"/>
          <w:sz w:val="44"/>
          <w:szCs w:val="44"/>
        </w:rPr>
      </w:pPr>
    </w:p>
    <w:sectPr>
      <w:footerReference r:id="rId4" w:type="default"/>
      <w:footerReference r:id="rId5" w:type="even"/>
      <w:pgSz w:w="11906" w:h="16838"/>
      <w:pgMar w:top="1644" w:right="1418" w:bottom="1985" w:left="1542"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6"/>
      <w:framePr w:w="2055" w:wrap="around" w:vAnchor="text" w:hAnchor="page" w:x="8440" w:y="-355"/>
      <w:spacing w:line="0" w:lineRule="atLeast"/>
      <w:ind w:right="345"/>
      <w:jc w:val="right"/>
      <w:rPr>
        <w:rStyle w:val="23"/>
      </w:rPr>
    </w:pPr>
    <w:r>
      <w:rPr>
        <w:rStyle w:val="23"/>
        <w:rFonts w:hint="eastAsia" w:ascii="仿宋_GB2312"/>
      </w:rPr>
      <w:t xml:space="preserve">— </w:t>
    </w:r>
    <w:r>
      <w:rPr>
        <w:rStyle w:val="23"/>
      </w:rPr>
      <w:fldChar w:fldCharType="begin"/>
    </w:r>
    <w:r>
      <w:rPr>
        <w:rStyle w:val="23"/>
      </w:rPr>
      <w:instrText xml:space="preserve">PAGE  </w:instrText>
    </w:r>
    <w:r>
      <w:rPr>
        <w:rStyle w:val="23"/>
      </w:rPr>
      <w:fldChar w:fldCharType="separate"/>
    </w:r>
    <w:r>
      <w:rPr>
        <w:rStyle w:val="23"/>
      </w:rPr>
      <w:t>1</w:t>
    </w:r>
    <w:r>
      <w:rPr>
        <w:rStyle w:val="23"/>
      </w:rPr>
      <w:fldChar w:fldCharType="end"/>
    </w:r>
    <w:r>
      <w:rPr>
        <w:rStyle w:val="23"/>
        <w:rFonts w:hint="eastAsia"/>
      </w:rPr>
      <w:t xml:space="preserve"> </w:t>
    </w:r>
    <w:r>
      <w:rPr>
        <w:rStyle w:val="23"/>
        <w:rFonts w:hint="eastAsia" w:ascii="仿宋_GB2312"/>
      </w:rPr>
      <w:t>—</w:t>
    </w:r>
  </w:p>
  <w:p>
    <w:pPr>
      <w:pStyle w:val="16"/>
      <w:tabs>
        <w:tab w:val="clear" w:pos="8306"/>
      </w:tabs>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6"/>
      <w:framePr w:w="1596" w:wrap="around" w:vAnchor="text" w:hAnchor="page" w:x="1885" w:y="-415"/>
      <w:jc w:val="both"/>
      <w:rPr>
        <w:rStyle w:val="23"/>
      </w:rPr>
    </w:pPr>
    <w:r>
      <w:rPr>
        <w:rStyle w:val="23"/>
        <w:rFonts w:hint="eastAsia" w:ascii="仿宋_GB2312"/>
      </w:rPr>
      <w:t xml:space="preserve">— </w:t>
    </w:r>
    <w:r>
      <w:rPr>
        <w:rStyle w:val="23"/>
      </w:rPr>
      <w:fldChar w:fldCharType="begin"/>
    </w:r>
    <w:r>
      <w:rPr>
        <w:rStyle w:val="23"/>
      </w:rPr>
      <w:instrText xml:space="preserve">PAGE  </w:instrText>
    </w:r>
    <w:r>
      <w:rPr>
        <w:rStyle w:val="23"/>
      </w:rPr>
      <w:fldChar w:fldCharType="separate"/>
    </w:r>
    <w:r>
      <w:rPr>
        <w:rStyle w:val="23"/>
      </w:rPr>
      <w:t>8</w:t>
    </w:r>
    <w:r>
      <w:rPr>
        <w:rStyle w:val="23"/>
      </w:rPr>
      <w:fldChar w:fldCharType="end"/>
    </w:r>
    <w:r>
      <w:rPr>
        <w:rStyle w:val="23"/>
        <w:rFonts w:hint="eastAsia"/>
      </w:rPr>
      <w:t xml:space="preserve"> </w:t>
    </w:r>
    <w:r>
      <w:rPr>
        <w:rStyle w:val="23"/>
        <w:rFonts w:hint="eastAsia" w:ascii="仿宋_GB2312"/>
      </w:rPr>
      <w:t>—</w:t>
    </w:r>
  </w:p>
  <w:p>
    <w:pPr>
      <w:pStyle w:val="1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splitPgBreakAndParaMark/>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D802F2"/>
    <w:rsid w:val="001141EA"/>
    <w:rsid w:val="0011576B"/>
    <w:rsid w:val="00130807"/>
    <w:rsid w:val="001C5FF9"/>
    <w:rsid w:val="002E7FFE"/>
    <w:rsid w:val="003225CB"/>
    <w:rsid w:val="00385ACC"/>
    <w:rsid w:val="003E5467"/>
    <w:rsid w:val="004227C9"/>
    <w:rsid w:val="0047460B"/>
    <w:rsid w:val="004A03DA"/>
    <w:rsid w:val="007118CA"/>
    <w:rsid w:val="007D2D69"/>
    <w:rsid w:val="007D59FD"/>
    <w:rsid w:val="00824D75"/>
    <w:rsid w:val="00845B6B"/>
    <w:rsid w:val="00926087"/>
    <w:rsid w:val="009D5BE4"/>
    <w:rsid w:val="00B03A9A"/>
    <w:rsid w:val="00C85755"/>
    <w:rsid w:val="00CD13C5"/>
    <w:rsid w:val="00CE69DC"/>
    <w:rsid w:val="00D802F2"/>
    <w:rsid w:val="00D85FE8"/>
    <w:rsid w:val="00F934B3"/>
    <w:rsid w:val="014A44EE"/>
    <w:rsid w:val="01597BCF"/>
    <w:rsid w:val="060D18FC"/>
    <w:rsid w:val="06443FD4"/>
    <w:rsid w:val="06EB1E37"/>
    <w:rsid w:val="12A44024"/>
    <w:rsid w:val="13C90583"/>
    <w:rsid w:val="190F77BD"/>
    <w:rsid w:val="1B235161"/>
    <w:rsid w:val="20163B31"/>
    <w:rsid w:val="21C34AF1"/>
    <w:rsid w:val="23385CD8"/>
    <w:rsid w:val="2FD563CF"/>
    <w:rsid w:val="31A359FC"/>
    <w:rsid w:val="31CF1D43"/>
    <w:rsid w:val="329C1497"/>
    <w:rsid w:val="32A6004B"/>
    <w:rsid w:val="39B44C88"/>
    <w:rsid w:val="3B4D4259"/>
    <w:rsid w:val="3C111A19"/>
    <w:rsid w:val="3DAC723C"/>
    <w:rsid w:val="3F9002D3"/>
    <w:rsid w:val="411615DD"/>
    <w:rsid w:val="434774ED"/>
    <w:rsid w:val="44BE4CFC"/>
    <w:rsid w:val="46BE4DB3"/>
    <w:rsid w:val="47FC4FAC"/>
    <w:rsid w:val="501F5F01"/>
    <w:rsid w:val="50B45981"/>
    <w:rsid w:val="5796443F"/>
    <w:rsid w:val="59B61AA3"/>
    <w:rsid w:val="5ACD0BD9"/>
    <w:rsid w:val="5C5F7C1B"/>
    <w:rsid w:val="5D9B3D9F"/>
    <w:rsid w:val="60750961"/>
    <w:rsid w:val="64ED7448"/>
    <w:rsid w:val="657F490D"/>
    <w:rsid w:val="6D2C4F2B"/>
    <w:rsid w:val="72B8241C"/>
    <w:rsid w:val="7CD663F6"/>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semiHidden="0" w:name="Normal Indent"/>
    <w:lsdException w:uiPriority="0" w:semiHidden="0" w:name="footnote text"/>
    <w:lsdException w:uiPriority="0" w:semiHidden="0" w:name="annotation text"/>
    <w:lsdException w:uiPriority="99" w:semiHidden="0" w:name="header"/>
    <w:lsdException w:uiPriority="0" w:semiHidden="0" w:name="footer"/>
    <w:lsdException w:uiPriority="0" w:name="index heading"/>
    <w:lsdException w:uiPriority="35" w:name="caption"/>
    <w:lsdException w:uiPriority="0" w:name="table of figures"/>
    <w:lsdException w:uiPriority="0" w:name="envelope address"/>
    <w:lsdException w:uiPriority="0" w:name="envelope return"/>
    <w:lsdException w:uiPriority="0" w:semiHidden="0" w:name="footnote reference"/>
    <w:lsdException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napToGrid w:val="0"/>
      <w:spacing w:line="588" w:lineRule="atLeast"/>
      <w:jc w:val="both"/>
    </w:pPr>
    <w:rPr>
      <w:rFonts w:ascii="宋体" w:hAnsi="宋体" w:eastAsia="仿宋_GB2312" w:cs="Times New Roman"/>
      <w:spacing w:val="6"/>
      <w:kern w:val="2"/>
      <w:sz w:val="30"/>
      <w:szCs w:val="24"/>
      <w:lang w:val="en-US" w:eastAsia="zh-CN" w:bidi="ar-SA"/>
    </w:rPr>
  </w:style>
  <w:style w:type="paragraph" w:styleId="2">
    <w:name w:val="heading 1"/>
    <w:basedOn w:val="1"/>
    <w:next w:val="1"/>
    <w:link w:val="33"/>
    <w:qFormat/>
    <w:uiPriority w:val="9"/>
    <w:pPr>
      <w:keepNext/>
      <w:widowControl/>
      <w:adjustRightInd/>
      <w:snapToGrid/>
      <w:spacing w:before="240" w:after="60" w:line="240" w:lineRule="auto"/>
      <w:jc w:val="left"/>
      <w:outlineLvl w:val="0"/>
    </w:pPr>
    <w:rPr>
      <w:rFonts w:ascii="Cambria" w:hAnsi="Cambria" w:eastAsia="宋体" w:cs="黑体"/>
      <w:b/>
      <w:bCs/>
      <w:spacing w:val="0"/>
      <w:kern w:val="32"/>
      <w:sz w:val="32"/>
      <w:szCs w:val="32"/>
    </w:rPr>
  </w:style>
  <w:style w:type="paragraph" w:styleId="3">
    <w:name w:val="heading 2"/>
    <w:basedOn w:val="1"/>
    <w:next w:val="1"/>
    <w:link w:val="34"/>
    <w:unhideWhenUsed/>
    <w:qFormat/>
    <w:uiPriority w:val="9"/>
    <w:pPr>
      <w:keepNext/>
      <w:widowControl/>
      <w:adjustRightInd/>
      <w:snapToGrid/>
      <w:spacing w:before="240" w:after="60" w:line="240" w:lineRule="auto"/>
      <w:jc w:val="left"/>
      <w:outlineLvl w:val="1"/>
    </w:pPr>
    <w:rPr>
      <w:rFonts w:ascii="Cambria" w:hAnsi="Cambria" w:eastAsia="宋体" w:cs="黑体"/>
      <w:b/>
      <w:bCs/>
      <w:i/>
      <w:iCs/>
      <w:spacing w:val="0"/>
      <w:kern w:val="0"/>
      <w:sz w:val="28"/>
      <w:szCs w:val="28"/>
    </w:rPr>
  </w:style>
  <w:style w:type="paragraph" w:styleId="4">
    <w:name w:val="heading 3"/>
    <w:basedOn w:val="1"/>
    <w:next w:val="1"/>
    <w:link w:val="35"/>
    <w:unhideWhenUsed/>
    <w:qFormat/>
    <w:uiPriority w:val="9"/>
    <w:pPr>
      <w:keepNext/>
      <w:widowControl/>
      <w:adjustRightInd/>
      <w:snapToGrid/>
      <w:spacing w:before="240" w:after="60" w:line="240" w:lineRule="auto"/>
      <w:jc w:val="left"/>
      <w:outlineLvl w:val="2"/>
    </w:pPr>
    <w:rPr>
      <w:rFonts w:ascii="Cambria" w:hAnsi="Cambria" w:eastAsia="宋体" w:cs="黑体"/>
      <w:b/>
      <w:bCs/>
      <w:spacing w:val="0"/>
      <w:kern w:val="0"/>
      <w:sz w:val="26"/>
      <w:szCs w:val="26"/>
    </w:rPr>
  </w:style>
  <w:style w:type="paragraph" w:styleId="5">
    <w:name w:val="heading 4"/>
    <w:basedOn w:val="1"/>
    <w:next w:val="1"/>
    <w:link w:val="36"/>
    <w:unhideWhenUsed/>
    <w:qFormat/>
    <w:uiPriority w:val="9"/>
    <w:pPr>
      <w:keepNext/>
      <w:widowControl/>
      <w:adjustRightInd/>
      <w:snapToGrid/>
      <w:spacing w:before="240" w:after="60" w:line="240" w:lineRule="auto"/>
      <w:jc w:val="left"/>
      <w:outlineLvl w:val="3"/>
    </w:pPr>
    <w:rPr>
      <w:rFonts w:ascii="Calibri" w:hAnsi="Calibri" w:eastAsia="宋体" w:cs="黑体"/>
      <w:b/>
      <w:bCs/>
      <w:spacing w:val="0"/>
      <w:kern w:val="0"/>
      <w:sz w:val="28"/>
      <w:szCs w:val="28"/>
    </w:rPr>
  </w:style>
  <w:style w:type="paragraph" w:styleId="6">
    <w:name w:val="heading 5"/>
    <w:basedOn w:val="1"/>
    <w:next w:val="1"/>
    <w:link w:val="37"/>
    <w:unhideWhenUsed/>
    <w:qFormat/>
    <w:uiPriority w:val="9"/>
    <w:pPr>
      <w:widowControl/>
      <w:adjustRightInd/>
      <w:snapToGrid/>
      <w:spacing w:before="240" w:after="60" w:line="240" w:lineRule="auto"/>
      <w:jc w:val="left"/>
      <w:outlineLvl w:val="4"/>
    </w:pPr>
    <w:rPr>
      <w:rFonts w:ascii="Calibri" w:hAnsi="Calibri" w:eastAsia="宋体" w:cs="黑体"/>
      <w:b/>
      <w:bCs/>
      <w:i/>
      <w:iCs/>
      <w:spacing w:val="0"/>
      <w:kern w:val="0"/>
      <w:sz w:val="26"/>
      <w:szCs w:val="26"/>
    </w:rPr>
  </w:style>
  <w:style w:type="paragraph" w:styleId="7">
    <w:name w:val="heading 6"/>
    <w:basedOn w:val="1"/>
    <w:next w:val="1"/>
    <w:link w:val="38"/>
    <w:unhideWhenUsed/>
    <w:qFormat/>
    <w:uiPriority w:val="9"/>
    <w:pPr>
      <w:widowControl/>
      <w:adjustRightInd/>
      <w:snapToGrid/>
      <w:spacing w:before="240" w:after="60" w:line="240" w:lineRule="auto"/>
      <w:jc w:val="left"/>
      <w:outlineLvl w:val="5"/>
    </w:pPr>
    <w:rPr>
      <w:rFonts w:ascii="Calibri" w:hAnsi="Calibri" w:eastAsia="宋体" w:cs="黑体"/>
      <w:b/>
      <w:bCs/>
      <w:spacing w:val="0"/>
      <w:kern w:val="0"/>
      <w:sz w:val="22"/>
      <w:szCs w:val="22"/>
    </w:rPr>
  </w:style>
  <w:style w:type="paragraph" w:styleId="8">
    <w:name w:val="heading 7"/>
    <w:basedOn w:val="1"/>
    <w:next w:val="1"/>
    <w:link w:val="39"/>
    <w:unhideWhenUsed/>
    <w:qFormat/>
    <w:uiPriority w:val="9"/>
    <w:pPr>
      <w:widowControl/>
      <w:adjustRightInd/>
      <w:snapToGrid/>
      <w:spacing w:before="240" w:after="60" w:line="240" w:lineRule="auto"/>
      <w:jc w:val="left"/>
      <w:outlineLvl w:val="6"/>
    </w:pPr>
    <w:rPr>
      <w:rFonts w:ascii="Calibri" w:hAnsi="Calibri" w:eastAsia="宋体" w:cs="黑体"/>
      <w:spacing w:val="0"/>
      <w:kern w:val="0"/>
      <w:sz w:val="24"/>
    </w:rPr>
  </w:style>
  <w:style w:type="paragraph" w:styleId="9">
    <w:name w:val="heading 8"/>
    <w:basedOn w:val="1"/>
    <w:next w:val="1"/>
    <w:link w:val="40"/>
    <w:unhideWhenUsed/>
    <w:qFormat/>
    <w:uiPriority w:val="9"/>
    <w:pPr>
      <w:widowControl/>
      <w:adjustRightInd/>
      <w:snapToGrid/>
      <w:spacing w:before="240" w:after="60" w:line="240" w:lineRule="auto"/>
      <w:jc w:val="left"/>
      <w:outlineLvl w:val="7"/>
    </w:pPr>
    <w:rPr>
      <w:rFonts w:ascii="Calibri" w:hAnsi="Calibri" w:eastAsia="宋体" w:cs="黑体"/>
      <w:i/>
      <w:iCs/>
      <w:spacing w:val="0"/>
      <w:kern w:val="0"/>
      <w:sz w:val="24"/>
    </w:rPr>
  </w:style>
  <w:style w:type="paragraph" w:styleId="10">
    <w:name w:val="heading 9"/>
    <w:basedOn w:val="1"/>
    <w:next w:val="1"/>
    <w:link w:val="41"/>
    <w:unhideWhenUsed/>
    <w:qFormat/>
    <w:uiPriority w:val="9"/>
    <w:pPr>
      <w:widowControl/>
      <w:adjustRightInd/>
      <w:snapToGrid/>
      <w:spacing w:before="240" w:after="60" w:line="240" w:lineRule="auto"/>
      <w:jc w:val="left"/>
      <w:outlineLvl w:val="8"/>
    </w:pPr>
    <w:rPr>
      <w:rFonts w:ascii="Cambria" w:hAnsi="Cambria" w:eastAsia="宋体" w:cs="黑体"/>
      <w:spacing w:val="0"/>
      <w:kern w:val="0"/>
      <w:sz w:val="22"/>
      <w:szCs w:val="22"/>
    </w:rPr>
  </w:style>
  <w:style w:type="character" w:default="1" w:styleId="21">
    <w:name w:val="Default Paragraph Font"/>
    <w:unhideWhenUsed/>
    <w:uiPriority w:val="1"/>
  </w:style>
  <w:style w:type="table" w:default="1" w:styleId="27">
    <w:name w:val="Normal Table"/>
    <w:unhideWhenUsed/>
    <w:uiPriority w:val="99"/>
    <w:tblPr>
      <w:tblStyle w:val="27"/>
      <w:tblLayout w:type="fixed"/>
      <w:tblCellMar>
        <w:top w:w="0" w:type="dxa"/>
        <w:left w:w="108" w:type="dxa"/>
        <w:bottom w:w="0" w:type="dxa"/>
        <w:right w:w="108" w:type="dxa"/>
      </w:tblCellMar>
    </w:tblPr>
    <w:tcPr>
      <w:textDirection w:val="lrTb"/>
    </w:tcPr>
  </w:style>
  <w:style w:type="paragraph" w:styleId="11">
    <w:name w:val="annotation subject"/>
    <w:basedOn w:val="12"/>
    <w:next w:val="12"/>
    <w:link w:val="55"/>
    <w:unhideWhenUsed/>
    <w:uiPriority w:val="0"/>
    <w:rPr>
      <w:b/>
      <w:bCs/>
    </w:rPr>
  </w:style>
  <w:style w:type="paragraph" w:styleId="12">
    <w:name w:val="annotation text"/>
    <w:basedOn w:val="1"/>
    <w:link w:val="54"/>
    <w:unhideWhenUsed/>
    <w:uiPriority w:val="0"/>
    <w:pPr>
      <w:jc w:val="left"/>
    </w:pPr>
  </w:style>
  <w:style w:type="paragraph" w:styleId="13">
    <w:name w:val="Normal Indent"/>
    <w:basedOn w:val="1"/>
    <w:unhideWhenUsed/>
    <w:uiPriority w:val="0"/>
    <w:pPr>
      <w:spacing w:line="360" w:lineRule="atLeast"/>
      <w:ind w:firstLine="425"/>
      <w:textAlignment w:val="baseline"/>
    </w:pPr>
    <w:rPr>
      <w:rFonts w:hAnsi="Times New Roman"/>
      <w:kern w:val="0"/>
      <w:sz w:val="24"/>
      <w:szCs w:val="20"/>
    </w:rPr>
  </w:style>
  <w:style w:type="paragraph" w:styleId="14">
    <w:name w:val="Body Text"/>
    <w:basedOn w:val="1"/>
    <w:link w:val="53"/>
    <w:uiPriority w:val="0"/>
  </w:style>
  <w:style w:type="paragraph" w:styleId="15">
    <w:name w:val="Balloon Text"/>
    <w:basedOn w:val="1"/>
    <w:link w:val="56"/>
    <w:unhideWhenUsed/>
    <w:uiPriority w:val="0"/>
    <w:pPr>
      <w:spacing w:line="240" w:lineRule="auto"/>
    </w:pPr>
    <w:rPr>
      <w:sz w:val="18"/>
      <w:szCs w:val="18"/>
    </w:rPr>
  </w:style>
  <w:style w:type="paragraph" w:styleId="16">
    <w:name w:val="footer"/>
    <w:basedOn w:val="1"/>
    <w:link w:val="52"/>
    <w:unhideWhenUsed/>
    <w:uiPriority w:val="0"/>
    <w:pPr>
      <w:widowControl/>
      <w:tabs>
        <w:tab w:val="center" w:pos="4153"/>
        <w:tab w:val="right" w:pos="8306"/>
      </w:tabs>
      <w:adjustRightInd/>
      <w:spacing w:line="240" w:lineRule="auto"/>
      <w:jc w:val="left"/>
    </w:pPr>
    <w:rPr>
      <w:rFonts w:ascii="Calibri" w:hAnsi="Calibri" w:eastAsia="宋体"/>
      <w:spacing w:val="0"/>
      <w:kern w:val="0"/>
      <w:sz w:val="18"/>
      <w:szCs w:val="18"/>
    </w:rPr>
  </w:style>
  <w:style w:type="paragraph" w:styleId="17">
    <w:name w:val="header"/>
    <w:basedOn w:val="1"/>
    <w:link w:val="51"/>
    <w:unhideWhenUsed/>
    <w:uiPriority w:val="99"/>
    <w:pPr>
      <w:widowControl/>
      <w:pBdr>
        <w:bottom w:val="single" w:color="auto" w:sz="6" w:space="1"/>
      </w:pBdr>
      <w:tabs>
        <w:tab w:val="center" w:pos="4153"/>
        <w:tab w:val="right" w:pos="8306"/>
      </w:tabs>
      <w:adjustRightInd/>
      <w:spacing w:line="240" w:lineRule="auto"/>
      <w:jc w:val="center"/>
    </w:pPr>
    <w:rPr>
      <w:rFonts w:ascii="Calibri" w:hAnsi="Calibri" w:eastAsia="宋体"/>
      <w:spacing w:val="0"/>
      <w:kern w:val="0"/>
      <w:sz w:val="18"/>
      <w:szCs w:val="18"/>
    </w:rPr>
  </w:style>
  <w:style w:type="paragraph" w:styleId="18">
    <w:name w:val="Subtitle"/>
    <w:basedOn w:val="1"/>
    <w:next w:val="1"/>
    <w:link w:val="43"/>
    <w:qFormat/>
    <w:uiPriority w:val="11"/>
    <w:pPr>
      <w:widowControl/>
      <w:adjustRightInd/>
      <w:snapToGrid/>
      <w:spacing w:after="60" w:line="240" w:lineRule="auto"/>
      <w:jc w:val="center"/>
      <w:outlineLvl w:val="1"/>
    </w:pPr>
    <w:rPr>
      <w:rFonts w:ascii="Cambria" w:hAnsi="Cambria" w:eastAsia="宋体" w:cs="黑体"/>
      <w:spacing w:val="0"/>
      <w:kern w:val="0"/>
      <w:sz w:val="24"/>
    </w:rPr>
  </w:style>
  <w:style w:type="paragraph" w:styleId="19">
    <w:name w:val="footnote text"/>
    <w:basedOn w:val="1"/>
    <w:unhideWhenUsed/>
    <w:uiPriority w:val="0"/>
    <w:pPr>
      <w:jc w:val="left"/>
    </w:pPr>
    <w:rPr>
      <w:sz w:val="18"/>
      <w:szCs w:val="18"/>
    </w:rPr>
  </w:style>
  <w:style w:type="paragraph" w:styleId="20">
    <w:name w:val="Title"/>
    <w:basedOn w:val="1"/>
    <w:next w:val="1"/>
    <w:link w:val="42"/>
    <w:qFormat/>
    <w:uiPriority w:val="10"/>
    <w:pPr>
      <w:widowControl/>
      <w:adjustRightInd/>
      <w:snapToGrid/>
      <w:spacing w:before="240" w:after="60" w:line="240" w:lineRule="auto"/>
      <w:jc w:val="center"/>
      <w:outlineLvl w:val="0"/>
    </w:pPr>
    <w:rPr>
      <w:rFonts w:ascii="Cambria" w:hAnsi="Cambria" w:eastAsia="宋体" w:cs="黑体"/>
      <w:b/>
      <w:bCs/>
      <w:spacing w:val="0"/>
      <w:kern w:val="28"/>
      <w:sz w:val="32"/>
      <w:szCs w:val="32"/>
    </w:rPr>
  </w:style>
  <w:style w:type="character" w:styleId="22">
    <w:name w:val="Strong"/>
    <w:qFormat/>
    <w:uiPriority w:val="22"/>
    <w:rPr>
      <w:b/>
      <w:bCs/>
    </w:rPr>
  </w:style>
  <w:style w:type="character" w:styleId="23">
    <w:name w:val="page number"/>
    <w:basedOn w:val="21"/>
    <w:uiPriority w:val="0"/>
    <w:rPr/>
  </w:style>
  <w:style w:type="character" w:styleId="24">
    <w:name w:val="Emphasis"/>
    <w:qFormat/>
    <w:uiPriority w:val="20"/>
    <w:rPr>
      <w:rFonts w:ascii="Calibri" w:hAnsi="Calibri"/>
      <w:b/>
      <w:i/>
      <w:iCs/>
    </w:rPr>
  </w:style>
  <w:style w:type="character" w:styleId="25">
    <w:name w:val="annotation reference"/>
    <w:unhideWhenUsed/>
    <w:uiPriority w:val="0"/>
    <w:rPr>
      <w:sz w:val="21"/>
      <w:szCs w:val="21"/>
    </w:rPr>
  </w:style>
  <w:style w:type="character" w:styleId="26">
    <w:name w:val="footnote reference"/>
    <w:unhideWhenUsed/>
    <w:uiPriority w:val="0"/>
    <w:rPr>
      <w:vertAlign w:val="superscript"/>
    </w:rPr>
  </w:style>
  <w:style w:type="paragraph" w:customStyle="1" w:styleId="28">
    <w:name w:val="列出段落1"/>
    <w:basedOn w:val="1"/>
    <w:qFormat/>
    <w:uiPriority w:val="34"/>
    <w:pPr>
      <w:widowControl/>
      <w:adjustRightInd/>
      <w:snapToGrid/>
      <w:spacing w:line="240" w:lineRule="auto"/>
      <w:ind w:left="720"/>
      <w:contextualSpacing/>
      <w:jc w:val="left"/>
    </w:pPr>
    <w:rPr>
      <w:rFonts w:ascii="Calibri" w:hAnsi="Calibri" w:eastAsia="宋体"/>
      <w:spacing w:val="0"/>
      <w:kern w:val="0"/>
      <w:sz w:val="24"/>
    </w:rPr>
  </w:style>
  <w:style w:type="paragraph" w:customStyle="1" w:styleId="29">
    <w:name w:val="无间隔1"/>
    <w:basedOn w:val="1"/>
    <w:qFormat/>
    <w:uiPriority w:val="1"/>
    <w:pPr>
      <w:widowControl/>
      <w:adjustRightInd/>
      <w:snapToGrid/>
      <w:spacing w:line="240" w:lineRule="auto"/>
      <w:jc w:val="left"/>
    </w:pPr>
    <w:rPr>
      <w:rFonts w:ascii="Calibri" w:hAnsi="Calibri" w:eastAsia="宋体"/>
      <w:spacing w:val="0"/>
      <w:kern w:val="0"/>
      <w:sz w:val="24"/>
      <w:szCs w:val="32"/>
    </w:rPr>
  </w:style>
  <w:style w:type="paragraph" w:customStyle="1" w:styleId="30">
    <w:name w:val="引用1"/>
    <w:basedOn w:val="1"/>
    <w:next w:val="1"/>
    <w:link w:val="44"/>
    <w:qFormat/>
    <w:uiPriority w:val="29"/>
    <w:pPr>
      <w:widowControl/>
      <w:adjustRightInd/>
      <w:snapToGrid/>
      <w:spacing w:line="240" w:lineRule="auto"/>
      <w:jc w:val="left"/>
    </w:pPr>
    <w:rPr>
      <w:rFonts w:ascii="Calibri" w:hAnsi="Calibri" w:eastAsia="宋体"/>
      <w:i/>
      <w:spacing w:val="0"/>
      <w:kern w:val="0"/>
      <w:sz w:val="24"/>
    </w:rPr>
  </w:style>
  <w:style w:type="paragraph" w:customStyle="1" w:styleId="31">
    <w:name w:val="明显引用1"/>
    <w:basedOn w:val="1"/>
    <w:next w:val="1"/>
    <w:link w:val="45"/>
    <w:qFormat/>
    <w:uiPriority w:val="30"/>
    <w:pPr>
      <w:widowControl/>
      <w:adjustRightInd/>
      <w:snapToGrid/>
      <w:spacing w:line="240" w:lineRule="auto"/>
      <w:ind w:left="720" w:right="720"/>
      <w:jc w:val="left"/>
    </w:pPr>
    <w:rPr>
      <w:rFonts w:ascii="Calibri" w:hAnsi="Calibri" w:eastAsia="宋体"/>
      <w:b/>
      <w:i/>
      <w:spacing w:val="0"/>
      <w:kern w:val="0"/>
      <w:sz w:val="24"/>
      <w:szCs w:val="22"/>
    </w:rPr>
  </w:style>
  <w:style w:type="paragraph" w:customStyle="1" w:styleId="32">
    <w:name w:val="TOC 标题1"/>
    <w:basedOn w:val="2"/>
    <w:next w:val="1"/>
    <w:unhideWhenUsed/>
    <w:qFormat/>
    <w:uiPriority w:val="39"/>
    <w:pPr>
      <w:outlineLvl w:val="9"/>
    </w:pPr>
  </w:style>
  <w:style w:type="character" w:customStyle="1" w:styleId="33">
    <w:name w:val="标题 1 Char"/>
    <w:link w:val="2"/>
    <w:uiPriority w:val="9"/>
    <w:rPr>
      <w:rFonts w:ascii="Cambria" w:hAnsi="Cambria" w:eastAsia="宋体" w:cs="黑体"/>
      <w:b/>
      <w:bCs/>
      <w:kern w:val="32"/>
      <w:sz w:val="32"/>
      <w:szCs w:val="32"/>
    </w:rPr>
  </w:style>
  <w:style w:type="character" w:customStyle="1" w:styleId="34">
    <w:name w:val="标题 2 Char"/>
    <w:link w:val="3"/>
    <w:semiHidden/>
    <w:uiPriority w:val="9"/>
    <w:rPr>
      <w:rFonts w:ascii="Cambria" w:hAnsi="Cambria" w:eastAsia="宋体" w:cs="黑体"/>
      <w:b/>
      <w:bCs/>
      <w:i/>
      <w:iCs/>
      <w:sz w:val="28"/>
      <w:szCs w:val="28"/>
    </w:rPr>
  </w:style>
  <w:style w:type="character" w:customStyle="1" w:styleId="35">
    <w:name w:val="标题 3 Char"/>
    <w:link w:val="4"/>
    <w:semiHidden/>
    <w:uiPriority w:val="9"/>
    <w:rPr>
      <w:rFonts w:ascii="Cambria" w:hAnsi="Cambria" w:eastAsia="宋体" w:cs="黑体"/>
      <w:b/>
      <w:bCs/>
      <w:sz w:val="26"/>
      <w:szCs w:val="26"/>
    </w:rPr>
  </w:style>
  <w:style w:type="character" w:customStyle="1" w:styleId="36">
    <w:name w:val="标题 4 Char"/>
    <w:link w:val="5"/>
    <w:semiHidden/>
    <w:uiPriority w:val="9"/>
    <w:rPr>
      <w:rFonts w:cs="黑体"/>
      <w:b/>
      <w:bCs/>
      <w:sz w:val="28"/>
      <w:szCs w:val="28"/>
    </w:rPr>
  </w:style>
  <w:style w:type="character" w:customStyle="1" w:styleId="37">
    <w:name w:val="标题 5 Char"/>
    <w:link w:val="6"/>
    <w:semiHidden/>
    <w:uiPriority w:val="9"/>
    <w:rPr>
      <w:rFonts w:cs="黑体"/>
      <w:b/>
      <w:bCs/>
      <w:i/>
      <w:iCs/>
      <w:sz w:val="26"/>
      <w:szCs w:val="26"/>
    </w:rPr>
  </w:style>
  <w:style w:type="character" w:customStyle="1" w:styleId="38">
    <w:name w:val="标题 6 Char"/>
    <w:link w:val="7"/>
    <w:semiHidden/>
    <w:uiPriority w:val="9"/>
    <w:rPr>
      <w:rFonts w:cs="黑体"/>
      <w:b/>
      <w:bCs/>
    </w:rPr>
  </w:style>
  <w:style w:type="character" w:customStyle="1" w:styleId="39">
    <w:name w:val="标题 7 Char"/>
    <w:link w:val="8"/>
    <w:semiHidden/>
    <w:uiPriority w:val="9"/>
    <w:rPr>
      <w:rFonts w:cs="黑体"/>
      <w:sz w:val="24"/>
      <w:szCs w:val="24"/>
    </w:rPr>
  </w:style>
  <w:style w:type="character" w:customStyle="1" w:styleId="40">
    <w:name w:val="标题 8 Char"/>
    <w:link w:val="9"/>
    <w:semiHidden/>
    <w:uiPriority w:val="9"/>
    <w:rPr>
      <w:rFonts w:cs="黑体"/>
      <w:i/>
      <w:iCs/>
      <w:sz w:val="24"/>
      <w:szCs w:val="24"/>
    </w:rPr>
  </w:style>
  <w:style w:type="character" w:customStyle="1" w:styleId="41">
    <w:name w:val="标题 9 Char"/>
    <w:link w:val="10"/>
    <w:semiHidden/>
    <w:uiPriority w:val="9"/>
    <w:rPr>
      <w:rFonts w:ascii="Cambria" w:hAnsi="Cambria" w:eastAsia="宋体" w:cs="黑体"/>
    </w:rPr>
  </w:style>
  <w:style w:type="character" w:customStyle="1" w:styleId="42">
    <w:name w:val="标题 Char"/>
    <w:link w:val="20"/>
    <w:uiPriority w:val="10"/>
    <w:rPr>
      <w:rFonts w:ascii="Cambria" w:hAnsi="Cambria" w:eastAsia="宋体" w:cs="黑体"/>
      <w:b/>
      <w:bCs/>
      <w:kern w:val="28"/>
      <w:sz w:val="32"/>
      <w:szCs w:val="32"/>
    </w:rPr>
  </w:style>
  <w:style w:type="character" w:customStyle="1" w:styleId="43">
    <w:name w:val="副标题 Char"/>
    <w:link w:val="18"/>
    <w:uiPriority w:val="11"/>
    <w:rPr>
      <w:rFonts w:ascii="Cambria" w:hAnsi="Cambria" w:eastAsia="宋体" w:cs="黑体"/>
      <w:sz w:val="24"/>
      <w:szCs w:val="24"/>
    </w:rPr>
  </w:style>
  <w:style w:type="character" w:customStyle="1" w:styleId="44">
    <w:name w:val="引用 Char"/>
    <w:link w:val="30"/>
    <w:uiPriority w:val="29"/>
    <w:rPr>
      <w:i/>
      <w:sz w:val="24"/>
      <w:szCs w:val="24"/>
    </w:rPr>
  </w:style>
  <w:style w:type="character" w:customStyle="1" w:styleId="45">
    <w:name w:val="明显引用 Char"/>
    <w:link w:val="31"/>
    <w:uiPriority w:val="30"/>
    <w:rPr>
      <w:b/>
      <w:i/>
      <w:sz w:val="24"/>
    </w:rPr>
  </w:style>
  <w:style w:type="character" w:customStyle="1" w:styleId="46">
    <w:name w:val="不明显强调1"/>
    <w:qFormat/>
    <w:uiPriority w:val="19"/>
    <w:rPr>
      <w:i/>
      <w:color w:val="595959"/>
    </w:rPr>
  </w:style>
  <w:style w:type="character" w:customStyle="1" w:styleId="47">
    <w:name w:val="明显强调1"/>
    <w:qFormat/>
    <w:uiPriority w:val="21"/>
    <w:rPr>
      <w:b/>
      <w:i/>
      <w:sz w:val="24"/>
      <w:szCs w:val="24"/>
      <w:u w:val="single"/>
    </w:rPr>
  </w:style>
  <w:style w:type="character" w:customStyle="1" w:styleId="48">
    <w:name w:val="不明显参考1"/>
    <w:qFormat/>
    <w:uiPriority w:val="31"/>
    <w:rPr>
      <w:sz w:val="24"/>
      <w:szCs w:val="24"/>
      <w:u w:val="single"/>
    </w:rPr>
  </w:style>
  <w:style w:type="character" w:customStyle="1" w:styleId="49">
    <w:name w:val="明显参考1"/>
    <w:qFormat/>
    <w:uiPriority w:val="32"/>
    <w:rPr>
      <w:b/>
      <w:sz w:val="24"/>
      <w:u w:val="single"/>
    </w:rPr>
  </w:style>
  <w:style w:type="character" w:customStyle="1" w:styleId="50">
    <w:name w:val="书籍标题1"/>
    <w:qFormat/>
    <w:uiPriority w:val="33"/>
    <w:rPr>
      <w:rFonts w:ascii="Cambria" w:hAnsi="Cambria" w:eastAsia="宋体"/>
      <w:b/>
      <w:i/>
      <w:sz w:val="24"/>
      <w:szCs w:val="24"/>
    </w:rPr>
  </w:style>
  <w:style w:type="character" w:customStyle="1" w:styleId="51">
    <w:name w:val="页眉 Char"/>
    <w:link w:val="17"/>
    <w:uiPriority w:val="99"/>
    <w:rPr>
      <w:sz w:val="18"/>
      <w:szCs w:val="18"/>
    </w:rPr>
  </w:style>
  <w:style w:type="character" w:customStyle="1" w:styleId="52">
    <w:name w:val="页脚 Char"/>
    <w:link w:val="16"/>
    <w:uiPriority w:val="99"/>
    <w:rPr>
      <w:sz w:val="18"/>
      <w:szCs w:val="18"/>
    </w:rPr>
  </w:style>
  <w:style w:type="character" w:customStyle="1" w:styleId="53">
    <w:name w:val="正文文本 Char"/>
    <w:link w:val="14"/>
    <w:uiPriority w:val="0"/>
    <w:rPr>
      <w:rFonts w:ascii="宋体" w:hAnsi="宋体" w:eastAsia="仿宋_GB2312"/>
      <w:spacing w:val="6"/>
      <w:kern w:val="2"/>
      <w:sz w:val="30"/>
      <w:szCs w:val="24"/>
    </w:rPr>
  </w:style>
  <w:style w:type="character" w:customStyle="1" w:styleId="54">
    <w:name w:val="批注文字 Char"/>
    <w:link w:val="12"/>
    <w:semiHidden/>
    <w:uiPriority w:val="0"/>
    <w:rPr>
      <w:rFonts w:ascii="宋体" w:hAnsi="宋体" w:eastAsia="仿宋_GB2312"/>
      <w:spacing w:val="6"/>
      <w:kern w:val="2"/>
      <w:sz w:val="30"/>
      <w:szCs w:val="24"/>
    </w:rPr>
  </w:style>
  <w:style w:type="character" w:customStyle="1" w:styleId="55">
    <w:name w:val="批注主题 Char"/>
    <w:link w:val="11"/>
    <w:semiHidden/>
    <w:uiPriority w:val="0"/>
    <w:rPr>
      <w:rFonts w:ascii="宋体" w:hAnsi="宋体" w:eastAsia="仿宋_GB2312"/>
      <w:b/>
      <w:bCs/>
      <w:spacing w:val="6"/>
      <w:kern w:val="2"/>
      <w:sz w:val="30"/>
      <w:szCs w:val="24"/>
    </w:rPr>
  </w:style>
  <w:style w:type="character" w:customStyle="1" w:styleId="56">
    <w:name w:val="批注框文本 Char"/>
    <w:link w:val="15"/>
    <w:semiHidden/>
    <w:uiPriority w:val="0"/>
    <w:rPr>
      <w:rFonts w:ascii="宋体" w:hAnsi="宋体" w:eastAsia="仿宋_GB2312"/>
      <w:spacing w:val="6"/>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9</Pages>
  <Words>569</Words>
  <Characters>3249</Characters>
  <Lines>27</Lines>
  <Paragraphs>7</Paragraphs>
  <ScaleCrop>false</ScaleCrop>
  <LinksUpToDate>false</LinksUpToDate>
  <CharactersWithSpaces>0</CharactersWithSpaces>
  <Application>WPS Office_9.1.0.5184_F1E327BC-269C-435d-A152-05C5408002CA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2015-05-20T08:49:00Z</dcterms:created>
  <dc:creator>杜斯达</dc:creator>
  <cp:lastModifiedBy>刘胜飞</cp:lastModifiedBy>
  <cp:lastPrinted>2015-08-04T01:46:00Z</cp:lastPrinted>
  <dcterms:modified xsi:type="dcterms:W3CDTF">2015-08-27T02:03:27Z</dcterms:modified>
  <dc:title>中评协〔2015〕   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