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spacing w:line="660" w:lineRule="exact"/>
        <w:outlineLvl w:val="0"/>
        <w:rPr>
          <w:rFonts w:hint="eastAsia" w:ascii="黑体" w:hAnsi="黑体" w:eastAsia="黑体" w:cs="黑体"/>
          <w:kern w:val="44"/>
          <w:sz w:val="32"/>
          <w:szCs w:val="32"/>
        </w:rPr>
      </w:pPr>
      <w:bookmarkStart w:id="0" w:name="_Toc28063"/>
      <w:r>
        <w:rPr>
          <w:rFonts w:hint="eastAsia" w:ascii="黑体" w:hAnsi="黑体" w:eastAsia="黑体" w:cs="黑体"/>
          <w:kern w:val="44"/>
          <w:sz w:val="32"/>
          <w:szCs w:val="32"/>
        </w:rPr>
        <w:t>附件</w:t>
      </w:r>
    </w:p>
    <w:p>
      <w:pPr>
        <w:pStyle w:val="4"/>
        <w:spacing w:line="560" w:lineRule="exact"/>
        <w:jc w:val="center"/>
        <w:outlineLvl w:val="0"/>
        <w:rPr>
          <w:rFonts w:hint="eastAsia" w:ascii="方正小标宋_GBK" w:hAnsi="方正小标宋_GBK" w:eastAsia="方正小标宋_GBK" w:cs="方正小标宋_GBK"/>
          <w:kern w:val="44"/>
          <w:sz w:val="44"/>
          <w:szCs w:val="44"/>
        </w:rPr>
      </w:pPr>
    </w:p>
    <w:bookmarkEnd w:id="0"/>
    <w:p>
      <w:pPr>
        <w:pStyle w:val="4"/>
        <w:spacing w:line="720" w:lineRule="exact"/>
        <w:jc w:val="center"/>
        <w:outlineLvl w:val="0"/>
        <w:rPr>
          <w:rFonts w:hint="eastAsia" w:ascii="方正小标宋_GBK" w:hAnsi="方正小标宋_GBK" w:eastAsia="方正小标宋_GBK" w:cs="方正小标宋_GBK"/>
          <w:kern w:val="44"/>
          <w:sz w:val="44"/>
          <w:szCs w:val="44"/>
        </w:rPr>
      </w:pPr>
      <w:r>
        <w:rPr>
          <w:rFonts w:hint="eastAsia" w:ascii="方正小标宋_GBK" w:hAnsi="方正小标宋_GBK" w:eastAsia="方正小标宋_GBK" w:cs="方正小标宋_GBK"/>
          <w:kern w:val="44"/>
          <w:sz w:val="44"/>
          <w:szCs w:val="44"/>
        </w:rPr>
        <w:t>海南省机构申报主体涉外收入“不申报、</w:t>
      </w:r>
    </w:p>
    <w:p>
      <w:pPr>
        <w:pStyle w:val="4"/>
        <w:spacing w:line="720" w:lineRule="exact"/>
        <w:jc w:val="center"/>
        <w:outlineLvl w:val="0"/>
        <w:rPr>
          <w:rFonts w:hint="eastAsia" w:ascii="方正小标宋_GBK" w:hAnsi="方正小标宋_GBK" w:eastAsia="方正小标宋_GBK" w:cs="方正小标宋_GBK"/>
          <w:kern w:val="44"/>
          <w:sz w:val="44"/>
          <w:szCs w:val="44"/>
        </w:rPr>
      </w:pPr>
      <w:r>
        <w:rPr>
          <w:rFonts w:hint="eastAsia" w:ascii="方正小标宋_GBK" w:hAnsi="方正小标宋_GBK" w:eastAsia="方正小标宋_GBK" w:cs="方正小标宋_GBK"/>
          <w:kern w:val="44"/>
          <w:sz w:val="44"/>
          <w:szCs w:val="44"/>
        </w:rPr>
        <w:t>不解付”特殊处理措施操作规程</w:t>
      </w:r>
    </w:p>
    <w:p>
      <w:pPr>
        <w:pStyle w:val="4"/>
        <w:spacing w:line="570" w:lineRule="exact"/>
        <w:jc w:val="center"/>
        <w:outlineLvl w:val="0"/>
        <w:rPr>
          <w:rFonts w:hint="eastAsia" w:ascii="方正小标宋_GBK" w:hAnsi="方正小标宋_GBK" w:eastAsia="方正小标宋_GBK" w:cs="方正小标宋_GBK"/>
          <w:kern w:val="44"/>
          <w:sz w:val="32"/>
          <w:szCs w:val="32"/>
        </w:rPr>
      </w:pPr>
    </w:p>
    <w:p>
      <w:pPr>
        <w:pStyle w:val="4"/>
        <w:spacing w:line="570" w:lineRule="exact"/>
        <w:jc w:val="center"/>
        <w:outlineLvl w:val="0"/>
        <w:rPr>
          <w:rFonts w:hint="eastAsia" w:ascii="方正小标宋_GBK" w:hAnsi="方正小标宋_GBK" w:eastAsia="方正小标宋_GBK" w:cs="方正小标宋_GBK"/>
          <w:kern w:val="44"/>
          <w:sz w:val="32"/>
          <w:szCs w:val="32"/>
        </w:rPr>
      </w:pPr>
    </w:p>
    <w:p>
      <w:pPr>
        <w:pStyle w:val="4"/>
        <w:spacing w:line="570" w:lineRule="exact"/>
        <w:jc w:val="center"/>
        <w:rPr>
          <w:b/>
          <w:sz w:val="32"/>
          <w:szCs w:val="32"/>
        </w:rPr>
      </w:pPr>
      <w:r>
        <w:rPr>
          <w:rFonts w:eastAsia="黑体"/>
          <w:bCs/>
          <w:sz w:val="32"/>
          <w:szCs w:val="32"/>
        </w:rPr>
        <w:t xml:space="preserve">第一章 </w:t>
      </w:r>
      <w:r>
        <w:rPr>
          <w:rFonts w:hint="eastAsia" w:eastAsia="黑体"/>
          <w:bCs/>
          <w:sz w:val="32"/>
          <w:szCs w:val="32"/>
        </w:rPr>
        <w:t xml:space="preserve"> </w:t>
      </w:r>
      <w:r>
        <w:rPr>
          <w:rFonts w:eastAsia="黑体"/>
          <w:bCs/>
          <w:sz w:val="32"/>
          <w:szCs w:val="32"/>
        </w:rPr>
        <w:t>总  则</w:t>
      </w:r>
    </w:p>
    <w:p>
      <w:pPr>
        <w:pStyle w:val="5"/>
        <w:spacing w:line="570" w:lineRule="exact"/>
        <w:ind w:firstLine="643"/>
        <w:rPr>
          <w:rFonts w:hint="eastAsia" w:ascii="仿宋_GB2312" w:hAnsi="仿宋_GB2312" w:cs="仿宋_GB2312"/>
          <w:sz w:val="32"/>
          <w:szCs w:val="32"/>
        </w:rPr>
      </w:pPr>
      <w:r>
        <w:rPr>
          <w:b/>
          <w:sz w:val="32"/>
          <w:szCs w:val="32"/>
        </w:rPr>
        <w:t xml:space="preserve">第一条  </w:t>
      </w:r>
      <w:r>
        <w:rPr>
          <w:rFonts w:hint="eastAsia" w:ascii="仿宋_GB2312" w:hAnsi="仿宋_GB2312" w:cs="仿宋_GB2312"/>
          <w:sz w:val="32"/>
          <w:szCs w:val="32"/>
        </w:rPr>
        <w:t>为进一步提高通过银行进行国际收支统计申报（以下简称间接申报）的及时性和完整性，有效解决涉外收入逾期未申报问题，根据《国家外汇管理局关于印发〈通过银行进行国际收支统计申报业务实施细则〉的通知》（汇发〔2022〕22号）等相关规定，制定本制度。</w:t>
      </w:r>
    </w:p>
    <w:p>
      <w:pPr>
        <w:pStyle w:val="5"/>
        <w:spacing w:line="570" w:lineRule="exact"/>
        <w:ind w:firstLine="643"/>
        <w:rPr>
          <w:rFonts w:ascii="仿宋_GB2312" w:hAnsi="仿宋_GB2312" w:cs="仿宋_GB2312"/>
          <w:sz w:val="32"/>
          <w:szCs w:val="32"/>
        </w:rPr>
      </w:pPr>
      <w:r>
        <w:rPr>
          <w:b/>
          <w:bCs/>
          <w:sz w:val="32"/>
          <w:szCs w:val="32"/>
        </w:rPr>
        <w:t>第二条</w:t>
      </w:r>
      <w:r>
        <w:rPr>
          <w:sz w:val="32"/>
          <w:szCs w:val="32"/>
        </w:rPr>
        <w:t xml:space="preserve">  </w:t>
      </w:r>
      <w:r>
        <w:rPr>
          <w:rFonts w:ascii="仿宋_GB2312" w:hAnsi="仿宋_GB2312" w:cs="仿宋_GB2312"/>
          <w:sz w:val="32"/>
          <w:szCs w:val="32"/>
        </w:rPr>
        <w:t>本制度适用于国家外汇管理局</w:t>
      </w:r>
      <w:r>
        <w:rPr>
          <w:rFonts w:hint="eastAsia" w:ascii="仿宋_GB2312" w:hAnsi="仿宋_GB2312" w:cs="仿宋_GB2312"/>
          <w:sz w:val="32"/>
          <w:szCs w:val="32"/>
        </w:rPr>
        <w:t>海南省分局</w:t>
      </w:r>
      <w:r>
        <w:rPr>
          <w:rFonts w:ascii="仿宋_GB2312" w:hAnsi="仿宋_GB2312" w:cs="仿宋_GB2312"/>
          <w:sz w:val="32"/>
          <w:szCs w:val="32"/>
        </w:rPr>
        <w:t>（以下简称外汇局</w:t>
      </w:r>
      <w:r>
        <w:rPr>
          <w:rFonts w:hint="eastAsia" w:ascii="仿宋_GB2312" w:hAnsi="仿宋_GB2312" w:cs="仿宋_GB2312"/>
          <w:sz w:val="32"/>
          <w:szCs w:val="32"/>
        </w:rPr>
        <w:t>海南省分局</w:t>
      </w:r>
      <w:r>
        <w:rPr>
          <w:rFonts w:ascii="仿宋_GB2312" w:hAnsi="仿宋_GB2312" w:cs="仿宋_GB2312"/>
          <w:sz w:val="32"/>
          <w:szCs w:val="32"/>
        </w:rPr>
        <w:t>）、辖内</w:t>
      </w:r>
      <w:r>
        <w:rPr>
          <w:rFonts w:hint="eastAsia" w:ascii="仿宋_GB2312" w:hAnsi="仿宋_GB2312" w:cs="仿宋_GB2312"/>
          <w:sz w:val="32"/>
          <w:szCs w:val="32"/>
        </w:rPr>
        <w:t>各地市分局和营业管理部</w:t>
      </w:r>
      <w:r>
        <w:rPr>
          <w:rFonts w:ascii="仿宋_GB2312" w:hAnsi="仿宋_GB2312" w:cs="仿宋_GB2312"/>
          <w:sz w:val="32"/>
          <w:szCs w:val="32"/>
        </w:rPr>
        <w:t>、辖内办理涉外收入业务的银行（以下简称经办银行）和通过经办银行办理涉外收入业务的机构申报主体（以下简称机构申报主体）。</w:t>
      </w:r>
    </w:p>
    <w:p>
      <w:pPr>
        <w:pStyle w:val="5"/>
        <w:spacing w:line="570" w:lineRule="exact"/>
        <w:ind w:firstLine="643"/>
        <w:rPr>
          <w:rFonts w:ascii="仿宋_GB2312" w:hAnsi="仿宋_GB2312" w:cs="仿宋_GB2312"/>
          <w:sz w:val="32"/>
          <w:szCs w:val="32"/>
        </w:rPr>
      </w:pPr>
      <w:r>
        <w:rPr>
          <w:b/>
          <w:bCs/>
          <w:sz w:val="32"/>
          <w:szCs w:val="32"/>
        </w:rPr>
        <w:t xml:space="preserve">第三条  </w:t>
      </w:r>
      <w:r>
        <w:rPr>
          <w:rFonts w:ascii="仿宋_GB2312" w:hAnsi="仿宋_GB2312" w:cs="仿宋_GB2312"/>
          <w:sz w:val="32"/>
          <w:szCs w:val="32"/>
        </w:rPr>
        <w:t>外汇局</w:t>
      </w:r>
      <w:r>
        <w:rPr>
          <w:rFonts w:hint="eastAsia" w:ascii="仿宋_GB2312" w:hAnsi="仿宋_GB2312" w:cs="仿宋_GB2312"/>
          <w:sz w:val="32"/>
          <w:szCs w:val="32"/>
        </w:rPr>
        <w:t>海南省分局</w:t>
      </w:r>
      <w:r>
        <w:rPr>
          <w:rFonts w:ascii="仿宋_GB2312" w:hAnsi="仿宋_GB2312" w:cs="仿宋_GB2312"/>
          <w:sz w:val="32"/>
          <w:szCs w:val="32"/>
        </w:rPr>
        <w:t>负责辖内“不申报、不解付”特殊处理措施（以下简称特殊处理措施）的统一管理。外汇局</w:t>
      </w:r>
      <w:r>
        <w:rPr>
          <w:rFonts w:hint="eastAsia" w:ascii="仿宋_GB2312" w:hAnsi="仿宋_GB2312" w:cs="仿宋_GB2312"/>
          <w:sz w:val="32"/>
          <w:szCs w:val="32"/>
        </w:rPr>
        <w:t>海南省分局、</w:t>
      </w:r>
      <w:r>
        <w:rPr>
          <w:rFonts w:ascii="仿宋_GB2312" w:hAnsi="仿宋_GB2312" w:cs="仿宋_GB2312"/>
          <w:sz w:val="32"/>
          <w:szCs w:val="32"/>
        </w:rPr>
        <w:t>辖内</w:t>
      </w:r>
      <w:r>
        <w:rPr>
          <w:rFonts w:hint="eastAsia" w:ascii="仿宋_GB2312" w:hAnsi="仿宋_GB2312" w:cs="仿宋_GB2312"/>
          <w:sz w:val="32"/>
          <w:szCs w:val="32"/>
        </w:rPr>
        <w:t>各地市分局和营业管理部</w:t>
      </w:r>
      <w:r>
        <w:rPr>
          <w:rFonts w:ascii="仿宋_GB2312" w:hAnsi="仿宋_GB2312" w:cs="仿宋_GB2312"/>
          <w:sz w:val="32"/>
          <w:szCs w:val="32"/>
        </w:rPr>
        <w:t>负责指导和监督经办银行做好特殊处理措施具体工作。各经办银行履行告知、审核、催报和实施特殊处理措施相关职责。</w:t>
      </w:r>
    </w:p>
    <w:p>
      <w:pPr>
        <w:pStyle w:val="4"/>
        <w:spacing w:line="570" w:lineRule="exact"/>
        <w:jc w:val="center"/>
        <w:rPr>
          <w:rFonts w:eastAsia="黑体"/>
          <w:bCs/>
          <w:sz w:val="32"/>
          <w:szCs w:val="32"/>
        </w:rPr>
      </w:pPr>
      <w:r>
        <w:rPr>
          <w:rFonts w:eastAsia="黑体"/>
          <w:bCs/>
          <w:sz w:val="32"/>
          <w:szCs w:val="32"/>
        </w:rPr>
        <w:t>第二章</w:t>
      </w:r>
      <w:r>
        <w:rPr>
          <w:rFonts w:hint="eastAsia" w:eastAsia="黑体"/>
          <w:bCs/>
          <w:sz w:val="32"/>
          <w:szCs w:val="32"/>
        </w:rPr>
        <w:t xml:space="preserve"> </w:t>
      </w:r>
      <w:r>
        <w:rPr>
          <w:rFonts w:eastAsia="黑体"/>
          <w:bCs/>
          <w:sz w:val="32"/>
          <w:szCs w:val="32"/>
        </w:rPr>
        <w:t xml:space="preserve"> 特殊处理措施执行标准</w:t>
      </w:r>
    </w:p>
    <w:p>
      <w:pPr>
        <w:pStyle w:val="5"/>
        <w:spacing w:line="570" w:lineRule="exact"/>
        <w:ind w:firstLine="643"/>
        <w:rPr>
          <w:rFonts w:ascii="仿宋_GB2312" w:hAnsi="仿宋_GB2312" w:cs="仿宋_GB2312"/>
          <w:sz w:val="32"/>
          <w:szCs w:val="32"/>
        </w:rPr>
      </w:pPr>
      <w:r>
        <w:rPr>
          <w:b/>
          <w:bCs/>
          <w:sz w:val="32"/>
          <w:szCs w:val="32"/>
        </w:rPr>
        <w:t>第四条</w:t>
      </w:r>
      <w:r>
        <w:rPr>
          <w:sz w:val="32"/>
          <w:szCs w:val="32"/>
        </w:rPr>
        <w:t xml:space="preserve">  </w:t>
      </w:r>
      <w:r>
        <w:rPr>
          <w:rFonts w:ascii="仿宋_GB2312" w:hAnsi="仿宋_GB2312" w:cs="仿宋_GB2312"/>
          <w:sz w:val="32"/>
          <w:szCs w:val="32"/>
        </w:rPr>
        <w:t>机构申报主体因自身原因，未在解付银行/结汇中转行为其涉外收入款项解付/结汇后的五个工作日内按规定办理涉外收入申报且情节严重的，外汇局</w:t>
      </w:r>
      <w:r>
        <w:rPr>
          <w:rFonts w:hint="eastAsia" w:ascii="仿宋_GB2312" w:hAnsi="仿宋_GB2312" w:cs="仿宋_GB2312"/>
          <w:sz w:val="32"/>
          <w:szCs w:val="32"/>
        </w:rPr>
        <w:t>海南省分局</w:t>
      </w:r>
      <w:r>
        <w:rPr>
          <w:rFonts w:ascii="仿宋_GB2312" w:hAnsi="仿宋_GB2312" w:cs="仿宋_GB2312"/>
          <w:sz w:val="32"/>
          <w:szCs w:val="32"/>
        </w:rPr>
        <w:t>应对其实行特殊处理措施。</w:t>
      </w:r>
    </w:p>
    <w:p>
      <w:pPr>
        <w:pStyle w:val="5"/>
        <w:spacing w:line="570" w:lineRule="exact"/>
        <w:ind w:firstLine="643"/>
        <w:rPr>
          <w:rFonts w:ascii="仿宋_GB2312" w:hAnsi="仿宋_GB2312" w:cs="仿宋_GB2312"/>
          <w:sz w:val="32"/>
          <w:szCs w:val="32"/>
        </w:rPr>
      </w:pPr>
      <w:r>
        <w:rPr>
          <w:b/>
          <w:bCs/>
          <w:sz w:val="32"/>
          <w:szCs w:val="32"/>
        </w:rPr>
        <w:t>第五条</w:t>
      </w:r>
      <w:r>
        <w:rPr>
          <w:sz w:val="32"/>
          <w:szCs w:val="32"/>
        </w:rPr>
        <w:t xml:space="preserve">  </w:t>
      </w:r>
      <w:r>
        <w:rPr>
          <w:rFonts w:ascii="仿宋_GB2312" w:hAnsi="仿宋_GB2312" w:cs="仿宋_GB2312"/>
          <w:sz w:val="32"/>
          <w:szCs w:val="32"/>
        </w:rPr>
        <w:t>机构申报主体逾期未申报出现以下情形之一的，视为情节严重：</w:t>
      </w:r>
    </w:p>
    <w:p>
      <w:pPr>
        <w:pStyle w:val="5"/>
        <w:spacing w:line="570" w:lineRule="exact"/>
        <w:ind w:firstLine="640"/>
        <w:rPr>
          <w:rFonts w:ascii="仿宋_GB2312" w:hAnsi="仿宋_GB2312" w:cs="仿宋_GB2312"/>
          <w:sz w:val="32"/>
          <w:szCs w:val="32"/>
        </w:rPr>
      </w:pPr>
      <w:r>
        <w:rPr>
          <w:rFonts w:ascii="仿宋_GB2312" w:hAnsi="仿宋_GB2312" w:cs="仿宋_GB2312"/>
          <w:sz w:val="32"/>
          <w:szCs w:val="32"/>
        </w:rPr>
        <w:t>（一）单笔逾期未申报金额等值</w:t>
      </w:r>
      <w:r>
        <w:rPr>
          <w:rFonts w:hint="eastAsia" w:ascii="仿宋_GB2312" w:hAnsi="仿宋_GB2312" w:cs="仿宋_GB2312"/>
          <w:sz w:val="32"/>
          <w:szCs w:val="32"/>
        </w:rPr>
        <w:t>1</w:t>
      </w:r>
      <w:r>
        <w:rPr>
          <w:rFonts w:ascii="仿宋_GB2312" w:hAnsi="仿宋_GB2312" w:cs="仿宋_GB2312"/>
          <w:sz w:val="32"/>
          <w:szCs w:val="32"/>
        </w:rPr>
        <w:t>00万美元（含）以上；</w:t>
      </w:r>
    </w:p>
    <w:p>
      <w:pPr>
        <w:pStyle w:val="5"/>
        <w:spacing w:line="570" w:lineRule="exact"/>
        <w:ind w:firstLine="640"/>
        <w:rPr>
          <w:rFonts w:ascii="仿宋_GB2312" w:hAnsi="仿宋_GB2312" w:cs="仿宋_GB2312"/>
          <w:sz w:val="32"/>
          <w:szCs w:val="32"/>
        </w:rPr>
      </w:pPr>
      <w:r>
        <w:rPr>
          <w:rFonts w:ascii="仿宋_GB2312" w:hAnsi="仿宋_GB2312" w:cs="仿宋_GB2312"/>
          <w:sz w:val="32"/>
          <w:szCs w:val="32"/>
        </w:rPr>
        <w:t>（二）单笔逾期未申报时间15个工作日（含）以上；</w:t>
      </w:r>
    </w:p>
    <w:p>
      <w:pPr>
        <w:pStyle w:val="5"/>
        <w:spacing w:line="570" w:lineRule="exact"/>
        <w:ind w:firstLine="640"/>
        <w:rPr>
          <w:rFonts w:ascii="仿宋_GB2312" w:hAnsi="仿宋_GB2312" w:cs="仿宋_GB2312"/>
          <w:sz w:val="32"/>
          <w:szCs w:val="32"/>
        </w:rPr>
      </w:pPr>
      <w:r>
        <w:rPr>
          <w:rFonts w:ascii="仿宋_GB2312" w:hAnsi="仿宋_GB2312" w:cs="仿宋_GB2312"/>
          <w:sz w:val="32"/>
          <w:szCs w:val="32"/>
        </w:rPr>
        <w:t>（三）年累计逾期未申报金额等值</w:t>
      </w:r>
      <w:r>
        <w:rPr>
          <w:rFonts w:hint="eastAsia" w:ascii="仿宋_GB2312" w:hAnsi="仿宋_GB2312" w:cs="仿宋_GB2312"/>
          <w:sz w:val="32"/>
          <w:szCs w:val="32"/>
        </w:rPr>
        <w:t>10</w:t>
      </w:r>
      <w:r>
        <w:rPr>
          <w:rFonts w:ascii="仿宋_GB2312" w:hAnsi="仿宋_GB2312" w:cs="仿宋_GB2312"/>
          <w:sz w:val="32"/>
          <w:szCs w:val="32"/>
        </w:rPr>
        <w:t>00万美元（含）以上；</w:t>
      </w:r>
    </w:p>
    <w:p>
      <w:pPr>
        <w:pStyle w:val="5"/>
        <w:spacing w:line="570" w:lineRule="exact"/>
        <w:ind w:firstLine="640"/>
        <w:rPr>
          <w:rFonts w:ascii="仿宋_GB2312" w:hAnsi="仿宋_GB2312" w:cs="仿宋_GB2312"/>
          <w:sz w:val="32"/>
          <w:szCs w:val="32"/>
        </w:rPr>
      </w:pPr>
      <w:r>
        <w:rPr>
          <w:rFonts w:ascii="仿宋_GB2312" w:hAnsi="仿宋_GB2312" w:cs="仿宋_GB2312"/>
          <w:sz w:val="32"/>
          <w:szCs w:val="32"/>
        </w:rPr>
        <w:t>（四）年累计逾期未申报10笔（含）以上。</w:t>
      </w:r>
    </w:p>
    <w:p>
      <w:pPr>
        <w:pStyle w:val="4"/>
        <w:spacing w:line="570" w:lineRule="exact"/>
        <w:jc w:val="center"/>
        <w:rPr>
          <w:bCs/>
          <w:sz w:val="32"/>
          <w:szCs w:val="32"/>
        </w:rPr>
      </w:pPr>
      <w:r>
        <w:rPr>
          <w:rFonts w:eastAsia="黑体"/>
          <w:bCs/>
          <w:sz w:val="32"/>
          <w:szCs w:val="32"/>
        </w:rPr>
        <w:t xml:space="preserve">第三章 </w:t>
      </w:r>
      <w:r>
        <w:rPr>
          <w:rFonts w:hint="eastAsia" w:eastAsia="黑体"/>
          <w:bCs/>
          <w:sz w:val="32"/>
          <w:szCs w:val="32"/>
        </w:rPr>
        <w:t xml:space="preserve"> </w:t>
      </w:r>
      <w:r>
        <w:rPr>
          <w:rFonts w:eastAsia="黑体"/>
          <w:bCs/>
          <w:sz w:val="32"/>
          <w:szCs w:val="32"/>
        </w:rPr>
        <w:t>特殊处理措施执行处理程序</w:t>
      </w:r>
    </w:p>
    <w:p>
      <w:pPr>
        <w:pStyle w:val="5"/>
        <w:spacing w:line="570" w:lineRule="exact"/>
        <w:ind w:firstLine="643"/>
        <w:rPr>
          <w:rFonts w:ascii="仿宋_GB2312" w:hAnsi="仿宋_GB2312" w:cs="仿宋_GB2312"/>
          <w:sz w:val="32"/>
          <w:szCs w:val="32"/>
        </w:rPr>
      </w:pPr>
      <w:r>
        <w:rPr>
          <w:b/>
          <w:bCs/>
          <w:sz w:val="32"/>
          <w:szCs w:val="32"/>
        </w:rPr>
        <w:t xml:space="preserve">第六条 </w:t>
      </w:r>
      <w:r>
        <w:rPr>
          <w:sz w:val="32"/>
          <w:szCs w:val="32"/>
        </w:rPr>
        <w:t xml:space="preserve"> </w:t>
      </w:r>
      <w:r>
        <w:rPr>
          <w:rFonts w:ascii="仿宋_GB2312" w:hAnsi="仿宋_GB2312" w:cs="仿宋_GB2312"/>
          <w:sz w:val="32"/>
          <w:szCs w:val="32"/>
        </w:rPr>
        <w:t>对机构申报主体执行特殊处理措施的处理程序如下：</w:t>
      </w:r>
    </w:p>
    <w:p>
      <w:pPr>
        <w:pStyle w:val="5"/>
        <w:spacing w:line="570" w:lineRule="exact"/>
        <w:ind w:firstLine="640"/>
        <w:rPr>
          <w:rFonts w:ascii="仿宋_GB2312" w:hAnsi="仿宋_GB2312" w:cs="仿宋_GB2312"/>
          <w:sz w:val="32"/>
          <w:szCs w:val="32"/>
        </w:rPr>
      </w:pPr>
      <w:r>
        <w:rPr>
          <w:rFonts w:ascii="仿宋_GB2312" w:hAnsi="仿宋_GB2312" w:cs="仿宋_GB2312"/>
          <w:sz w:val="32"/>
          <w:szCs w:val="32"/>
        </w:rPr>
        <w:t>（一）各经办银行应于月后10个工作日内，对截至上月末的机构申报主体涉外收入逾期未申报数据进行核查，如存在达到特殊处理措施执行标准的相关情形，应填制《机构申报主体涉外收入逾期未申报名单报送表》（以下简称《名单报送表》，见</w:t>
      </w:r>
      <w:r>
        <w:rPr>
          <w:rFonts w:hint="eastAsia" w:ascii="仿宋_GB2312" w:hAnsi="仿宋_GB2312" w:cs="仿宋_GB2312"/>
          <w:sz w:val="32"/>
          <w:szCs w:val="32"/>
        </w:rPr>
        <w:t>附件</w:t>
      </w:r>
      <w:r>
        <w:rPr>
          <w:rFonts w:ascii="仿宋_GB2312" w:hAnsi="仿宋_GB2312" w:cs="仿宋_GB2312"/>
          <w:sz w:val="32"/>
          <w:szCs w:val="32"/>
        </w:rPr>
        <w:t>1）</w:t>
      </w:r>
      <w:r>
        <w:rPr>
          <w:rFonts w:hint="eastAsia" w:ascii="仿宋_GB2312" w:hAnsi="仿宋_GB2312" w:cs="仿宋_GB2312"/>
          <w:sz w:val="32"/>
          <w:szCs w:val="32"/>
        </w:rPr>
        <w:t>，</w:t>
      </w:r>
      <w:r>
        <w:rPr>
          <w:rFonts w:ascii="仿宋_GB2312" w:hAnsi="仿宋_GB2312" w:cs="仿宋_GB2312"/>
          <w:sz w:val="32"/>
          <w:szCs w:val="32"/>
        </w:rPr>
        <w:t>并报送至</w:t>
      </w:r>
      <w:r>
        <w:rPr>
          <w:rFonts w:hint="eastAsia" w:ascii="仿宋_GB2312" w:hAnsi="仿宋_GB2312" w:cs="仿宋_GB2312"/>
          <w:sz w:val="32"/>
          <w:szCs w:val="32"/>
        </w:rPr>
        <w:t>所在地外汇局</w:t>
      </w:r>
      <w:r>
        <w:rPr>
          <w:rFonts w:ascii="仿宋_GB2312" w:hAnsi="仿宋_GB2312" w:cs="仿宋_GB2312"/>
          <w:sz w:val="32"/>
          <w:szCs w:val="32"/>
        </w:rPr>
        <w:t>。外汇局</w:t>
      </w:r>
      <w:r>
        <w:rPr>
          <w:rFonts w:hint="eastAsia" w:ascii="仿宋_GB2312" w:hAnsi="仿宋_GB2312" w:cs="仿宋_GB2312"/>
          <w:sz w:val="32"/>
          <w:szCs w:val="32"/>
        </w:rPr>
        <w:t>海南省分局、各地市分局和营业管理部</w:t>
      </w:r>
      <w:r>
        <w:rPr>
          <w:rFonts w:ascii="仿宋_GB2312" w:hAnsi="仿宋_GB2312" w:cs="仿宋_GB2312"/>
          <w:sz w:val="32"/>
          <w:szCs w:val="32"/>
        </w:rPr>
        <w:t>按照属地管理原则，研究确定本辖区被执行特殊处理措施的机构申报主体名单，</w:t>
      </w:r>
      <w:r>
        <w:rPr>
          <w:rFonts w:hint="eastAsia" w:ascii="仿宋_GB2312" w:hAnsi="仿宋_GB2312" w:cs="仿宋_GB2312"/>
          <w:sz w:val="32"/>
          <w:szCs w:val="32"/>
        </w:rPr>
        <w:t>各地市分局和营业管理部</w:t>
      </w:r>
      <w:r>
        <w:rPr>
          <w:rFonts w:ascii="仿宋_GB2312" w:hAnsi="仿宋_GB2312" w:cs="仿宋_GB2312"/>
          <w:sz w:val="32"/>
          <w:szCs w:val="32"/>
        </w:rPr>
        <w:t>于月后12个工作日内汇总《名单报送表》报送至外汇局</w:t>
      </w:r>
      <w:r>
        <w:rPr>
          <w:rFonts w:hint="eastAsia" w:ascii="仿宋_GB2312" w:hAnsi="仿宋_GB2312" w:cs="仿宋_GB2312"/>
          <w:sz w:val="32"/>
          <w:szCs w:val="32"/>
        </w:rPr>
        <w:t>海南省分局</w:t>
      </w:r>
      <w:r>
        <w:rPr>
          <w:rFonts w:ascii="仿宋_GB2312" w:hAnsi="仿宋_GB2312" w:cs="仿宋_GB2312"/>
          <w:sz w:val="32"/>
          <w:szCs w:val="32"/>
        </w:rPr>
        <w:t>。</w:t>
      </w:r>
    </w:p>
    <w:p>
      <w:pPr>
        <w:pStyle w:val="5"/>
        <w:spacing w:line="570" w:lineRule="exact"/>
        <w:ind w:firstLine="640"/>
        <w:rPr>
          <w:rFonts w:ascii="仿宋_GB2312" w:hAnsi="仿宋_GB2312" w:cs="仿宋_GB2312"/>
          <w:sz w:val="32"/>
          <w:szCs w:val="32"/>
        </w:rPr>
      </w:pPr>
      <w:r>
        <w:rPr>
          <w:rFonts w:ascii="仿宋_GB2312" w:hAnsi="仿宋_GB2312" w:cs="仿宋_GB2312"/>
          <w:sz w:val="32"/>
          <w:szCs w:val="32"/>
        </w:rPr>
        <w:t>（二）外汇局</w:t>
      </w:r>
      <w:r>
        <w:rPr>
          <w:rFonts w:hint="eastAsia" w:ascii="仿宋_GB2312" w:hAnsi="仿宋_GB2312" w:cs="仿宋_GB2312"/>
          <w:sz w:val="32"/>
          <w:szCs w:val="32"/>
        </w:rPr>
        <w:t>海南省分局</w:t>
      </w:r>
      <w:r>
        <w:rPr>
          <w:rFonts w:ascii="仿宋_GB2312" w:hAnsi="仿宋_GB2312" w:cs="仿宋_GB2312"/>
          <w:sz w:val="32"/>
          <w:szCs w:val="32"/>
        </w:rPr>
        <w:t>于每月15个工作日内汇总并审核</w:t>
      </w:r>
      <w:r>
        <w:rPr>
          <w:rFonts w:hint="eastAsia" w:ascii="仿宋_GB2312" w:hAnsi="仿宋_GB2312" w:cs="仿宋_GB2312"/>
          <w:sz w:val="32"/>
          <w:szCs w:val="32"/>
        </w:rPr>
        <w:t>海南</w:t>
      </w:r>
      <w:r>
        <w:rPr>
          <w:rFonts w:ascii="仿宋_GB2312" w:hAnsi="仿宋_GB2312" w:cs="仿宋_GB2312"/>
          <w:sz w:val="32"/>
          <w:szCs w:val="32"/>
        </w:rPr>
        <w:t>全辖《名单报送表》，如确存在需要执行特殊处理措施的机构申报主体，以书面形式发布《国家外汇管理局</w:t>
      </w:r>
      <w:r>
        <w:rPr>
          <w:rFonts w:hint="eastAsia" w:ascii="仿宋_GB2312" w:hAnsi="仿宋_GB2312" w:cs="仿宋_GB2312"/>
          <w:sz w:val="32"/>
          <w:szCs w:val="32"/>
        </w:rPr>
        <w:t>海南省分局</w:t>
      </w:r>
      <w:r>
        <w:rPr>
          <w:rFonts w:ascii="仿宋_GB2312" w:hAnsi="仿宋_GB2312" w:cs="仿宋_GB2312"/>
          <w:sz w:val="32"/>
          <w:szCs w:val="32"/>
        </w:rPr>
        <w:t>关于实行涉外收入“不申报、不解付”特殊处理措施的通知》（以下简称《通知》，见</w:t>
      </w:r>
      <w:r>
        <w:rPr>
          <w:rFonts w:hint="eastAsia" w:ascii="仿宋_GB2312" w:hAnsi="仿宋_GB2312" w:cs="仿宋_GB2312"/>
          <w:sz w:val="32"/>
          <w:szCs w:val="32"/>
        </w:rPr>
        <w:t>附件</w:t>
      </w:r>
      <w:r>
        <w:rPr>
          <w:rFonts w:ascii="仿宋_GB2312" w:hAnsi="仿宋_GB2312" w:cs="仿宋_GB2312"/>
          <w:sz w:val="32"/>
          <w:szCs w:val="32"/>
        </w:rPr>
        <w:t>2）。外汇局</w:t>
      </w:r>
      <w:r>
        <w:rPr>
          <w:rFonts w:hint="eastAsia" w:ascii="仿宋_GB2312" w:hAnsi="仿宋_GB2312" w:cs="仿宋_GB2312"/>
          <w:sz w:val="32"/>
          <w:szCs w:val="32"/>
        </w:rPr>
        <w:t>海南省分局、</w:t>
      </w:r>
      <w:r>
        <w:rPr>
          <w:rFonts w:ascii="仿宋_GB2312" w:hAnsi="仿宋_GB2312" w:cs="仿宋_GB2312"/>
          <w:sz w:val="32"/>
          <w:szCs w:val="32"/>
        </w:rPr>
        <w:t>各</w:t>
      </w:r>
      <w:r>
        <w:rPr>
          <w:rFonts w:hint="eastAsia" w:ascii="仿宋_GB2312" w:hAnsi="仿宋_GB2312" w:cs="仿宋_GB2312"/>
          <w:sz w:val="32"/>
          <w:szCs w:val="32"/>
        </w:rPr>
        <w:t>地</w:t>
      </w:r>
      <w:r>
        <w:rPr>
          <w:rFonts w:ascii="仿宋_GB2312" w:hAnsi="仿宋_GB2312" w:cs="仿宋_GB2312"/>
          <w:sz w:val="32"/>
          <w:szCs w:val="32"/>
        </w:rPr>
        <w:t>市分局和营业管理部按照属地管理原则通知经办银行。</w:t>
      </w:r>
    </w:p>
    <w:p>
      <w:pPr>
        <w:pStyle w:val="5"/>
        <w:spacing w:line="570" w:lineRule="exact"/>
        <w:ind w:firstLine="640"/>
        <w:rPr>
          <w:rFonts w:ascii="仿宋_GB2312" w:hAnsi="仿宋_GB2312" w:cs="仿宋_GB2312"/>
          <w:sz w:val="32"/>
          <w:szCs w:val="32"/>
        </w:rPr>
      </w:pPr>
      <w:r>
        <w:rPr>
          <w:rFonts w:ascii="仿宋_GB2312" w:hAnsi="仿宋_GB2312" w:cs="仿宋_GB2312"/>
          <w:sz w:val="32"/>
          <w:szCs w:val="32"/>
        </w:rPr>
        <w:t>（三）被执行特殊处理措施期间，经办银行应当督促有关机构申报主体首先逐笔补报其此前未按期申报的涉外收入款项，并通知其以纸质申报方式完成被执行特殊处理措施期间新收</w:t>
      </w:r>
      <w:r>
        <w:rPr>
          <w:rFonts w:hint="eastAsia" w:ascii="仿宋_GB2312" w:hAnsi="仿宋_GB2312" w:cs="仿宋_GB2312"/>
          <w:sz w:val="32"/>
          <w:szCs w:val="32"/>
        </w:rPr>
        <w:t>涉外收入</w:t>
      </w:r>
      <w:r>
        <w:rPr>
          <w:rFonts w:ascii="仿宋_GB2312" w:hAnsi="仿宋_GB2312" w:cs="仿宋_GB2312"/>
          <w:sz w:val="32"/>
          <w:szCs w:val="32"/>
        </w:rPr>
        <w:t>款项的申报。</w:t>
      </w:r>
    </w:p>
    <w:p>
      <w:pPr>
        <w:pStyle w:val="5"/>
        <w:spacing w:line="570" w:lineRule="exact"/>
        <w:ind w:firstLine="640"/>
        <w:rPr>
          <w:rFonts w:ascii="仿宋_GB2312" w:hAnsi="仿宋_GB2312" w:cs="仿宋_GB2312"/>
          <w:sz w:val="32"/>
          <w:szCs w:val="32"/>
        </w:rPr>
      </w:pPr>
      <w:r>
        <w:rPr>
          <w:rFonts w:ascii="仿宋_GB2312" w:hAnsi="仿宋_GB2312" w:cs="仿宋_GB2312"/>
          <w:sz w:val="32"/>
          <w:szCs w:val="32"/>
        </w:rPr>
        <w:t>（四）被执行特殊处理措施期间，机构申报主体应通过纸质申报、电子凭证申报或网上申报方式补报此前未按期申报的涉外收入款项</w:t>
      </w:r>
      <w:r>
        <w:rPr>
          <w:rFonts w:hint="eastAsia" w:ascii="仿宋_GB2312" w:hAnsi="仿宋_GB2312" w:cs="仿宋_GB2312"/>
          <w:sz w:val="32"/>
          <w:szCs w:val="32"/>
        </w:rPr>
        <w:t>，并</w:t>
      </w:r>
      <w:r>
        <w:rPr>
          <w:rFonts w:ascii="仿宋_GB2312" w:hAnsi="仿宋_GB2312" w:cs="仿宋_GB2312"/>
          <w:sz w:val="32"/>
          <w:szCs w:val="32"/>
        </w:rPr>
        <w:t>以纸质申报方式完成被执行特殊处理措施期间新收</w:t>
      </w:r>
      <w:r>
        <w:rPr>
          <w:rFonts w:hint="eastAsia" w:ascii="仿宋_GB2312" w:hAnsi="仿宋_GB2312" w:cs="仿宋_GB2312"/>
          <w:sz w:val="32"/>
          <w:szCs w:val="32"/>
        </w:rPr>
        <w:t>涉外收入</w:t>
      </w:r>
      <w:r>
        <w:rPr>
          <w:rFonts w:ascii="仿宋_GB2312" w:hAnsi="仿宋_GB2312" w:cs="仿宋_GB2312"/>
          <w:sz w:val="32"/>
          <w:szCs w:val="32"/>
        </w:rPr>
        <w:t>款项的申报。机构申报主体履行补报义务后，应</w:t>
      </w:r>
      <w:r>
        <w:rPr>
          <w:rFonts w:hint="eastAsia" w:ascii="仿宋_GB2312" w:hAnsi="仿宋_GB2312" w:cs="仿宋_GB2312"/>
          <w:sz w:val="32"/>
          <w:szCs w:val="32"/>
        </w:rPr>
        <w:t>持经办银行出具的有关证明材料，</w:t>
      </w:r>
      <w:r>
        <w:rPr>
          <w:rFonts w:ascii="仿宋_GB2312" w:hAnsi="仿宋_GB2312" w:cs="仿宋_GB2312"/>
          <w:sz w:val="32"/>
          <w:szCs w:val="32"/>
        </w:rPr>
        <w:t>向外汇局</w:t>
      </w:r>
      <w:r>
        <w:rPr>
          <w:rFonts w:hint="eastAsia" w:ascii="仿宋_GB2312" w:hAnsi="仿宋_GB2312" w:cs="仿宋_GB2312"/>
          <w:sz w:val="32"/>
          <w:szCs w:val="32"/>
        </w:rPr>
        <w:t>海南省分局</w:t>
      </w:r>
      <w:r>
        <w:rPr>
          <w:rFonts w:ascii="仿宋_GB2312" w:hAnsi="仿宋_GB2312" w:cs="仿宋_GB2312"/>
          <w:sz w:val="32"/>
          <w:szCs w:val="32"/>
        </w:rPr>
        <w:t>申请签发《国家外汇管理局</w:t>
      </w:r>
      <w:r>
        <w:rPr>
          <w:rFonts w:hint="eastAsia" w:ascii="仿宋_GB2312" w:hAnsi="仿宋_GB2312" w:cs="仿宋_GB2312"/>
          <w:sz w:val="32"/>
          <w:szCs w:val="32"/>
        </w:rPr>
        <w:t>海南省分局</w:t>
      </w:r>
      <w:r>
        <w:rPr>
          <w:rFonts w:ascii="仿宋_GB2312" w:hAnsi="仿宋_GB2312" w:cs="仿宋_GB2312"/>
          <w:sz w:val="32"/>
          <w:szCs w:val="32"/>
        </w:rPr>
        <w:t>国际收支统计申报补报确认书》（以下简称《补报确认书》，见</w:t>
      </w:r>
      <w:r>
        <w:rPr>
          <w:rFonts w:hint="eastAsia" w:ascii="仿宋_GB2312" w:hAnsi="仿宋_GB2312" w:cs="仿宋_GB2312"/>
          <w:sz w:val="32"/>
          <w:szCs w:val="32"/>
        </w:rPr>
        <w:t>附件</w:t>
      </w:r>
      <w:r>
        <w:rPr>
          <w:rFonts w:ascii="仿宋_GB2312" w:hAnsi="仿宋_GB2312" w:cs="仿宋_GB2312"/>
          <w:sz w:val="32"/>
          <w:szCs w:val="32"/>
        </w:rPr>
        <w:t>3）。机构申报主体应凭外汇局</w:t>
      </w:r>
      <w:r>
        <w:rPr>
          <w:rFonts w:hint="eastAsia" w:ascii="仿宋_GB2312" w:hAnsi="仿宋_GB2312" w:cs="仿宋_GB2312"/>
          <w:sz w:val="32"/>
          <w:szCs w:val="32"/>
        </w:rPr>
        <w:t>海南省分局</w:t>
      </w:r>
      <w:r>
        <w:rPr>
          <w:rFonts w:ascii="仿宋_GB2312" w:hAnsi="仿宋_GB2312" w:cs="仿宋_GB2312"/>
          <w:sz w:val="32"/>
          <w:szCs w:val="32"/>
        </w:rPr>
        <w:t>出具的《补报确认书》前往银行办理新收涉外收入款项的解付手续。经办银行审核无误后，方可为其办理新收涉外收入款项的解付手续。</w:t>
      </w:r>
    </w:p>
    <w:p>
      <w:pPr>
        <w:pStyle w:val="5"/>
        <w:spacing w:line="570" w:lineRule="exact"/>
        <w:ind w:firstLine="640"/>
        <w:rPr>
          <w:rFonts w:ascii="仿宋_GB2312" w:hAnsi="仿宋_GB2312" w:cs="仿宋_GB2312"/>
          <w:sz w:val="32"/>
          <w:szCs w:val="32"/>
        </w:rPr>
      </w:pPr>
      <w:r>
        <w:rPr>
          <w:rFonts w:ascii="仿宋_GB2312" w:hAnsi="仿宋_GB2312" w:cs="仿宋_GB2312"/>
          <w:sz w:val="32"/>
          <w:szCs w:val="32"/>
        </w:rPr>
        <w:t>（五）外汇局</w:t>
      </w:r>
      <w:r>
        <w:rPr>
          <w:rFonts w:hint="eastAsia" w:ascii="仿宋_GB2312" w:hAnsi="仿宋_GB2312" w:cs="仿宋_GB2312"/>
          <w:sz w:val="32"/>
          <w:szCs w:val="32"/>
        </w:rPr>
        <w:t>海南省分局</w:t>
      </w:r>
      <w:r>
        <w:rPr>
          <w:rFonts w:ascii="仿宋_GB2312" w:hAnsi="仿宋_GB2312" w:cs="仿宋_GB2312"/>
          <w:sz w:val="32"/>
          <w:szCs w:val="32"/>
        </w:rPr>
        <w:t>在机构申报主体特殊处理措施期满，并确认该机构申报主体已补报未按期申报的涉外收入款项后，将以书面形式发布《国家外汇管理局</w:t>
      </w:r>
      <w:r>
        <w:rPr>
          <w:rFonts w:hint="eastAsia" w:ascii="仿宋_GB2312" w:hAnsi="仿宋_GB2312" w:cs="仿宋_GB2312"/>
          <w:sz w:val="32"/>
          <w:szCs w:val="32"/>
        </w:rPr>
        <w:t>海南省分局</w:t>
      </w:r>
      <w:r>
        <w:rPr>
          <w:rFonts w:ascii="仿宋_GB2312" w:hAnsi="仿宋_GB2312" w:cs="仿宋_GB2312"/>
          <w:sz w:val="32"/>
          <w:szCs w:val="32"/>
        </w:rPr>
        <w:t>关于解除</w:t>
      </w:r>
      <w:r>
        <w:rPr>
          <w:rFonts w:hint="eastAsia" w:ascii="仿宋_GB2312" w:hAnsi="仿宋_GB2312" w:cs="仿宋_GB2312"/>
          <w:sz w:val="32"/>
          <w:szCs w:val="32"/>
        </w:rPr>
        <w:t>涉外收入</w:t>
      </w:r>
      <w:r>
        <w:rPr>
          <w:rFonts w:ascii="仿宋_GB2312" w:hAnsi="仿宋_GB2312" w:cs="仿宋_GB2312"/>
          <w:sz w:val="32"/>
          <w:szCs w:val="32"/>
        </w:rPr>
        <w:t>“不申报、不解付”特殊处理措施的通知》（见</w:t>
      </w:r>
      <w:r>
        <w:rPr>
          <w:rFonts w:hint="eastAsia" w:ascii="仿宋_GB2312" w:hAnsi="仿宋_GB2312" w:cs="仿宋_GB2312"/>
          <w:sz w:val="32"/>
          <w:szCs w:val="32"/>
        </w:rPr>
        <w:t>附件</w:t>
      </w:r>
      <w:r>
        <w:rPr>
          <w:rFonts w:ascii="仿宋_GB2312" w:hAnsi="仿宋_GB2312" w:cs="仿宋_GB2312"/>
          <w:sz w:val="32"/>
          <w:szCs w:val="32"/>
        </w:rPr>
        <w:t>4），以解除对该机构申报主体实行的特殊处理措施。</w:t>
      </w:r>
    </w:p>
    <w:p>
      <w:pPr>
        <w:pStyle w:val="5"/>
        <w:spacing w:line="570" w:lineRule="exact"/>
        <w:ind w:firstLine="640"/>
        <w:rPr>
          <w:rFonts w:ascii="仿宋_GB2312" w:hAnsi="仿宋_GB2312" w:cs="仿宋_GB2312"/>
          <w:sz w:val="32"/>
          <w:szCs w:val="32"/>
        </w:rPr>
      </w:pPr>
      <w:r>
        <w:rPr>
          <w:rFonts w:ascii="仿宋_GB2312" w:hAnsi="仿宋_GB2312" w:cs="仿宋_GB2312"/>
          <w:sz w:val="32"/>
          <w:szCs w:val="32"/>
        </w:rPr>
        <w:t>（六）对机构申报主体的特殊处理措施执行期限自外汇局</w:t>
      </w:r>
      <w:r>
        <w:rPr>
          <w:rFonts w:hint="eastAsia" w:ascii="仿宋_GB2312" w:hAnsi="仿宋_GB2312" w:cs="仿宋_GB2312"/>
          <w:sz w:val="32"/>
          <w:szCs w:val="32"/>
        </w:rPr>
        <w:t>海南省分局</w:t>
      </w:r>
      <w:r>
        <w:rPr>
          <w:rFonts w:ascii="仿宋_GB2312" w:hAnsi="仿宋_GB2312" w:cs="仿宋_GB2312"/>
          <w:sz w:val="32"/>
          <w:szCs w:val="32"/>
        </w:rPr>
        <w:t>发布《通知》之日起至外汇局</w:t>
      </w:r>
      <w:r>
        <w:rPr>
          <w:rFonts w:hint="eastAsia" w:ascii="仿宋_GB2312" w:hAnsi="仿宋_GB2312" w:cs="仿宋_GB2312"/>
          <w:sz w:val="32"/>
          <w:szCs w:val="32"/>
        </w:rPr>
        <w:t>海南省分局</w:t>
      </w:r>
      <w:r>
        <w:rPr>
          <w:rFonts w:ascii="仿宋_GB2312" w:hAnsi="仿宋_GB2312" w:cs="仿宋_GB2312"/>
          <w:sz w:val="32"/>
          <w:szCs w:val="32"/>
        </w:rPr>
        <w:t>书面解除其特殊处理措施之日止，执行期限为90天（含）。如果特殊处理措施期限已满但该机构申报主体仍未补报此前未按期申报的涉外收入款项，</w:t>
      </w:r>
      <w:r>
        <w:rPr>
          <w:rFonts w:hint="eastAsia" w:ascii="仿宋_GB2312" w:hAnsi="仿宋_GB2312" w:cs="仿宋_GB2312"/>
          <w:sz w:val="32"/>
          <w:szCs w:val="32"/>
        </w:rPr>
        <w:t>所在地外汇局</w:t>
      </w:r>
      <w:r>
        <w:rPr>
          <w:rFonts w:ascii="仿宋_GB2312" w:hAnsi="仿宋_GB2312" w:cs="仿宋_GB2312"/>
          <w:sz w:val="32"/>
          <w:szCs w:val="32"/>
        </w:rPr>
        <w:t>可根据相关规定对其进行约谈、风险提示、移送检查部门等处理，</w:t>
      </w:r>
      <w:r>
        <w:rPr>
          <w:rFonts w:hint="eastAsia" w:ascii="仿宋_GB2312" w:hAnsi="仿宋_GB2312" w:cs="仿宋_GB2312"/>
          <w:sz w:val="32"/>
          <w:szCs w:val="32"/>
        </w:rPr>
        <w:t>外汇局海南省分局</w:t>
      </w:r>
      <w:r>
        <w:rPr>
          <w:rFonts w:ascii="仿宋_GB2312" w:hAnsi="仿宋_GB2312" w:cs="仿宋_GB2312"/>
          <w:sz w:val="32"/>
          <w:szCs w:val="32"/>
        </w:rPr>
        <w:t>可延长特殊处理措施执行期限至逾期未申报数据补报之日。</w:t>
      </w:r>
    </w:p>
    <w:p>
      <w:pPr>
        <w:pStyle w:val="4"/>
        <w:spacing w:line="570" w:lineRule="exact"/>
        <w:jc w:val="center"/>
        <w:rPr>
          <w:bCs/>
          <w:sz w:val="32"/>
          <w:szCs w:val="32"/>
        </w:rPr>
      </w:pPr>
      <w:r>
        <w:rPr>
          <w:rFonts w:eastAsia="黑体"/>
          <w:bCs/>
          <w:sz w:val="32"/>
          <w:szCs w:val="32"/>
        </w:rPr>
        <w:t xml:space="preserve">第四章 </w:t>
      </w:r>
      <w:r>
        <w:rPr>
          <w:rFonts w:hint="eastAsia" w:eastAsia="黑体"/>
          <w:bCs/>
          <w:sz w:val="32"/>
          <w:szCs w:val="32"/>
        </w:rPr>
        <w:t xml:space="preserve"> </w:t>
      </w:r>
      <w:r>
        <w:rPr>
          <w:rFonts w:eastAsia="黑体"/>
          <w:bCs/>
          <w:sz w:val="32"/>
          <w:szCs w:val="32"/>
        </w:rPr>
        <w:t>附  则</w:t>
      </w:r>
    </w:p>
    <w:p>
      <w:pPr>
        <w:pStyle w:val="5"/>
        <w:spacing w:line="570" w:lineRule="exact"/>
        <w:ind w:firstLine="643"/>
        <w:rPr>
          <w:sz w:val="32"/>
          <w:szCs w:val="32"/>
        </w:rPr>
      </w:pPr>
      <w:r>
        <w:rPr>
          <w:b/>
          <w:bCs/>
          <w:sz w:val="32"/>
          <w:szCs w:val="32"/>
        </w:rPr>
        <w:t xml:space="preserve">第七条  </w:t>
      </w:r>
      <w:r>
        <w:rPr>
          <w:sz w:val="32"/>
          <w:szCs w:val="32"/>
        </w:rPr>
        <w:t>外汇局</w:t>
      </w:r>
      <w:r>
        <w:rPr>
          <w:rFonts w:hint="eastAsia"/>
          <w:sz w:val="32"/>
          <w:szCs w:val="32"/>
        </w:rPr>
        <w:t>海南省分局、各地市分局和营业管理部</w:t>
      </w:r>
      <w:r>
        <w:rPr>
          <w:sz w:val="32"/>
          <w:szCs w:val="32"/>
        </w:rPr>
        <w:t>应将经办银行特殊处理措施执行情况纳入间接申报现场核查范围。</w:t>
      </w:r>
    </w:p>
    <w:p>
      <w:pPr>
        <w:pStyle w:val="5"/>
        <w:spacing w:line="570" w:lineRule="exact"/>
        <w:ind w:firstLine="643"/>
        <w:rPr>
          <w:sz w:val="32"/>
          <w:szCs w:val="32"/>
        </w:rPr>
      </w:pPr>
      <w:r>
        <w:rPr>
          <w:b/>
          <w:bCs/>
          <w:sz w:val="32"/>
          <w:szCs w:val="32"/>
        </w:rPr>
        <w:t xml:space="preserve">第八条  </w:t>
      </w:r>
      <w:r>
        <w:rPr>
          <w:sz w:val="32"/>
          <w:szCs w:val="32"/>
        </w:rPr>
        <w:t>经办银行有执行特殊处理措施的义务。经办银行如有违反本制度相关规定的行为，由</w:t>
      </w:r>
      <w:r>
        <w:rPr>
          <w:rFonts w:hint="eastAsia"/>
          <w:sz w:val="32"/>
          <w:szCs w:val="32"/>
        </w:rPr>
        <w:t>所在地外汇局</w:t>
      </w:r>
      <w:r>
        <w:rPr>
          <w:sz w:val="32"/>
          <w:szCs w:val="32"/>
        </w:rPr>
        <w:t>按照《中华人民共和国外汇管理条例》等相关法规进行处罚。</w:t>
      </w:r>
    </w:p>
    <w:p>
      <w:pPr>
        <w:pStyle w:val="5"/>
        <w:spacing w:line="570" w:lineRule="exact"/>
        <w:ind w:firstLine="643"/>
        <w:rPr>
          <w:kern w:val="0"/>
          <w:sz w:val="32"/>
          <w:szCs w:val="32"/>
        </w:rPr>
      </w:pPr>
      <w:r>
        <w:rPr>
          <w:b/>
          <w:bCs/>
          <w:sz w:val="32"/>
          <w:szCs w:val="32"/>
        </w:rPr>
        <w:t>第九条</w:t>
      </w:r>
      <w:r>
        <w:rPr>
          <w:sz w:val="32"/>
          <w:szCs w:val="32"/>
        </w:rPr>
        <w:t xml:space="preserve">  本制度</w:t>
      </w:r>
      <w:r>
        <w:rPr>
          <w:kern w:val="0"/>
          <w:sz w:val="32"/>
          <w:szCs w:val="32"/>
        </w:rPr>
        <w:t>由</w:t>
      </w:r>
      <w:r>
        <w:rPr>
          <w:sz w:val="32"/>
          <w:szCs w:val="32"/>
        </w:rPr>
        <w:t>外汇局</w:t>
      </w:r>
      <w:r>
        <w:rPr>
          <w:rFonts w:hint="eastAsia"/>
          <w:sz w:val="32"/>
          <w:szCs w:val="32"/>
        </w:rPr>
        <w:t>海南省分局</w:t>
      </w:r>
      <w:r>
        <w:rPr>
          <w:kern w:val="0"/>
          <w:sz w:val="32"/>
          <w:szCs w:val="32"/>
        </w:rPr>
        <w:t>负责解释。</w:t>
      </w:r>
    </w:p>
    <w:p>
      <w:pPr>
        <w:pStyle w:val="5"/>
        <w:spacing w:line="570" w:lineRule="exact"/>
        <w:ind w:firstLine="643"/>
        <w:rPr>
          <w:rFonts w:hint="eastAsia" w:ascii="仿宋_GB2312" w:hAnsi="仿宋_GB2312" w:cs="仿宋_GB2312"/>
          <w:sz w:val="32"/>
          <w:szCs w:val="32"/>
        </w:rPr>
      </w:pPr>
      <w:r>
        <w:rPr>
          <w:b/>
          <w:bCs/>
          <w:kern w:val="0"/>
          <w:sz w:val="32"/>
          <w:szCs w:val="32"/>
        </w:rPr>
        <w:t>第十条</w:t>
      </w:r>
      <w:r>
        <w:rPr>
          <w:kern w:val="0"/>
          <w:sz w:val="32"/>
          <w:szCs w:val="32"/>
        </w:rPr>
        <w:t xml:space="preserve"> </w:t>
      </w:r>
      <w:r>
        <w:rPr>
          <w:rFonts w:hint="eastAsia" w:ascii="仿宋_GB2312" w:hAnsi="仿宋_GB2312" w:cs="仿宋_GB2312"/>
          <w:kern w:val="0"/>
          <w:sz w:val="32"/>
          <w:szCs w:val="32"/>
        </w:rPr>
        <w:t xml:space="preserve"> </w:t>
      </w:r>
      <w:r>
        <w:rPr>
          <w:rFonts w:hint="eastAsia" w:ascii="仿宋_GB2312" w:hAnsi="仿宋_GB2312" w:cs="仿宋_GB2312"/>
          <w:sz w:val="32"/>
          <w:szCs w:val="32"/>
        </w:rPr>
        <w:t>本制度自发布之日起</w:t>
      </w:r>
      <w:r>
        <w:rPr>
          <w:sz w:val="32"/>
          <w:szCs w:val="32"/>
        </w:rPr>
        <w:t>施行。《国家外汇管理局海南省分局关于印发</w:t>
      </w:r>
      <w:r>
        <w:rPr>
          <w:rFonts w:hint="eastAsia" w:ascii="仿宋_GB2312" w:hAnsi="仿宋_GB2312" w:cs="仿宋_GB2312"/>
          <w:sz w:val="32"/>
          <w:szCs w:val="32"/>
        </w:rPr>
        <w:t>〈</w:t>
      </w:r>
      <w:r>
        <w:rPr>
          <w:sz w:val="32"/>
          <w:szCs w:val="32"/>
        </w:rPr>
        <w:t>对机构申报主体执行“不申报、不解付”特殊处理措施操作规程</w:t>
      </w:r>
      <w:r>
        <w:rPr>
          <w:rFonts w:hint="eastAsia" w:ascii="仿宋_GB2312" w:hAnsi="仿宋_GB2312" w:cs="仿宋_GB2312"/>
          <w:sz w:val="32"/>
          <w:szCs w:val="32"/>
        </w:rPr>
        <w:t>〉</w:t>
      </w:r>
      <w:r>
        <w:rPr>
          <w:sz w:val="32"/>
          <w:szCs w:val="32"/>
        </w:rPr>
        <w:t>的通知》（琼</w:t>
      </w:r>
      <w:r>
        <w:rPr>
          <w:rFonts w:hint="eastAsia" w:ascii="仿宋_GB2312" w:hAnsi="仿宋_GB2312" w:cs="仿宋_GB2312"/>
          <w:sz w:val="32"/>
          <w:szCs w:val="32"/>
        </w:rPr>
        <w:t>汇发〔2011〕1</w:t>
      </w:r>
      <w:r>
        <w:rPr>
          <w:rFonts w:hint="eastAsia" w:ascii="仿宋_GB2312" w:hAnsi="仿宋_GB2312" w:cs="仿宋_GB2312"/>
          <w:sz w:val="32"/>
          <w:szCs w:val="32"/>
          <w:lang w:val="en-US" w:eastAsia="zh-CN"/>
        </w:rPr>
        <w:t>0</w:t>
      </w:r>
      <w:r>
        <w:rPr>
          <w:rFonts w:hint="eastAsia" w:ascii="仿宋_GB2312" w:hAnsi="仿宋_GB2312" w:cs="仿宋_GB2312"/>
          <w:sz w:val="32"/>
          <w:szCs w:val="32"/>
        </w:rPr>
        <w:t>号）同时废止。</w:t>
      </w:r>
    </w:p>
    <w:p>
      <w:pPr>
        <w:pStyle w:val="5"/>
        <w:widowControl w:val="0"/>
        <w:wordWrap/>
        <w:adjustRightInd/>
        <w:snapToGrid/>
        <w:spacing w:line="240" w:lineRule="auto"/>
        <w:ind w:left="0" w:leftChars="0" w:right="0" w:firstLine="640" w:firstLineChars="200"/>
        <w:jc w:val="both"/>
        <w:textAlignment w:val="auto"/>
        <w:rPr>
          <w:rFonts w:hint="eastAsia" w:ascii="仿宋_GB2312" w:hAnsi="仿宋_GB2312" w:eastAsia="仿宋_GB2312" w:cs="仿宋_GB2312"/>
          <w:color w:val="000000"/>
          <w:sz w:val="32"/>
          <w:szCs w:val="30"/>
        </w:rPr>
      </w:pPr>
      <w:r>
        <w:rPr>
          <w:rFonts w:eastAsia="黑体"/>
          <w:sz w:val="32"/>
          <w:szCs w:val="32"/>
        </w:rPr>
        <w:br w:type="page"/>
      </w:r>
      <w:r>
        <w:rPr>
          <w:color w:val="000000"/>
          <w:sz w:val="32"/>
          <w:szCs w:val="30"/>
        </w:rPr>
        <w:t>附：</w:t>
      </w:r>
      <w:r>
        <w:rPr>
          <w:rFonts w:hint="eastAsia" w:ascii="仿宋_GB2312" w:hAnsi="仿宋_GB2312" w:eastAsia="仿宋_GB2312" w:cs="仿宋_GB2312"/>
          <w:color w:val="000000"/>
          <w:sz w:val="32"/>
          <w:szCs w:val="30"/>
        </w:rPr>
        <w:t>1.机构申报主体涉外收入逾期未申报名单报送表</w:t>
      </w:r>
    </w:p>
    <w:p>
      <w:pPr>
        <w:pStyle w:val="5"/>
        <w:widowControl w:val="0"/>
        <w:wordWrap/>
        <w:adjustRightInd/>
        <w:snapToGrid/>
        <w:spacing w:line="240" w:lineRule="auto"/>
        <w:ind w:left="0" w:leftChars="0" w:right="0" w:firstLine="640" w:firstLineChars="200"/>
        <w:jc w:val="both"/>
        <w:textAlignment w:val="auto"/>
        <w:outlineLvl w:val="1"/>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 xml:space="preserve">    2.国家外汇管理局海南省分局关于实行涉外收入“不</w:t>
      </w:r>
    </w:p>
    <w:p>
      <w:pPr>
        <w:pStyle w:val="5"/>
        <w:widowControl w:val="0"/>
        <w:wordWrap/>
        <w:adjustRightInd/>
        <w:snapToGrid/>
        <w:spacing w:line="240" w:lineRule="auto"/>
        <w:ind w:left="0" w:leftChars="0" w:right="0" w:firstLine="640" w:firstLineChars="200"/>
        <w:jc w:val="both"/>
        <w:textAlignment w:val="auto"/>
        <w:outlineLvl w:val="1"/>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lang w:val="en-US" w:eastAsia="zh-CN"/>
        </w:rPr>
        <w:t xml:space="preserve">      </w:t>
      </w:r>
      <w:r>
        <w:rPr>
          <w:rFonts w:hint="eastAsia" w:ascii="仿宋_GB2312" w:hAnsi="仿宋_GB2312" w:eastAsia="仿宋_GB2312" w:cs="仿宋_GB2312"/>
          <w:color w:val="000000"/>
          <w:sz w:val="32"/>
          <w:szCs w:val="30"/>
        </w:rPr>
        <w:t>申报、不解付”特殊处理措施的通知</w:t>
      </w:r>
    </w:p>
    <w:p>
      <w:pPr>
        <w:pStyle w:val="5"/>
        <w:widowControl w:val="0"/>
        <w:wordWrap/>
        <w:adjustRightInd/>
        <w:snapToGrid/>
        <w:spacing w:line="240" w:lineRule="auto"/>
        <w:ind w:left="0" w:leftChars="0" w:right="0" w:firstLine="640" w:firstLineChars="200"/>
        <w:jc w:val="both"/>
        <w:textAlignment w:val="auto"/>
        <w:outlineLvl w:val="1"/>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 xml:space="preserve">    3.国家外汇管理局海南省分局国际收支统计申报补报</w:t>
      </w:r>
    </w:p>
    <w:p>
      <w:pPr>
        <w:pStyle w:val="5"/>
        <w:widowControl w:val="0"/>
        <w:wordWrap/>
        <w:adjustRightInd/>
        <w:snapToGrid/>
        <w:spacing w:line="240" w:lineRule="auto"/>
        <w:ind w:left="0" w:leftChars="0" w:right="0" w:firstLine="640" w:firstLineChars="200"/>
        <w:jc w:val="both"/>
        <w:textAlignment w:val="auto"/>
        <w:outlineLvl w:val="1"/>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lang w:val="en-US" w:eastAsia="zh-CN"/>
        </w:rPr>
        <w:t xml:space="preserve">      </w:t>
      </w:r>
      <w:r>
        <w:rPr>
          <w:rFonts w:hint="eastAsia" w:ascii="仿宋_GB2312" w:hAnsi="仿宋_GB2312" w:eastAsia="仿宋_GB2312" w:cs="仿宋_GB2312"/>
          <w:color w:val="000000"/>
          <w:sz w:val="32"/>
          <w:szCs w:val="30"/>
        </w:rPr>
        <w:t>确认书</w:t>
      </w:r>
    </w:p>
    <w:p>
      <w:pPr>
        <w:pStyle w:val="5"/>
        <w:widowControl w:val="0"/>
        <w:wordWrap/>
        <w:adjustRightInd/>
        <w:snapToGrid/>
        <w:spacing w:line="240" w:lineRule="auto"/>
        <w:ind w:left="0" w:leftChars="0" w:right="0" w:firstLine="640" w:firstLineChars="200"/>
        <w:jc w:val="both"/>
        <w:textAlignment w:val="auto"/>
        <w:outlineLvl w:val="1"/>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szCs w:val="30"/>
        </w:rPr>
        <w:t xml:space="preserve">    4.</w:t>
      </w:r>
      <w:r>
        <w:rPr>
          <w:rFonts w:hint="eastAsia" w:ascii="仿宋_GB2312" w:hAnsi="仿宋_GB2312" w:eastAsia="仿宋_GB2312" w:cs="仿宋_GB2312"/>
          <w:color w:val="000000"/>
          <w:sz w:val="32"/>
        </w:rPr>
        <w:t>国家外</w:t>
      </w:r>
      <w:r>
        <w:rPr>
          <w:rFonts w:hint="eastAsia" w:ascii="仿宋_GB2312" w:hAnsi="仿宋_GB2312" w:eastAsia="仿宋_GB2312" w:cs="仿宋_GB2312"/>
          <w:color w:val="000000"/>
          <w:sz w:val="32"/>
          <w:szCs w:val="30"/>
        </w:rPr>
        <w:t>汇管理局海南省分局关于解除</w:t>
      </w:r>
      <w:r>
        <w:rPr>
          <w:rFonts w:hint="eastAsia" w:ascii="仿宋_GB2312" w:hAnsi="仿宋_GB2312" w:eastAsia="仿宋_GB2312" w:cs="仿宋_GB2312"/>
          <w:color w:val="000000"/>
          <w:sz w:val="32"/>
        </w:rPr>
        <w:t>“不申报、不</w:t>
      </w:r>
    </w:p>
    <w:p>
      <w:pPr>
        <w:pStyle w:val="5"/>
        <w:widowControl w:val="0"/>
        <w:wordWrap/>
        <w:adjustRightInd/>
        <w:snapToGrid/>
        <w:spacing w:line="240" w:lineRule="auto"/>
        <w:ind w:left="0" w:leftChars="0" w:right="0" w:firstLine="640" w:firstLineChars="200"/>
        <w:jc w:val="both"/>
        <w:textAlignment w:val="auto"/>
        <w:outlineLvl w:val="1"/>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lang w:val="en-US" w:eastAsia="zh-CN"/>
        </w:rPr>
        <w:t xml:space="preserve">      </w:t>
      </w:r>
      <w:r>
        <w:rPr>
          <w:rFonts w:hint="eastAsia" w:ascii="仿宋_GB2312" w:hAnsi="仿宋_GB2312" w:eastAsia="仿宋_GB2312" w:cs="仿宋_GB2312"/>
          <w:color w:val="000000"/>
          <w:sz w:val="32"/>
        </w:rPr>
        <w:t>解付”特殊处理措施的通知</w:t>
      </w:r>
      <w:bookmarkStart w:id="1" w:name="_GoBack"/>
      <w:bookmarkEnd w:id="1"/>
    </w:p>
    <w:p>
      <w:pPr>
        <w:widowControl w:val="0"/>
        <w:wordWrap/>
        <w:adjustRightInd/>
        <w:snapToGrid/>
        <w:spacing w:line="240" w:lineRule="auto"/>
        <w:ind w:left="0" w:leftChars="0" w:right="0" w:firstLine="640" w:firstLineChars="200"/>
        <w:jc w:val="both"/>
        <w:textAlignment w:val="auto"/>
        <w:rPr>
          <w:rFonts w:hint="eastAsia" w:eastAsia="黑体"/>
          <w:sz w:val="32"/>
          <w:szCs w:val="32"/>
        </w:rPr>
      </w:pPr>
    </w:p>
    <w:p>
      <w:pPr>
        <w:jc w:val="left"/>
        <w:rPr>
          <w:rFonts w:hint="eastAsia" w:eastAsia="黑体"/>
          <w:sz w:val="32"/>
          <w:szCs w:val="32"/>
        </w:rPr>
      </w:pPr>
    </w:p>
    <w:p>
      <w:pPr>
        <w:jc w:val="left"/>
        <w:rPr>
          <w:rFonts w:hint="eastAsia" w:eastAsia="黑体"/>
          <w:sz w:val="32"/>
          <w:szCs w:val="32"/>
        </w:rPr>
      </w:pPr>
    </w:p>
    <w:p>
      <w:pPr>
        <w:jc w:val="left"/>
        <w:rPr>
          <w:rFonts w:hint="eastAsia" w:eastAsia="黑体"/>
          <w:sz w:val="32"/>
          <w:szCs w:val="32"/>
        </w:rPr>
      </w:pPr>
    </w:p>
    <w:p>
      <w:pPr>
        <w:jc w:val="left"/>
        <w:rPr>
          <w:rFonts w:hint="eastAsia" w:eastAsia="黑体"/>
          <w:sz w:val="32"/>
          <w:szCs w:val="32"/>
        </w:rPr>
      </w:pPr>
    </w:p>
    <w:p>
      <w:pPr>
        <w:jc w:val="left"/>
        <w:rPr>
          <w:rFonts w:hint="eastAsia" w:eastAsia="黑体"/>
          <w:sz w:val="32"/>
          <w:szCs w:val="32"/>
        </w:rPr>
      </w:pPr>
    </w:p>
    <w:p>
      <w:pPr>
        <w:jc w:val="left"/>
        <w:rPr>
          <w:rFonts w:hint="eastAsia" w:eastAsia="黑体"/>
          <w:sz w:val="32"/>
          <w:szCs w:val="32"/>
        </w:rPr>
      </w:pPr>
    </w:p>
    <w:p>
      <w:pPr>
        <w:jc w:val="left"/>
        <w:rPr>
          <w:rFonts w:hint="eastAsia" w:eastAsia="黑体"/>
          <w:sz w:val="32"/>
          <w:szCs w:val="32"/>
        </w:rPr>
      </w:pPr>
    </w:p>
    <w:p>
      <w:pPr>
        <w:jc w:val="left"/>
        <w:rPr>
          <w:rFonts w:hint="eastAsia" w:eastAsia="黑体"/>
          <w:sz w:val="32"/>
          <w:szCs w:val="32"/>
        </w:rPr>
      </w:pPr>
    </w:p>
    <w:p>
      <w:pPr>
        <w:jc w:val="left"/>
        <w:rPr>
          <w:rFonts w:hint="eastAsia" w:eastAsia="黑体"/>
          <w:sz w:val="32"/>
          <w:szCs w:val="32"/>
        </w:rPr>
      </w:pPr>
    </w:p>
    <w:p>
      <w:pPr>
        <w:jc w:val="left"/>
        <w:rPr>
          <w:rFonts w:hint="eastAsia" w:eastAsia="黑体"/>
          <w:sz w:val="32"/>
          <w:szCs w:val="32"/>
        </w:rPr>
      </w:pPr>
    </w:p>
    <w:p>
      <w:pPr>
        <w:jc w:val="left"/>
        <w:rPr>
          <w:rFonts w:hint="eastAsia" w:eastAsia="黑体"/>
          <w:sz w:val="32"/>
          <w:szCs w:val="32"/>
        </w:rPr>
      </w:pPr>
    </w:p>
    <w:p>
      <w:pPr>
        <w:jc w:val="left"/>
        <w:rPr>
          <w:rFonts w:hint="eastAsia" w:eastAsia="黑体"/>
          <w:sz w:val="32"/>
          <w:szCs w:val="32"/>
        </w:rPr>
      </w:pPr>
    </w:p>
    <w:p>
      <w:pPr>
        <w:jc w:val="left"/>
        <w:rPr>
          <w:rFonts w:hint="eastAsia" w:ascii="黑体" w:hAnsi="黑体" w:eastAsia="黑体" w:cs="黑体"/>
          <w:sz w:val="32"/>
          <w:szCs w:val="32"/>
        </w:rPr>
      </w:pPr>
      <w:r>
        <w:rPr>
          <w:rFonts w:hint="eastAsia" w:ascii="黑体" w:hAnsi="黑体" w:eastAsia="黑体" w:cs="黑体"/>
          <w:sz w:val="32"/>
          <w:szCs w:val="32"/>
        </w:rPr>
        <w:t>附件1</w:t>
      </w:r>
    </w:p>
    <w:p>
      <w:pPr>
        <w:spacing w:line="560" w:lineRule="exact"/>
        <w:jc w:val="left"/>
        <w:rPr>
          <w:rFonts w:hint="eastAsia" w:ascii="黑体" w:hAnsi="黑体" w:eastAsia="黑体" w:cs="黑体"/>
          <w:sz w:val="32"/>
          <w:szCs w:val="32"/>
        </w:rPr>
      </w:pPr>
    </w:p>
    <w:p>
      <w:pPr>
        <w:tabs>
          <w:tab w:val="left" w:pos="1440"/>
          <w:tab w:val="left" w:pos="4320"/>
        </w:tabs>
        <w:spacing w:afterLines="5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机构申报主体涉外收入逾期未申报名单报送表</w:t>
      </w:r>
    </w:p>
    <w:tbl>
      <w:tblPr>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104"/>
        <w:gridCol w:w="1036"/>
        <w:gridCol w:w="920"/>
        <w:gridCol w:w="1640"/>
        <w:gridCol w:w="1464"/>
        <w:gridCol w:w="1536"/>
        <w:gridCol w:w="764"/>
      </w:tblGrid>
      <w:tr>
        <w:trPr>
          <w:trHeight w:val="1030" w:hRule="atLeast"/>
          <w:jc w:val="center"/>
        </w:trPr>
        <w:tc>
          <w:tcPr>
            <w:tcW w:w="665" w:type="dxa"/>
            <w:vAlign w:val="center"/>
          </w:tcPr>
          <w:p>
            <w:pPr>
              <w:spacing w:line="400" w:lineRule="exact"/>
              <w:jc w:val="center"/>
              <w:rPr>
                <w:rFonts w:eastAsia="仿宋_GB2312"/>
                <w:sz w:val="24"/>
              </w:rPr>
            </w:pPr>
            <w:r>
              <w:rPr>
                <w:rFonts w:hint="eastAsia" w:eastAsia="仿宋_GB2312"/>
                <w:sz w:val="24"/>
              </w:rPr>
              <w:t>序号</w:t>
            </w:r>
          </w:p>
        </w:tc>
        <w:tc>
          <w:tcPr>
            <w:tcW w:w="1104" w:type="dxa"/>
            <w:vAlign w:val="center"/>
          </w:tcPr>
          <w:p>
            <w:pPr>
              <w:spacing w:line="400" w:lineRule="exact"/>
              <w:jc w:val="center"/>
              <w:rPr>
                <w:rFonts w:eastAsia="仿宋_GB2312"/>
                <w:sz w:val="24"/>
              </w:rPr>
            </w:pPr>
            <w:r>
              <w:rPr>
                <w:rFonts w:hint="eastAsia" w:eastAsia="仿宋_GB2312"/>
                <w:sz w:val="24"/>
              </w:rPr>
              <w:t>机构名称</w:t>
            </w:r>
          </w:p>
        </w:tc>
        <w:tc>
          <w:tcPr>
            <w:tcW w:w="1036" w:type="dxa"/>
            <w:vAlign w:val="center"/>
          </w:tcPr>
          <w:p>
            <w:pPr>
              <w:spacing w:line="400" w:lineRule="exact"/>
              <w:jc w:val="center"/>
              <w:rPr>
                <w:rFonts w:eastAsia="仿宋_GB2312"/>
                <w:sz w:val="24"/>
              </w:rPr>
            </w:pPr>
            <w:r>
              <w:rPr>
                <w:rFonts w:hint="eastAsia" w:eastAsia="仿宋_GB2312"/>
                <w:sz w:val="24"/>
              </w:rPr>
              <w:t>主体标识码</w:t>
            </w:r>
          </w:p>
        </w:tc>
        <w:tc>
          <w:tcPr>
            <w:tcW w:w="920" w:type="dxa"/>
            <w:vAlign w:val="center"/>
          </w:tcPr>
          <w:p>
            <w:pPr>
              <w:spacing w:line="400" w:lineRule="exact"/>
              <w:jc w:val="center"/>
              <w:rPr>
                <w:rFonts w:hint="eastAsia" w:eastAsia="仿宋_GB2312"/>
                <w:sz w:val="24"/>
              </w:rPr>
            </w:pPr>
          </w:p>
          <w:p>
            <w:pPr>
              <w:spacing w:line="400" w:lineRule="exact"/>
              <w:jc w:val="center"/>
              <w:rPr>
                <w:rFonts w:hint="eastAsia" w:eastAsia="仿宋_GB2312"/>
                <w:sz w:val="24"/>
              </w:rPr>
            </w:pPr>
            <w:r>
              <w:rPr>
                <w:rFonts w:hint="eastAsia" w:eastAsia="仿宋_GB2312"/>
                <w:sz w:val="24"/>
              </w:rPr>
              <w:t>收汇日期</w:t>
            </w:r>
          </w:p>
          <w:p>
            <w:pPr>
              <w:spacing w:line="400" w:lineRule="exact"/>
              <w:jc w:val="center"/>
              <w:rPr>
                <w:rFonts w:hint="eastAsia" w:eastAsia="仿宋_GB2312"/>
                <w:sz w:val="24"/>
              </w:rPr>
            </w:pPr>
          </w:p>
        </w:tc>
        <w:tc>
          <w:tcPr>
            <w:tcW w:w="1640" w:type="dxa"/>
            <w:vAlign w:val="center"/>
          </w:tcPr>
          <w:p>
            <w:pPr>
              <w:spacing w:line="400" w:lineRule="exact"/>
              <w:jc w:val="center"/>
              <w:rPr>
                <w:rFonts w:eastAsia="仿宋_GB2312"/>
                <w:sz w:val="24"/>
              </w:rPr>
            </w:pPr>
            <w:r>
              <w:rPr>
                <w:rFonts w:eastAsia="仿宋_GB2312"/>
                <w:sz w:val="24"/>
              </w:rPr>
              <w:t>申报单号码</w:t>
            </w:r>
          </w:p>
        </w:tc>
        <w:tc>
          <w:tcPr>
            <w:tcW w:w="1464" w:type="dxa"/>
            <w:vAlign w:val="center"/>
          </w:tcPr>
          <w:p>
            <w:pPr>
              <w:spacing w:line="400" w:lineRule="exact"/>
              <w:jc w:val="center"/>
              <w:rPr>
                <w:rFonts w:eastAsia="仿宋_GB2312"/>
                <w:sz w:val="24"/>
              </w:rPr>
            </w:pPr>
            <w:r>
              <w:rPr>
                <w:rFonts w:eastAsia="仿宋_GB2312"/>
                <w:sz w:val="24"/>
              </w:rPr>
              <w:t>逾期未申报金额</w:t>
            </w:r>
          </w:p>
        </w:tc>
        <w:tc>
          <w:tcPr>
            <w:tcW w:w="1536" w:type="dxa"/>
            <w:vAlign w:val="center"/>
          </w:tcPr>
          <w:p>
            <w:pPr>
              <w:spacing w:line="400" w:lineRule="exact"/>
              <w:jc w:val="center"/>
              <w:rPr>
                <w:rFonts w:eastAsia="仿宋_GB2312"/>
                <w:sz w:val="24"/>
              </w:rPr>
            </w:pPr>
            <w:r>
              <w:rPr>
                <w:rFonts w:eastAsia="仿宋_GB2312"/>
                <w:sz w:val="24"/>
              </w:rPr>
              <w:t>折美元金额</w:t>
            </w:r>
          </w:p>
        </w:tc>
        <w:tc>
          <w:tcPr>
            <w:tcW w:w="764" w:type="dxa"/>
            <w:vAlign w:val="center"/>
          </w:tcPr>
          <w:p>
            <w:pPr>
              <w:spacing w:line="400" w:lineRule="exact"/>
              <w:jc w:val="center"/>
              <w:rPr>
                <w:rFonts w:eastAsia="仿宋_GB2312"/>
                <w:sz w:val="24"/>
              </w:rPr>
            </w:pPr>
            <w:r>
              <w:rPr>
                <w:rFonts w:eastAsia="仿宋_GB2312"/>
                <w:sz w:val="24"/>
              </w:rPr>
              <w:t>逾期</w:t>
            </w:r>
          </w:p>
          <w:p>
            <w:pPr>
              <w:spacing w:line="400" w:lineRule="exact"/>
              <w:jc w:val="center"/>
              <w:rPr>
                <w:rFonts w:eastAsia="仿宋_GB2312"/>
                <w:sz w:val="24"/>
              </w:rPr>
            </w:pPr>
            <w:r>
              <w:rPr>
                <w:rFonts w:eastAsia="仿宋_GB2312"/>
                <w:sz w:val="24"/>
              </w:rPr>
              <w:t>天数</w:t>
            </w:r>
          </w:p>
        </w:tc>
      </w:tr>
      <w:tr>
        <w:trPr>
          <w:trHeight w:val="642" w:hRule="atLeast"/>
          <w:jc w:val="center"/>
        </w:trPr>
        <w:tc>
          <w:tcPr>
            <w:tcW w:w="665" w:type="dxa"/>
            <w:vAlign w:val="center"/>
          </w:tcPr>
          <w:p>
            <w:pPr>
              <w:jc w:val="center"/>
              <w:rPr>
                <w:rFonts w:eastAsia="仿宋_GB2312"/>
                <w:sz w:val="24"/>
              </w:rPr>
            </w:pPr>
          </w:p>
        </w:tc>
        <w:tc>
          <w:tcPr>
            <w:tcW w:w="1104" w:type="dxa"/>
            <w:vAlign w:val="center"/>
          </w:tcPr>
          <w:p>
            <w:pPr>
              <w:jc w:val="center"/>
              <w:rPr>
                <w:rFonts w:eastAsia="仿宋_GB2312"/>
                <w:sz w:val="24"/>
              </w:rPr>
            </w:pPr>
          </w:p>
        </w:tc>
        <w:tc>
          <w:tcPr>
            <w:tcW w:w="1036" w:type="dxa"/>
            <w:vAlign w:val="center"/>
          </w:tcPr>
          <w:p>
            <w:pPr>
              <w:jc w:val="center"/>
              <w:rPr>
                <w:rFonts w:eastAsia="仿宋_GB2312"/>
                <w:sz w:val="24"/>
              </w:rPr>
            </w:pPr>
          </w:p>
        </w:tc>
        <w:tc>
          <w:tcPr>
            <w:tcW w:w="920" w:type="dxa"/>
            <w:vAlign w:val="center"/>
          </w:tcPr>
          <w:p>
            <w:pPr>
              <w:jc w:val="center"/>
              <w:rPr>
                <w:rFonts w:eastAsia="仿宋_GB2312"/>
                <w:sz w:val="24"/>
              </w:rPr>
            </w:pPr>
          </w:p>
        </w:tc>
        <w:tc>
          <w:tcPr>
            <w:tcW w:w="1640" w:type="dxa"/>
            <w:vAlign w:val="center"/>
          </w:tcPr>
          <w:p>
            <w:pPr>
              <w:jc w:val="center"/>
              <w:rPr>
                <w:rFonts w:eastAsia="仿宋_GB2312"/>
                <w:sz w:val="24"/>
              </w:rPr>
            </w:pPr>
          </w:p>
        </w:tc>
        <w:tc>
          <w:tcPr>
            <w:tcW w:w="1464" w:type="dxa"/>
            <w:vAlign w:val="center"/>
          </w:tcPr>
          <w:p>
            <w:pPr>
              <w:jc w:val="center"/>
              <w:rPr>
                <w:rFonts w:eastAsia="仿宋_GB2312"/>
                <w:sz w:val="24"/>
              </w:rPr>
            </w:pPr>
          </w:p>
        </w:tc>
        <w:tc>
          <w:tcPr>
            <w:tcW w:w="1536" w:type="dxa"/>
            <w:vAlign w:val="top"/>
          </w:tcPr>
          <w:p>
            <w:pPr>
              <w:jc w:val="center"/>
              <w:rPr>
                <w:rFonts w:eastAsia="仿宋_GB2312"/>
                <w:sz w:val="24"/>
              </w:rPr>
            </w:pPr>
          </w:p>
        </w:tc>
        <w:tc>
          <w:tcPr>
            <w:tcW w:w="764" w:type="dxa"/>
            <w:vAlign w:val="center"/>
          </w:tcPr>
          <w:p>
            <w:pPr>
              <w:jc w:val="center"/>
              <w:rPr>
                <w:rFonts w:eastAsia="仿宋_GB2312"/>
                <w:sz w:val="24"/>
              </w:rPr>
            </w:pPr>
          </w:p>
        </w:tc>
      </w:tr>
      <w:tr>
        <w:trPr>
          <w:trHeight w:val="642" w:hRule="atLeast"/>
          <w:jc w:val="center"/>
        </w:trPr>
        <w:tc>
          <w:tcPr>
            <w:tcW w:w="665" w:type="dxa"/>
            <w:vAlign w:val="center"/>
          </w:tcPr>
          <w:p>
            <w:pPr>
              <w:jc w:val="center"/>
              <w:rPr>
                <w:rFonts w:eastAsia="仿宋_GB2312"/>
                <w:sz w:val="24"/>
              </w:rPr>
            </w:pPr>
          </w:p>
        </w:tc>
        <w:tc>
          <w:tcPr>
            <w:tcW w:w="1104" w:type="dxa"/>
            <w:vAlign w:val="center"/>
          </w:tcPr>
          <w:p>
            <w:pPr>
              <w:jc w:val="center"/>
              <w:rPr>
                <w:rFonts w:eastAsia="仿宋_GB2312"/>
                <w:sz w:val="24"/>
              </w:rPr>
            </w:pPr>
          </w:p>
        </w:tc>
        <w:tc>
          <w:tcPr>
            <w:tcW w:w="1036" w:type="dxa"/>
            <w:vAlign w:val="center"/>
          </w:tcPr>
          <w:p>
            <w:pPr>
              <w:jc w:val="center"/>
              <w:rPr>
                <w:rFonts w:eastAsia="仿宋_GB2312"/>
                <w:sz w:val="24"/>
              </w:rPr>
            </w:pPr>
          </w:p>
        </w:tc>
        <w:tc>
          <w:tcPr>
            <w:tcW w:w="920" w:type="dxa"/>
            <w:vAlign w:val="center"/>
          </w:tcPr>
          <w:p>
            <w:pPr>
              <w:jc w:val="center"/>
              <w:rPr>
                <w:rFonts w:eastAsia="仿宋_GB2312"/>
                <w:sz w:val="24"/>
              </w:rPr>
            </w:pPr>
          </w:p>
        </w:tc>
        <w:tc>
          <w:tcPr>
            <w:tcW w:w="1640" w:type="dxa"/>
            <w:vAlign w:val="center"/>
          </w:tcPr>
          <w:p>
            <w:pPr>
              <w:jc w:val="center"/>
              <w:rPr>
                <w:rFonts w:eastAsia="仿宋_GB2312"/>
                <w:sz w:val="24"/>
              </w:rPr>
            </w:pPr>
          </w:p>
        </w:tc>
        <w:tc>
          <w:tcPr>
            <w:tcW w:w="1464" w:type="dxa"/>
            <w:vAlign w:val="center"/>
          </w:tcPr>
          <w:p>
            <w:pPr>
              <w:jc w:val="center"/>
              <w:rPr>
                <w:rFonts w:eastAsia="仿宋_GB2312"/>
                <w:sz w:val="24"/>
              </w:rPr>
            </w:pPr>
          </w:p>
        </w:tc>
        <w:tc>
          <w:tcPr>
            <w:tcW w:w="1536" w:type="dxa"/>
            <w:vAlign w:val="top"/>
          </w:tcPr>
          <w:p>
            <w:pPr>
              <w:jc w:val="center"/>
              <w:rPr>
                <w:rFonts w:eastAsia="仿宋_GB2312"/>
                <w:sz w:val="24"/>
              </w:rPr>
            </w:pPr>
          </w:p>
        </w:tc>
        <w:tc>
          <w:tcPr>
            <w:tcW w:w="764" w:type="dxa"/>
            <w:vAlign w:val="center"/>
          </w:tcPr>
          <w:p>
            <w:pPr>
              <w:jc w:val="center"/>
              <w:rPr>
                <w:rFonts w:eastAsia="仿宋_GB2312"/>
                <w:sz w:val="24"/>
              </w:rPr>
            </w:pPr>
          </w:p>
        </w:tc>
      </w:tr>
      <w:tr>
        <w:trPr>
          <w:trHeight w:val="642" w:hRule="atLeast"/>
          <w:jc w:val="center"/>
        </w:trPr>
        <w:tc>
          <w:tcPr>
            <w:tcW w:w="665" w:type="dxa"/>
            <w:vAlign w:val="center"/>
          </w:tcPr>
          <w:p>
            <w:pPr>
              <w:jc w:val="center"/>
              <w:rPr>
                <w:rFonts w:eastAsia="仿宋_GB2312"/>
                <w:sz w:val="24"/>
              </w:rPr>
            </w:pPr>
          </w:p>
        </w:tc>
        <w:tc>
          <w:tcPr>
            <w:tcW w:w="1104" w:type="dxa"/>
            <w:vAlign w:val="center"/>
          </w:tcPr>
          <w:p>
            <w:pPr>
              <w:jc w:val="center"/>
              <w:rPr>
                <w:rFonts w:eastAsia="仿宋_GB2312"/>
                <w:sz w:val="24"/>
              </w:rPr>
            </w:pPr>
          </w:p>
        </w:tc>
        <w:tc>
          <w:tcPr>
            <w:tcW w:w="1036" w:type="dxa"/>
            <w:vAlign w:val="center"/>
          </w:tcPr>
          <w:p>
            <w:pPr>
              <w:jc w:val="center"/>
              <w:rPr>
                <w:rFonts w:eastAsia="仿宋_GB2312"/>
                <w:sz w:val="24"/>
              </w:rPr>
            </w:pPr>
          </w:p>
        </w:tc>
        <w:tc>
          <w:tcPr>
            <w:tcW w:w="920" w:type="dxa"/>
            <w:vAlign w:val="center"/>
          </w:tcPr>
          <w:p>
            <w:pPr>
              <w:jc w:val="center"/>
              <w:rPr>
                <w:rFonts w:eastAsia="仿宋_GB2312"/>
                <w:sz w:val="24"/>
              </w:rPr>
            </w:pPr>
          </w:p>
        </w:tc>
        <w:tc>
          <w:tcPr>
            <w:tcW w:w="1640" w:type="dxa"/>
            <w:vAlign w:val="center"/>
          </w:tcPr>
          <w:p>
            <w:pPr>
              <w:jc w:val="center"/>
              <w:rPr>
                <w:rFonts w:eastAsia="仿宋_GB2312"/>
                <w:sz w:val="24"/>
              </w:rPr>
            </w:pPr>
          </w:p>
        </w:tc>
        <w:tc>
          <w:tcPr>
            <w:tcW w:w="1464" w:type="dxa"/>
            <w:vAlign w:val="center"/>
          </w:tcPr>
          <w:p>
            <w:pPr>
              <w:jc w:val="center"/>
              <w:rPr>
                <w:rFonts w:eastAsia="仿宋_GB2312"/>
                <w:sz w:val="24"/>
              </w:rPr>
            </w:pPr>
          </w:p>
        </w:tc>
        <w:tc>
          <w:tcPr>
            <w:tcW w:w="1536" w:type="dxa"/>
            <w:vAlign w:val="top"/>
          </w:tcPr>
          <w:p>
            <w:pPr>
              <w:jc w:val="center"/>
              <w:rPr>
                <w:rFonts w:eastAsia="仿宋_GB2312"/>
                <w:sz w:val="24"/>
              </w:rPr>
            </w:pPr>
          </w:p>
        </w:tc>
        <w:tc>
          <w:tcPr>
            <w:tcW w:w="764" w:type="dxa"/>
            <w:vAlign w:val="center"/>
          </w:tcPr>
          <w:p>
            <w:pPr>
              <w:jc w:val="center"/>
              <w:rPr>
                <w:rFonts w:eastAsia="仿宋_GB2312"/>
                <w:sz w:val="24"/>
              </w:rPr>
            </w:pPr>
          </w:p>
        </w:tc>
      </w:tr>
      <w:tr>
        <w:trPr>
          <w:trHeight w:val="642" w:hRule="atLeast"/>
          <w:jc w:val="center"/>
        </w:trPr>
        <w:tc>
          <w:tcPr>
            <w:tcW w:w="665" w:type="dxa"/>
            <w:vAlign w:val="center"/>
          </w:tcPr>
          <w:p>
            <w:pPr>
              <w:jc w:val="center"/>
              <w:rPr>
                <w:rFonts w:eastAsia="仿宋_GB2312"/>
                <w:sz w:val="24"/>
              </w:rPr>
            </w:pPr>
          </w:p>
        </w:tc>
        <w:tc>
          <w:tcPr>
            <w:tcW w:w="1104" w:type="dxa"/>
            <w:vAlign w:val="center"/>
          </w:tcPr>
          <w:p>
            <w:pPr>
              <w:jc w:val="center"/>
              <w:rPr>
                <w:rFonts w:eastAsia="仿宋_GB2312"/>
                <w:sz w:val="24"/>
              </w:rPr>
            </w:pPr>
          </w:p>
        </w:tc>
        <w:tc>
          <w:tcPr>
            <w:tcW w:w="1036" w:type="dxa"/>
            <w:vAlign w:val="center"/>
          </w:tcPr>
          <w:p>
            <w:pPr>
              <w:jc w:val="center"/>
              <w:rPr>
                <w:rFonts w:eastAsia="仿宋_GB2312"/>
                <w:sz w:val="24"/>
              </w:rPr>
            </w:pPr>
          </w:p>
        </w:tc>
        <w:tc>
          <w:tcPr>
            <w:tcW w:w="920" w:type="dxa"/>
            <w:vAlign w:val="center"/>
          </w:tcPr>
          <w:p>
            <w:pPr>
              <w:jc w:val="center"/>
              <w:rPr>
                <w:rFonts w:eastAsia="仿宋_GB2312"/>
                <w:sz w:val="24"/>
              </w:rPr>
            </w:pPr>
          </w:p>
        </w:tc>
        <w:tc>
          <w:tcPr>
            <w:tcW w:w="1640" w:type="dxa"/>
            <w:vAlign w:val="center"/>
          </w:tcPr>
          <w:p>
            <w:pPr>
              <w:jc w:val="center"/>
              <w:rPr>
                <w:rFonts w:eastAsia="仿宋_GB2312"/>
                <w:sz w:val="24"/>
              </w:rPr>
            </w:pPr>
          </w:p>
        </w:tc>
        <w:tc>
          <w:tcPr>
            <w:tcW w:w="1464" w:type="dxa"/>
            <w:vAlign w:val="center"/>
          </w:tcPr>
          <w:p>
            <w:pPr>
              <w:jc w:val="center"/>
              <w:rPr>
                <w:rFonts w:eastAsia="仿宋_GB2312"/>
                <w:sz w:val="24"/>
              </w:rPr>
            </w:pPr>
          </w:p>
        </w:tc>
        <w:tc>
          <w:tcPr>
            <w:tcW w:w="1536" w:type="dxa"/>
            <w:vAlign w:val="top"/>
          </w:tcPr>
          <w:p>
            <w:pPr>
              <w:jc w:val="center"/>
              <w:rPr>
                <w:rFonts w:eastAsia="仿宋_GB2312"/>
                <w:sz w:val="24"/>
              </w:rPr>
            </w:pPr>
          </w:p>
        </w:tc>
        <w:tc>
          <w:tcPr>
            <w:tcW w:w="764" w:type="dxa"/>
            <w:vAlign w:val="center"/>
          </w:tcPr>
          <w:p>
            <w:pPr>
              <w:jc w:val="center"/>
              <w:rPr>
                <w:rFonts w:eastAsia="仿宋_GB2312"/>
                <w:sz w:val="24"/>
              </w:rPr>
            </w:pPr>
          </w:p>
        </w:tc>
      </w:tr>
      <w:tr>
        <w:trPr>
          <w:trHeight w:val="642" w:hRule="atLeast"/>
          <w:jc w:val="center"/>
        </w:trPr>
        <w:tc>
          <w:tcPr>
            <w:tcW w:w="665" w:type="dxa"/>
            <w:vAlign w:val="center"/>
          </w:tcPr>
          <w:p>
            <w:pPr>
              <w:jc w:val="center"/>
              <w:rPr>
                <w:rFonts w:eastAsia="仿宋_GB2312"/>
                <w:sz w:val="24"/>
              </w:rPr>
            </w:pPr>
          </w:p>
        </w:tc>
        <w:tc>
          <w:tcPr>
            <w:tcW w:w="1104" w:type="dxa"/>
            <w:vAlign w:val="center"/>
          </w:tcPr>
          <w:p>
            <w:pPr>
              <w:jc w:val="center"/>
              <w:rPr>
                <w:rFonts w:eastAsia="仿宋_GB2312"/>
                <w:sz w:val="24"/>
              </w:rPr>
            </w:pPr>
          </w:p>
        </w:tc>
        <w:tc>
          <w:tcPr>
            <w:tcW w:w="1036" w:type="dxa"/>
            <w:vAlign w:val="center"/>
          </w:tcPr>
          <w:p>
            <w:pPr>
              <w:jc w:val="center"/>
              <w:rPr>
                <w:rFonts w:eastAsia="仿宋_GB2312"/>
                <w:sz w:val="24"/>
              </w:rPr>
            </w:pPr>
          </w:p>
        </w:tc>
        <w:tc>
          <w:tcPr>
            <w:tcW w:w="920" w:type="dxa"/>
            <w:vAlign w:val="center"/>
          </w:tcPr>
          <w:p>
            <w:pPr>
              <w:jc w:val="center"/>
              <w:rPr>
                <w:rFonts w:eastAsia="仿宋_GB2312"/>
                <w:sz w:val="24"/>
              </w:rPr>
            </w:pPr>
          </w:p>
        </w:tc>
        <w:tc>
          <w:tcPr>
            <w:tcW w:w="1640" w:type="dxa"/>
            <w:vAlign w:val="center"/>
          </w:tcPr>
          <w:p>
            <w:pPr>
              <w:jc w:val="center"/>
              <w:rPr>
                <w:rFonts w:eastAsia="仿宋_GB2312"/>
                <w:sz w:val="24"/>
              </w:rPr>
            </w:pPr>
          </w:p>
        </w:tc>
        <w:tc>
          <w:tcPr>
            <w:tcW w:w="1464" w:type="dxa"/>
            <w:vAlign w:val="center"/>
          </w:tcPr>
          <w:p>
            <w:pPr>
              <w:jc w:val="center"/>
              <w:rPr>
                <w:rFonts w:eastAsia="仿宋_GB2312"/>
                <w:sz w:val="24"/>
              </w:rPr>
            </w:pPr>
          </w:p>
        </w:tc>
        <w:tc>
          <w:tcPr>
            <w:tcW w:w="1536" w:type="dxa"/>
            <w:vAlign w:val="top"/>
          </w:tcPr>
          <w:p>
            <w:pPr>
              <w:jc w:val="center"/>
              <w:rPr>
                <w:rFonts w:eastAsia="仿宋_GB2312"/>
                <w:sz w:val="24"/>
              </w:rPr>
            </w:pPr>
          </w:p>
        </w:tc>
        <w:tc>
          <w:tcPr>
            <w:tcW w:w="764" w:type="dxa"/>
            <w:vAlign w:val="center"/>
          </w:tcPr>
          <w:p>
            <w:pPr>
              <w:jc w:val="center"/>
              <w:rPr>
                <w:rFonts w:eastAsia="仿宋_GB2312"/>
                <w:sz w:val="24"/>
              </w:rPr>
            </w:pPr>
          </w:p>
        </w:tc>
      </w:tr>
    </w:tbl>
    <w:p>
      <w:pPr>
        <w:spacing w:line="520" w:lineRule="exact"/>
        <w:ind w:right="25" w:rightChars="12"/>
        <w:rPr>
          <w:rFonts w:hint="eastAsia" w:ascii="仿宋_GB2312" w:hAnsi="华文仿宋" w:eastAsia="仿宋_GB2312"/>
          <w:sz w:val="24"/>
        </w:rPr>
      </w:pPr>
      <w:r>
        <w:rPr>
          <w:rFonts w:hint="eastAsia" w:ascii="仿宋_GB2312" w:hAnsi="华文仿宋" w:eastAsia="仿宋_GB2312"/>
          <w:sz w:val="24"/>
        </w:rPr>
        <w:t>说明：1.本表填写发生逾期未申报的机构申报主体明细，如果本月无则无需报送。</w:t>
      </w:r>
    </w:p>
    <w:p>
      <w:pPr>
        <w:rPr>
          <w:rFonts w:hint="eastAsia" w:ascii="仿宋_GB2312" w:hAnsi="仿宋_GB2312" w:eastAsia="仿宋_GB2312" w:cs="仿宋_GB2312"/>
          <w:sz w:val="32"/>
        </w:rPr>
      </w:pPr>
      <w:r>
        <w:rPr>
          <w:rFonts w:hint="eastAsia" w:ascii="仿宋_GB2312" w:hAnsi="仿宋_GB2312" w:eastAsia="仿宋_GB2312" w:cs="仿宋_GB2312"/>
          <w:sz w:val="24"/>
        </w:rPr>
        <w:t xml:space="preserve">      2.主体标识码为机构统一社会信用代码的9-17位。</w:t>
      </w:r>
    </w:p>
    <w:p>
      <w:pPr>
        <w:spacing w:line="520" w:lineRule="exact"/>
        <w:ind w:right="25" w:rightChars="12"/>
        <w:rPr>
          <w:rFonts w:hint="eastAsia" w:ascii="仿宋_GB2312" w:hAnsi="华文仿宋" w:eastAsia="仿宋_GB2312"/>
          <w:sz w:val="24"/>
        </w:rPr>
      </w:pPr>
    </w:p>
    <w:p>
      <w:pPr>
        <w:rPr>
          <w:sz w:val="24"/>
          <w:szCs w:val="28"/>
        </w:rPr>
      </w:pPr>
    </w:p>
    <w:p>
      <w:pPr>
        <w:spacing w:line="440" w:lineRule="exact"/>
        <w:rPr>
          <w:sz w:val="24"/>
          <w:szCs w:val="28"/>
        </w:rPr>
      </w:pPr>
      <w:r>
        <w:rPr>
          <w:rFonts w:eastAsia="仿宋_GB2312"/>
          <w:sz w:val="24"/>
        </w:rPr>
        <w:t>填表人：</w:t>
      </w:r>
      <w:r>
        <w:rPr>
          <w:sz w:val="24"/>
          <w:szCs w:val="28"/>
        </w:rPr>
        <w:t xml:space="preserve">                                </w:t>
      </w:r>
      <w:r>
        <w:rPr>
          <w:rFonts w:eastAsia="仿宋_GB2312"/>
          <w:sz w:val="24"/>
        </w:rPr>
        <w:t>复核人:</w:t>
      </w:r>
      <w:r>
        <w:rPr>
          <w:sz w:val="24"/>
          <w:szCs w:val="28"/>
        </w:rPr>
        <w:t xml:space="preserve">               </w:t>
      </w:r>
    </w:p>
    <w:p>
      <w:pPr>
        <w:spacing w:line="440" w:lineRule="exact"/>
        <w:rPr>
          <w:rFonts w:eastAsia="仿宋_GB2312"/>
          <w:sz w:val="24"/>
        </w:rPr>
      </w:pPr>
      <w:r>
        <w:rPr>
          <w:rFonts w:eastAsia="仿宋_GB2312"/>
          <w:sz w:val="24"/>
        </w:rPr>
        <w:t xml:space="preserve">联系电话： </w:t>
      </w:r>
      <w:r>
        <w:rPr>
          <w:sz w:val="24"/>
          <w:szCs w:val="28"/>
        </w:rPr>
        <w:t xml:space="preserve">                             </w:t>
      </w:r>
      <w:r>
        <w:rPr>
          <w:rFonts w:eastAsia="仿宋_GB2312"/>
          <w:sz w:val="24"/>
        </w:rPr>
        <w:t>填报日期:</w:t>
      </w:r>
    </w:p>
    <w:p>
      <w:pPr>
        <w:spacing w:line="440" w:lineRule="exact"/>
        <w:rPr>
          <w:rFonts w:eastAsia="仿宋_GB2312"/>
          <w:sz w:val="24"/>
        </w:rPr>
      </w:pPr>
      <w:r>
        <w:rPr>
          <w:rFonts w:eastAsia="仿宋_GB2312"/>
          <w:sz w:val="24"/>
        </w:rPr>
        <w:t xml:space="preserve">                                        填报单位（盖章）:</w:t>
      </w:r>
    </w:p>
    <w:p>
      <w:pPr>
        <w:ind w:firstLine="5880" w:firstLineChars="2100"/>
        <w:rPr>
          <w:sz w:val="28"/>
          <w:szCs w:val="28"/>
        </w:rPr>
      </w:pPr>
    </w:p>
    <w:p>
      <w:pPr>
        <w:ind w:firstLine="560" w:firstLineChars="200"/>
        <w:rPr>
          <w:sz w:val="28"/>
          <w:szCs w:val="28"/>
        </w:rPr>
      </w:pPr>
    </w:p>
    <w:p>
      <w:pPr>
        <w:pStyle w:val="5"/>
        <w:spacing w:line="560" w:lineRule="exact"/>
        <w:ind w:firstLine="0" w:firstLineChars="0"/>
        <w:jc w:val="left"/>
        <w:rPr>
          <w:rFonts w:hint="eastAsia" w:ascii="黑体" w:hAnsi="黑体" w:eastAsia="黑体" w:cs="黑体"/>
          <w:sz w:val="32"/>
          <w:szCs w:val="32"/>
        </w:rPr>
      </w:pPr>
      <w:r>
        <w:rPr>
          <w:sz w:val="28"/>
          <w:szCs w:val="28"/>
        </w:rPr>
        <w:br w:type="page"/>
      </w:r>
      <w:r>
        <w:rPr>
          <w:rFonts w:hint="eastAsia" w:ascii="黑体" w:hAnsi="黑体" w:eastAsia="黑体" w:cs="黑体"/>
          <w:sz w:val="32"/>
          <w:szCs w:val="32"/>
        </w:rPr>
        <w:t>附件2</w:t>
      </w:r>
    </w:p>
    <w:p>
      <w:pPr>
        <w:pStyle w:val="5"/>
        <w:spacing w:line="560" w:lineRule="exact"/>
        <w:ind w:firstLine="0" w:firstLineChars="0"/>
        <w:jc w:val="left"/>
        <w:rPr>
          <w:rFonts w:hint="eastAsia" w:ascii="黑体" w:hAnsi="黑体" w:eastAsia="黑体" w:cs="黑体"/>
          <w:sz w:val="32"/>
          <w:szCs w:val="32"/>
        </w:rPr>
      </w:pPr>
    </w:p>
    <w:p>
      <w:pPr>
        <w:spacing w:line="560" w:lineRule="exact"/>
        <w:jc w:val="center"/>
        <w:rPr>
          <w:rFonts w:eastAsia="方正小标宋_GBK"/>
          <w:sz w:val="36"/>
          <w:szCs w:val="36"/>
        </w:rPr>
      </w:pPr>
      <w:r>
        <w:rPr>
          <w:rFonts w:eastAsia="方正小标宋_GBK"/>
          <w:sz w:val="36"/>
          <w:szCs w:val="36"/>
        </w:rPr>
        <w:t>国家外汇管理局</w:t>
      </w:r>
      <w:r>
        <w:rPr>
          <w:rFonts w:hint="eastAsia" w:eastAsia="方正小标宋_GBK"/>
          <w:sz w:val="36"/>
          <w:szCs w:val="36"/>
        </w:rPr>
        <w:t>海南省分局</w:t>
      </w:r>
      <w:r>
        <w:rPr>
          <w:rFonts w:eastAsia="方正小标宋_GBK"/>
          <w:sz w:val="36"/>
          <w:szCs w:val="36"/>
        </w:rPr>
        <w:t>关于实行涉外收入</w:t>
      </w:r>
    </w:p>
    <w:p>
      <w:pPr>
        <w:spacing w:line="560" w:lineRule="exact"/>
        <w:jc w:val="center"/>
        <w:rPr>
          <w:rFonts w:eastAsia="仿宋_GB2312"/>
          <w:sz w:val="32"/>
        </w:rPr>
      </w:pPr>
      <w:r>
        <w:rPr>
          <w:rFonts w:eastAsia="方正小标宋_GBK"/>
          <w:sz w:val="36"/>
          <w:szCs w:val="36"/>
        </w:rPr>
        <w:t>“不申报、不解付”特殊处理措施的通知</w:t>
      </w:r>
    </w:p>
    <w:p>
      <w:pPr>
        <w:tabs>
          <w:tab w:val="left" w:pos="5860"/>
        </w:tabs>
        <w:spacing w:line="720" w:lineRule="exact"/>
        <w:rPr>
          <w:rFonts w:hint="eastAsia" w:ascii="仿宋_GB2312" w:hAnsi="仿宋_GB2312" w:eastAsia="仿宋_GB2312" w:cs="仿宋_GB2312"/>
          <w:sz w:val="32"/>
          <w:szCs w:val="32"/>
        </w:rPr>
      </w:pPr>
      <w:r>
        <w:rPr>
          <w:rFonts w:ascii="仿宋_GB2312" w:hAnsi="仿宋_GB2312" w:eastAsia="仿宋_GB2312" w:cs="仿宋_GB2312"/>
          <w:sz w:val="32"/>
          <w:szCs w:val="32"/>
        </w:rPr>
        <w:tab/>
      </w:r>
      <w:r>
        <w:rPr>
          <w:rFonts w:hint="eastAsia" w:ascii="仿宋_GB2312" w:hAnsi="仿宋_GB2312" w:eastAsia="仿宋_GB2312" w:cs="仿宋_GB2312"/>
          <w:sz w:val="32"/>
        </w:rPr>
        <w:t>编号：</w:t>
      </w:r>
    </w:p>
    <w:p>
      <w:pPr>
        <w:rPr>
          <w:rFonts w:hint="eastAsia" w:ascii="仿宋_GB2312"/>
          <w:szCs w:val="30"/>
        </w:rPr>
      </w:pPr>
    </w:p>
    <w:p>
      <w:pPr>
        <w:rPr>
          <w:rFonts w:hint="eastAsia" w:ascii="仿宋_GB2312" w:hAnsi="仿宋_GB2312" w:eastAsia="仿宋_GB2312" w:cs="仿宋_GB2312"/>
          <w:sz w:val="32"/>
          <w:szCs w:val="32"/>
        </w:rPr>
      </w:pPr>
      <w:r>
        <w:rPr>
          <w:rFonts w:hint="eastAsia" w:ascii="仿宋_GB2312"/>
          <w:szCs w:val="30"/>
        </w:rPr>
        <w:t>___________</w:t>
      </w:r>
      <w:r>
        <w:rPr>
          <w:rFonts w:hint="eastAsia" w:ascii="仿宋_GB2312" w:hAnsi="仿宋_GB2312" w:eastAsia="仿宋_GB2312" w:cs="仿宋_GB2312"/>
          <w:sz w:val="32"/>
          <w:szCs w:val="32"/>
        </w:rPr>
        <w:t>_（机构</w:t>
      </w:r>
      <w:r>
        <w:rPr>
          <w:rFonts w:ascii="仿宋_GB2312" w:hAnsi="仿宋_GB2312" w:eastAsia="仿宋_GB2312" w:cs="仿宋_GB2312"/>
          <w:sz w:val="32"/>
          <w:szCs w:val="32"/>
        </w:rPr>
        <w:t>名称</w:t>
      </w:r>
      <w:r>
        <w:rPr>
          <w:rFonts w:hint="eastAsia" w:ascii="仿宋_GB2312" w:hAnsi="仿宋_GB2312" w:eastAsia="仿宋_GB2312" w:cs="仿宋_GB2312"/>
          <w:sz w:val="32"/>
          <w:szCs w:val="32"/>
        </w:rPr>
        <w:t>）：</w:t>
      </w:r>
    </w:p>
    <w:p>
      <w:pPr>
        <w:pStyle w:val="4"/>
        <w:spacing w:line="72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根据《通过银行进行国际收支统计申报业务实施细则》（汇发〔2022〕22号文印发）和《</w:t>
      </w:r>
      <w:r>
        <w:rPr>
          <w:rFonts w:hint="eastAsia" w:ascii="仿宋_GB2312" w:hAnsi="仿宋_GB2312" w:eastAsia="仿宋_GB2312" w:cs="仿宋_GB2312"/>
          <w:kern w:val="2"/>
          <w:sz w:val="32"/>
          <w:szCs w:val="32"/>
        </w:rPr>
        <w:t>海南省机构申报主体涉外收入“不申报、不解付”特殊处理措施操作规程</w:t>
      </w:r>
      <w:r>
        <w:rPr>
          <w:rFonts w:hint="eastAsia" w:ascii="仿宋_GB2312" w:hAnsi="仿宋_GB2312" w:eastAsia="仿宋_GB2312" w:cs="仿宋_GB2312"/>
          <w:sz w:val="32"/>
          <w:szCs w:val="32"/>
        </w:rPr>
        <w:t>》（琼汇发〔    〕     号）相关规定，你机构未在涉外收入款项解付/结汇后的五个工作日内按规定办理涉外收入申报且情节严重，我分局决定自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日起对你机构实行“不申报、不解付”特殊处理措施。</w:t>
      </w:r>
    </w:p>
    <w:p>
      <w:pPr>
        <w:ind w:firstLine="640" w:firstLineChars="200"/>
        <w:rPr>
          <w:rFonts w:hint="eastAsia" w:ascii="仿宋_GB2312" w:hAnsi="仿宋_GB2312" w:eastAsia="仿宋_GB2312" w:cs="仿宋_GB2312"/>
          <w:sz w:val="32"/>
          <w:szCs w:val="32"/>
        </w:rPr>
      </w:pPr>
    </w:p>
    <w:p>
      <w:pPr>
        <w:snapToGrid w:val="0"/>
        <w:ind w:firstLine="4464" w:firstLineChars="1395"/>
        <w:rPr>
          <w:rFonts w:hint="eastAsia" w:ascii="仿宋_GB2312" w:hAnsi="仿宋_GB2312" w:eastAsia="仿宋_GB2312" w:cs="仿宋_GB2312"/>
          <w:sz w:val="32"/>
          <w:szCs w:val="32"/>
        </w:rPr>
      </w:pPr>
    </w:p>
    <w:p>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国家外汇管理局海南省分局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（盖章）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rPr>
          <w:rFonts w:eastAsia="仿宋_GB2312"/>
          <w:sz w:val="24"/>
        </w:rPr>
      </w:pPr>
    </w:p>
    <w:p>
      <w:pPr>
        <w:rPr>
          <w:rFonts w:eastAsia="仿宋_GB2312"/>
          <w:sz w:val="24"/>
        </w:rPr>
      </w:pPr>
    </w:p>
    <w:p>
      <w:pPr>
        <w:rPr>
          <w:rFonts w:hint="eastAsia" w:ascii="黑体" w:hAnsi="黑体" w:eastAsia="黑体" w:cs="黑体"/>
          <w:sz w:val="32"/>
          <w:szCs w:val="32"/>
        </w:rPr>
      </w:pPr>
      <w:r>
        <w:rPr>
          <w:rFonts w:eastAsia="黑体"/>
          <w:sz w:val="32"/>
          <w:szCs w:val="32"/>
        </w:rPr>
        <w:br w:type="page"/>
      </w:r>
      <w:r>
        <w:rPr>
          <w:rFonts w:hint="eastAsia" w:ascii="黑体" w:hAnsi="黑体" w:eastAsia="黑体" w:cs="黑体"/>
          <w:sz w:val="32"/>
          <w:szCs w:val="32"/>
        </w:rPr>
        <w:t>附件3</w:t>
      </w:r>
    </w:p>
    <w:p>
      <w:pPr>
        <w:rPr>
          <w:rFonts w:hint="eastAsia" w:ascii="黑体" w:hAnsi="黑体" w:eastAsia="黑体" w:cs="黑体"/>
          <w:sz w:val="32"/>
          <w:szCs w:val="32"/>
        </w:rPr>
      </w:pPr>
    </w:p>
    <w:p>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国家外汇管理局海南省分局</w:t>
      </w:r>
    </w:p>
    <w:p>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国际收支统计申报补报确认书</w:t>
      </w:r>
    </w:p>
    <w:p>
      <w:pPr>
        <w:rPr>
          <w:rFonts w:hint="eastAsia" w:ascii="仿宋_GB2312" w:hAnsi="仿宋_GB2312" w:eastAsia="仿宋_GB2312" w:cs="仿宋_GB2312"/>
          <w:sz w:val="32"/>
          <w:u w:val="single"/>
        </w:rPr>
      </w:pPr>
      <w:r>
        <w:rPr>
          <w:rFonts w:hint="eastAsia" w:ascii="仿宋_GB2312" w:hAnsi="仿宋_GB2312" w:eastAsia="仿宋_GB2312" w:cs="仿宋_GB2312"/>
          <w:sz w:val="32"/>
        </w:rPr>
        <w:t xml:space="preserve">                              编号：</w:t>
      </w:r>
      <w:r>
        <w:rPr>
          <w:rFonts w:hint="eastAsia" w:ascii="仿宋_GB2312" w:hAnsi="仿宋_GB2312" w:eastAsia="仿宋_GB2312" w:cs="仿宋_GB2312"/>
          <w:sz w:val="32"/>
          <w:u w:val="single"/>
        </w:rPr>
        <w:t xml:space="preserve">             </w:t>
      </w:r>
    </w:p>
    <w:p>
      <w:pPr>
        <w:rPr>
          <w:rFonts w:hint="eastAsia" w:ascii="仿宋_GB2312" w:hAnsi="仿宋_GB2312" w:eastAsia="仿宋_GB2312" w:cs="仿宋_GB2312"/>
          <w:sz w:val="32"/>
          <w:u w:val="single"/>
        </w:rPr>
      </w:pP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（机构名称）：</w:t>
      </w:r>
      <w:r>
        <w:rPr>
          <w:rFonts w:hint="eastAsia" w:ascii="仿宋_GB2312" w:hAnsi="仿宋_GB2312" w:eastAsia="仿宋_GB2312" w:cs="仿宋_GB2312"/>
          <w:b/>
          <w:bCs/>
          <w:sz w:val="32"/>
          <w:szCs w:val="32"/>
        </w:rPr>
        <w:t xml:space="preserve">　　　　       </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经我分局审核，你单位（主体标识码为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）已于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日完成逾期未申报的涉外收入款补申报手续，特此确认。</w:t>
      </w:r>
    </w:p>
    <w:p>
      <w:pPr>
        <w:snapToGrid w:val="0"/>
        <w:ind w:firstLine="2940" w:firstLineChars="1400"/>
        <w:rPr>
          <w:rFonts w:hint="eastAsia" w:ascii="仿宋_GB2312" w:hAnsi="仿宋_GB2312" w:eastAsia="仿宋_GB2312" w:cs="仿宋_GB2312"/>
          <w:szCs w:val="32"/>
        </w:rPr>
      </w:pPr>
    </w:p>
    <w:p>
      <w:pPr>
        <w:snapToGrid w:val="0"/>
        <w:ind w:firstLine="2940" w:firstLineChars="1400"/>
        <w:rPr>
          <w:rFonts w:hint="eastAsia" w:ascii="仿宋_GB2312" w:hAnsi="仿宋_GB2312" w:eastAsia="仿宋_GB2312" w:cs="仿宋_GB2312"/>
          <w:szCs w:val="32"/>
        </w:rPr>
      </w:pPr>
    </w:p>
    <w:p>
      <w:pPr>
        <w:snapToGrid w:val="0"/>
        <w:ind w:firstLine="2940" w:firstLineChars="1400"/>
        <w:rPr>
          <w:rFonts w:hint="eastAsia" w:ascii="仿宋_GB2312" w:hAnsi="仿宋_GB2312" w:eastAsia="仿宋_GB2312" w:cs="仿宋_GB2312"/>
          <w:szCs w:val="32"/>
        </w:rPr>
      </w:pPr>
    </w:p>
    <w:p>
      <w:pPr>
        <w:snapToGrid w:val="0"/>
        <w:ind w:firstLine="2940" w:firstLineChars="1400"/>
        <w:rPr>
          <w:rFonts w:hint="eastAsia" w:ascii="仿宋_GB2312" w:hAnsi="仿宋_GB2312" w:eastAsia="仿宋_GB2312" w:cs="仿宋_GB2312"/>
          <w:szCs w:val="32"/>
        </w:rPr>
      </w:pPr>
    </w:p>
    <w:p>
      <w:pPr>
        <w:snapToGrid w:val="0"/>
        <w:ind w:firstLine="2940" w:firstLineChars="1400"/>
        <w:rPr>
          <w:rFonts w:hint="eastAsia" w:ascii="仿宋_GB2312" w:hAnsi="仿宋_GB2312" w:eastAsia="仿宋_GB2312" w:cs="仿宋_GB2312"/>
          <w:szCs w:val="32"/>
        </w:rPr>
      </w:pPr>
    </w:p>
    <w:p>
      <w:pPr>
        <w:rPr>
          <w:rFonts w:hint="eastAsia" w:ascii="仿宋_GB2312" w:hAnsi="仿宋_GB2312" w:eastAsia="仿宋_GB2312" w:cs="仿宋_GB2312"/>
        </w:rPr>
      </w:pPr>
    </w:p>
    <w:p>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国家外汇管理局海南省分局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（盖章）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120" w:lineRule="auto"/>
        <w:ind w:firstLine="640" w:firstLineChars="200"/>
        <w:rPr>
          <w:rFonts w:hint="eastAsia" w:eastAsia="仿宋_GB2312"/>
          <w:sz w:val="32"/>
        </w:rPr>
      </w:pPr>
    </w:p>
    <w:p>
      <w:pPr>
        <w:spacing w:line="120" w:lineRule="auto"/>
        <w:ind w:firstLine="640" w:firstLineChars="200"/>
        <w:rPr>
          <w:rFonts w:hint="eastAsia" w:eastAsia="仿宋_GB2312"/>
          <w:sz w:val="32"/>
        </w:rPr>
      </w:pPr>
    </w:p>
    <w:p>
      <w:pPr>
        <w:spacing w:line="120" w:lineRule="auto"/>
        <w:ind w:firstLine="640" w:firstLineChars="200"/>
        <w:rPr>
          <w:rFonts w:hint="eastAsia" w:eastAsia="仿宋_GB2312"/>
          <w:sz w:val="32"/>
        </w:rPr>
      </w:pPr>
    </w:p>
    <w:p>
      <w:pPr>
        <w:rPr>
          <w:rFonts w:hint="eastAsia" w:ascii="仿宋_GB2312" w:hAnsi="仿宋_GB2312" w:eastAsia="仿宋_GB2312" w:cs="仿宋_GB2312"/>
          <w:sz w:val="32"/>
        </w:rPr>
      </w:pPr>
      <w:r>
        <w:rPr>
          <w:rFonts w:hint="eastAsia" w:ascii="仿宋_GB2312" w:hAnsi="仿宋_GB2312" w:eastAsia="仿宋_GB2312" w:cs="仿宋_GB2312"/>
          <w:sz w:val="24"/>
        </w:rPr>
        <w:t>注：主体标识码为机构统一社会信用代码的9-17位。</w:t>
      </w:r>
    </w:p>
    <w:p>
      <w:pPr>
        <w:pStyle w:val="5"/>
        <w:spacing w:line="560" w:lineRule="exact"/>
        <w:ind w:firstLine="0" w:firstLineChars="0"/>
        <w:rPr>
          <w:rFonts w:hint="eastAsia" w:ascii="黑体" w:hAnsi="黑体" w:eastAsia="黑体" w:cs="黑体"/>
          <w:sz w:val="32"/>
          <w:szCs w:val="32"/>
        </w:rPr>
      </w:pPr>
      <w:r>
        <w:br w:type="page"/>
      </w:r>
      <w:r>
        <w:rPr>
          <w:rFonts w:hint="eastAsia" w:ascii="黑体" w:hAnsi="黑体" w:eastAsia="黑体" w:cs="黑体"/>
          <w:sz w:val="32"/>
          <w:szCs w:val="32"/>
        </w:rPr>
        <w:t>附件4</w:t>
      </w:r>
    </w:p>
    <w:p>
      <w:pPr>
        <w:pStyle w:val="5"/>
        <w:spacing w:line="560" w:lineRule="exact"/>
        <w:ind w:firstLine="0" w:firstLineChars="0"/>
        <w:rPr>
          <w:rFonts w:hint="eastAsia" w:ascii="黑体" w:hAnsi="黑体" w:eastAsia="黑体" w:cs="黑体"/>
          <w:sz w:val="32"/>
          <w:szCs w:val="32"/>
        </w:rPr>
      </w:pPr>
    </w:p>
    <w:p>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国家外汇管理局海南省分局关于解除涉外收入</w:t>
      </w:r>
    </w:p>
    <w:p>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“不申报、不解付”特殊处理措施的通知</w:t>
      </w:r>
    </w:p>
    <w:p>
      <w:pPr>
        <w:rPr>
          <w:rFonts w:eastAsia="仿宋_GB2312"/>
          <w:sz w:val="32"/>
          <w:u w:val="single"/>
        </w:rPr>
      </w:pPr>
      <w:r>
        <w:rPr>
          <w:rFonts w:eastAsia="仿宋_GB2312"/>
          <w:sz w:val="32"/>
        </w:rPr>
        <w:t xml:space="preserve">                 </w:t>
      </w:r>
      <w:r>
        <w:rPr>
          <w:rFonts w:hint="eastAsia" w:eastAsia="仿宋_GB2312"/>
          <w:sz w:val="32"/>
        </w:rPr>
        <w:t xml:space="preserve">               </w:t>
      </w:r>
      <w:r>
        <w:rPr>
          <w:rFonts w:eastAsia="仿宋_GB2312"/>
          <w:sz w:val="32"/>
        </w:rPr>
        <w:t>编号：</w:t>
      </w:r>
      <w:r>
        <w:rPr>
          <w:rFonts w:eastAsia="仿宋_GB2312"/>
          <w:sz w:val="32"/>
          <w:u w:val="single"/>
        </w:rPr>
        <w:t xml:space="preserve">            </w:t>
      </w:r>
    </w:p>
    <w:p>
      <w:pPr>
        <w:rPr>
          <w:rFonts w:eastAsia="仿宋_GB2312"/>
          <w:sz w:val="32"/>
          <w:u w:val="single"/>
        </w:rPr>
      </w:pPr>
    </w:p>
    <w:p>
      <w:pPr>
        <w:spacing w:line="520" w:lineRule="exact"/>
        <w:rPr>
          <w:rFonts w:hint="eastAsia" w:ascii="仿宋_GB2312" w:hAnsi="仿宋_GB2312" w:eastAsia="仿宋_GB2312" w:cs="仿宋_GB2312"/>
          <w:sz w:val="32"/>
          <w:szCs w:val="32"/>
        </w:rPr>
      </w:pPr>
      <w:r>
        <w:rPr>
          <w:rFonts w:hint="eastAsia" w:ascii="仿宋_GB2312" w:eastAsia="仿宋_GB2312"/>
          <w:sz w:val="30"/>
        </w:rPr>
        <w:t>_</w:t>
      </w:r>
      <w:r>
        <w:rPr>
          <w:rFonts w:hint="eastAsia" w:ascii="仿宋_GB2312" w:hAnsi="仿宋_GB2312" w:eastAsia="仿宋_GB2312" w:cs="仿宋_GB2312"/>
          <w:sz w:val="32"/>
          <w:szCs w:val="32"/>
        </w:rPr>
        <w:t>__________（机构名称）：</w:t>
      </w:r>
    </w:p>
    <w:p>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兹确认你机构已于____年____月____日完成____笔涉外收入款项的补申报。现决定，自____年____月____日起，解除对你机构的“不申报、不解付”特殊处理措施。你机构应严格按照《国家外汇管理局关于印发&lt;</w:t>
      </w:r>
      <w:r>
        <w:rPr>
          <w:rFonts w:hint="eastAsia" w:ascii="仿宋_GB2312" w:hAnsi="仿宋_GB2312" w:eastAsia="仿宋_GB2312" w:cs="仿宋_GB2312"/>
          <w:sz w:val="32"/>
          <w:szCs w:val="32"/>
          <w:highlight w:val="none"/>
        </w:rPr>
        <w:t>通过银行进行国际收支统计申报业务实施细则&gt;的通知》（汇发〔2022〕22号）</w:t>
      </w:r>
      <w:r>
        <w:rPr>
          <w:rFonts w:hint="eastAsia" w:ascii="仿宋_GB2312" w:hAnsi="仿宋_GB2312" w:eastAsia="仿宋_GB2312" w:cs="仿宋_GB2312"/>
          <w:sz w:val="32"/>
          <w:szCs w:val="32"/>
        </w:rPr>
        <w:t>有关规定办理涉外收入款项的国际收支间接申报和解付手续。</w:t>
      </w:r>
    </w:p>
    <w:p>
      <w:pPr>
        <w:spacing w:line="580" w:lineRule="exact"/>
        <w:ind w:firstLine="640" w:firstLineChars="200"/>
        <w:rPr>
          <w:rFonts w:eastAsia="仿宋_GB2312"/>
          <w:sz w:val="32"/>
        </w:rPr>
      </w:pPr>
    </w:p>
    <w:p>
      <w:pPr>
        <w:spacing w:line="580" w:lineRule="exact"/>
        <w:ind w:firstLine="640" w:firstLineChars="200"/>
        <w:rPr>
          <w:rFonts w:eastAsia="仿宋_GB2312"/>
          <w:sz w:val="32"/>
        </w:rPr>
      </w:pPr>
    </w:p>
    <w:p>
      <w:pPr>
        <w:ind w:firstLine="640" w:firstLineChars="200"/>
        <w:jc w:val="right"/>
        <w:rPr>
          <w:rFonts w:eastAsia="仿宋_GB2312"/>
          <w:sz w:val="32"/>
          <w:szCs w:val="32"/>
        </w:rPr>
      </w:pPr>
      <w:r>
        <w:rPr>
          <w:rFonts w:eastAsia="仿宋_GB2312"/>
          <w:sz w:val="32"/>
        </w:rPr>
        <w:t xml:space="preserve">   </w:t>
      </w:r>
      <w:r>
        <w:rPr>
          <w:rFonts w:eastAsia="仿宋_GB2312"/>
          <w:sz w:val="32"/>
          <w:szCs w:val="32"/>
        </w:rPr>
        <w:t xml:space="preserve">           国家外汇管理局</w:t>
      </w:r>
      <w:r>
        <w:rPr>
          <w:rFonts w:hint="eastAsia" w:eastAsia="仿宋_GB2312"/>
          <w:sz w:val="32"/>
          <w:szCs w:val="32"/>
        </w:rPr>
        <w:t>海南省分局</w:t>
      </w:r>
    </w:p>
    <w:p>
      <w:pPr>
        <w:spacing w:line="120" w:lineRule="auto"/>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（盖章）</w:t>
      </w:r>
    </w:p>
    <w:p>
      <w:pPr>
        <w:spacing w:line="120" w:lineRule="auto"/>
        <w:ind w:firstLine="640" w:firstLineChars="200"/>
        <w:rPr>
          <w:rFonts w:hint="eastAsia" w:eastAsia="仿宋_GB2312"/>
          <w:sz w:val="32"/>
          <w:szCs w:val="32"/>
        </w:rPr>
      </w:pPr>
      <w:r>
        <w:rPr>
          <w:rFonts w:hint="eastAsia" w:eastAsia="黑体"/>
          <w:sz w:val="32"/>
          <w:szCs w:val="32"/>
        </w:rPr>
        <w:t xml:space="preserve">                                  </w:t>
      </w:r>
      <w:r>
        <w:rPr>
          <w:rFonts w:hint="eastAsia" w:eastAsia="仿宋_GB2312"/>
          <w:sz w:val="32"/>
          <w:szCs w:val="32"/>
        </w:rPr>
        <w:t xml:space="preserve">  年   月   日</w:t>
      </w:r>
    </w:p>
    <w:p/>
    <w:sectPr>
      <w:footerReference r:id="rId4" w:type="default"/>
      <w:pgSz w:w="11906" w:h="16838"/>
      <w:pgMar w:top="2098" w:right="1531" w:bottom="1984" w:left="1531" w:header="851" w:footer="1417" w:gutter="0"/>
      <w:pgNumType w:start="3"/>
      <w:cols w:space="720" w:num="1"/>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kern w:val="2"/>
        <w:sz w:val="18"/>
        <w:szCs w:val="24"/>
        <w:lang w:val="en-US" w:eastAsia="zh-CN" w:bidi="ar-SA"/>
      </w:rPr>
      <w:pict>
        <v:shape id="文本框 1" o:spid="_x0000_s1025" type="#_x0000_t202" style="position:absolute;left:0;margin-top:0.15pt;height:18.15pt;width:80.65pt;mso-position-horizontal:outside;mso-position-horizontal-relative:margin;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宋体" w:hAnsi="宋体" w:cs="宋体"/>
                    <w:sz w:val="28"/>
                    <w:szCs w:val="28"/>
                  </w:rPr>
                </w:pPr>
                <w:r>
                  <w:rPr>
                    <w:rFonts w:hint="eastAsia" w:ascii="宋体" w:hAnsi="宋体" w:cs="宋体"/>
                    <w:sz w:val="28"/>
                    <w:szCs w:val="28"/>
                  </w:rPr>
                  <w:t xml:space="preserve">  —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annotation subject"/>
    <w:lsdException w:uiPriority="99" w:semiHidden="0" w:name="Balloon Text"/>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uiPriority w:val="0"/>
  </w:style>
  <w:style w:type="paragraph" w:styleId="2">
    <w:name w:val="annotation subject"/>
    <w:basedOn w:val="3"/>
    <w:next w:val="3"/>
    <w:link w:val="12"/>
    <w:unhideWhenUsed/>
    <w:uiPriority w:val="99"/>
    <w:rPr>
      <w:b/>
      <w:bCs/>
    </w:rPr>
  </w:style>
  <w:style w:type="paragraph" w:styleId="3">
    <w:name w:val="annotation text"/>
    <w:basedOn w:val="1"/>
    <w:link w:val="13"/>
    <w:unhideWhenUsed/>
    <w:uiPriority w:val="99"/>
    <w:pPr>
      <w:jc w:val="left"/>
    </w:pPr>
  </w:style>
  <w:style w:type="paragraph" w:styleId="4">
    <w:name w:val="Body Text"/>
    <w:basedOn w:val="1"/>
    <w:unhideWhenUsed/>
    <w:uiPriority w:val="99"/>
  </w:style>
  <w:style w:type="paragraph" w:styleId="5">
    <w:name w:val="Body Text Indent"/>
    <w:basedOn w:val="1"/>
    <w:unhideWhenUsed/>
    <w:uiPriority w:val="0"/>
    <w:pPr>
      <w:ind w:firstLine="600" w:firstLineChars="200"/>
    </w:pPr>
    <w:rPr>
      <w:rFonts w:eastAsia="仿宋_GB2312"/>
      <w:sz w:val="30"/>
    </w:rPr>
  </w:style>
  <w:style w:type="paragraph" w:styleId="6">
    <w:name w:val="Balloon Text"/>
    <w:basedOn w:val="1"/>
    <w:link w:val="14"/>
    <w:unhideWhenUsed/>
    <w:uiPriority w:val="99"/>
    <w:rPr>
      <w:sz w:val="18"/>
      <w:szCs w:val="18"/>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10">
    <w:name w:val="page number"/>
    <w:basedOn w:val="9"/>
    <w:unhideWhenUsed/>
    <w:uiPriority w:val="99"/>
    <w:rPr/>
  </w:style>
  <w:style w:type="character" w:styleId="11">
    <w:name w:val="annotation reference"/>
    <w:basedOn w:val="9"/>
    <w:unhideWhenUsed/>
    <w:uiPriority w:val="99"/>
    <w:rPr>
      <w:sz w:val="21"/>
      <w:szCs w:val="21"/>
    </w:rPr>
  </w:style>
  <w:style w:type="character" w:customStyle="1" w:styleId="12">
    <w:name w:val="批注主题 Char Char Char"/>
    <w:basedOn w:val="13"/>
    <w:link w:val="2"/>
    <w:uiPriority w:val="99"/>
    <w:rPr>
      <w:b/>
      <w:bCs/>
    </w:rPr>
  </w:style>
  <w:style w:type="character" w:customStyle="1" w:styleId="13">
    <w:name w:val="批注文字 Char Char Char"/>
    <w:basedOn w:val="9"/>
    <w:link w:val="3"/>
    <w:uiPriority w:val="99"/>
    <w:rPr>
      <w:kern w:val="2"/>
      <w:sz w:val="21"/>
      <w:szCs w:val="24"/>
    </w:rPr>
  </w:style>
  <w:style w:type="character" w:customStyle="1" w:styleId="14">
    <w:name w:val="批注框文本 Char Char Char"/>
    <w:basedOn w:val="9"/>
    <w:link w:val="6"/>
    <w:uiPriority w:val="99"/>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598</Words>
  <Characters>3415</Characters>
  <Lines>28</Lines>
  <Paragraphs>8</Paragraphs>
  <ScaleCrop>false</ScaleCrop>
  <LinksUpToDate>false</LinksUpToDate>
  <CharactersWithSpaces>4005</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2024-05-28T07:31:00Z</dcterms:created>
  <dc:creator>pbcnn</dc:creator>
  <cp:lastModifiedBy>袁佳文/办公室/海口/PBC</cp:lastModifiedBy>
  <cp:lastPrinted>2025-01-24T09:28:18Z</cp:lastPrinted>
  <dcterms:modified xsi:type="dcterms:W3CDTF">2025-01-24T09:30:07Z</dcterms:modified>
  <dc:title>广西国际收支统计“不申报、不解付”特殊处理措施管理制度</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