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附件</w:t>
      </w:r>
    </w:p>
    <w:p>
      <w:pPr>
        <w:jc w:val="left"/>
        <w:rPr>
          <w:rFonts w:hint="eastAsia" w:ascii="黑体" w:hAnsi="黑体" w:eastAsia="黑体" w:cs="黑体"/>
          <w:b w:val="0"/>
          <w:bCs w:val="0"/>
          <w:sz w:val="32"/>
          <w:szCs w:val="32"/>
          <w:lang w:val="en" w:eastAsia="zh-CN"/>
        </w:rPr>
      </w:pPr>
    </w:p>
    <w:p>
      <w:pPr>
        <w:jc w:val="center"/>
        <w:rPr>
          <w:rFonts w:hint="eastAsia" w:ascii="华文宋体" w:hAnsi="华文宋体" w:eastAsia="华文宋体"/>
          <w:b/>
          <w:bCs/>
          <w:sz w:val="10"/>
          <w:szCs w:val="10"/>
        </w:rPr>
      </w:pPr>
    </w:p>
    <w:p>
      <w:pPr>
        <w:jc w:val="center"/>
        <w:rPr>
          <w:rFonts w:hint="eastAsia" w:ascii="华文宋体" w:hAnsi="华文宋体" w:eastAsia="华文宋体"/>
          <w:b/>
          <w:bCs/>
          <w:sz w:val="44"/>
          <w:szCs w:val="44"/>
        </w:rPr>
      </w:pPr>
      <w:r>
        <w:rPr>
          <w:rFonts w:hint="eastAsia" w:ascii="华文宋体" w:hAnsi="华文宋体" w:eastAsia="华文宋体"/>
          <w:b/>
          <w:bCs/>
          <w:sz w:val="44"/>
          <w:szCs w:val="44"/>
        </w:rPr>
        <w:t>资产评估机构从事证券服务业务备案办法</w:t>
      </w:r>
    </w:p>
    <w:p>
      <w:pPr>
        <w:jc w:val="center"/>
        <w:rPr>
          <w:rFonts w:hint="eastAsia" w:ascii="华文宋体" w:hAnsi="华文宋体" w:eastAsia="华文宋体"/>
          <w:b/>
          <w:bCs/>
          <w:sz w:val="44"/>
          <w:szCs w:val="44"/>
        </w:rPr>
      </w:pPr>
    </w:p>
    <w:p>
      <w:pPr>
        <w:jc w:val="center"/>
        <w:rPr>
          <w:rFonts w:hint="eastAsia"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总则</w:t>
      </w:r>
    </w:p>
    <w:p>
      <w:pPr>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第一条 为加强对资产评估机构从事证券服务业务的监督管理，规范资产评估机构从事证券服务业务备案行为，根据《中华人民共和国资产评估法》、《中华人民共和国证券法》等规定，制定本办法。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财政部、中国证监会依法对资产评估机构从事证券服务业务的备案行为实施监督管理。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中国资产评估协会对资产评估机构从事证券服务业务实施自律管理。</w:t>
      </w:r>
    </w:p>
    <w:p>
      <w:pPr>
        <w:widowControl/>
        <w:ind w:firstLine="640"/>
        <w:rPr>
          <w:rFonts w:hint="eastAsia" w:ascii="仿宋_GB2312" w:hAnsi="仿宋_GB2312" w:eastAsia="仿宋_GB2312" w:cs="仿宋_GB2312"/>
          <w:color w:val="FF0000"/>
          <w:sz w:val="32"/>
          <w:szCs w:val="32"/>
          <w:u w:val="single"/>
          <w:lang w:eastAsia="zh-CN" w:bidi="ar"/>
        </w:rPr>
      </w:pPr>
      <w:r>
        <w:rPr>
          <w:rFonts w:hint="eastAsia" w:ascii="仿宋_GB2312" w:hAnsi="仿宋_GB2312" w:eastAsia="仿宋_GB2312" w:cs="仿宋_GB2312"/>
          <w:sz w:val="32"/>
          <w:szCs w:val="32"/>
        </w:rPr>
        <w:t>财政部、中国证监会为资产评估机构从事证券服务业务备案，不代表对其从事证券服务业务执业能力的认可。</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bookmarkStart w:id="0" w:name="_GoBack"/>
      <w:bookmarkEnd w:id="0"/>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资产评估机构拟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下列证券业务活动出具资产评估报告的</w:t>
      </w:r>
      <w:r>
        <w:rPr>
          <w:rFonts w:hint="eastAsia" w:ascii="仿宋_GB2312" w:hAnsi="仿宋_GB2312" w:eastAsia="仿宋_GB2312" w:cs="仿宋_GB2312"/>
          <w:sz w:val="32"/>
          <w:szCs w:val="32"/>
        </w:rPr>
        <w:t>，应当按照本办法进行备案：</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（一）首次公开发行股票或存托凭证并上市；</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（二）发行公司（企业）债券、资产支持证券（</w:t>
      </w:r>
      <w:r>
        <w:rPr>
          <w:rFonts w:hint="eastAsia" w:ascii="仿宋_GB2312" w:hAnsi="仿宋_GB2312" w:eastAsia="仿宋_GB2312" w:cs="仿宋_GB2312"/>
          <w:sz w:val="32"/>
          <w:szCs w:val="32"/>
          <w:lang w:val="en-US" w:eastAsia="zh-CN"/>
        </w:rPr>
        <w:t>ABS</w:t>
      </w:r>
      <w:r>
        <w:rPr>
          <w:rFonts w:hint="eastAsia" w:ascii="仿宋_GB2312" w:hAnsi="仿宋_GB2312" w:eastAsia="仿宋_GB2312" w:cs="仿宋_GB2312"/>
          <w:sz w:val="32"/>
          <w:szCs w:val="32"/>
          <w:lang w:eastAsia="zh-CN"/>
        </w:rPr>
        <w:t>）、不动产投资信托基金（</w:t>
      </w:r>
      <w:r>
        <w:rPr>
          <w:rFonts w:hint="eastAsia" w:ascii="仿宋_GB2312" w:hAnsi="仿宋_GB2312" w:eastAsia="仿宋_GB2312" w:cs="仿宋_GB2312"/>
          <w:sz w:val="32"/>
          <w:szCs w:val="32"/>
          <w:lang w:val="en-US" w:eastAsia="zh-CN"/>
        </w:rPr>
        <w:t>REITs</w:t>
      </w:r>
      <w:r>
        <w:rPr>
          <w:rFonts w:hint="eastAsia" w:ascii="仿宋_GB2312" w:hAnsi="仿宋_GB2312" w:eastAsia="仿宋_GB2312" w:cs="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（三）上市公司、全国中小企业股份转让</w:t>
      </w:r>
      <w:r>
        <w:rPr>
          <w:rFonts w:hint="eastAsia" w:ascii="仿宋_GB2312" w:hAnsi="仿宋_GB2312" w:eastAsia="仿宋_GB2312" w:cs="仿宋_GB2312"/>
          <w:sz w:val="32"/>
          <w:szCs w:val="32"/>
          <w:highlight w:val="none"/>
          <w:lang w:eastAsia="zh-CN"/>
        </w:rPr>
        <w:t>系统</w:t>
      </w:r>
      <w:r>
        <w:rPr>
          <w:rFonts w:hint="eastAsia" w:ascii="仿宋_GB2312" w:hAnsi="仿宋_GB2312" w:eastAsia="仿宋_GB2312" w:cs="仿宋_GB2312"/>
          <w:sz w:val="32"/>
          <w:szCs w:val="32"/>
          <w:lang w:eastAsia="zh-CN"/>
        </w:rPr>
        <w:t>挂牌公司（以下简称挂牌公司）发行证券；</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（四）上市公司、挂牌公司重大资产重组；</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（五）上市公司、挂牌公司以财务报告为目的的评估；</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（六）其他涉及</w:t>
      </w:r>
      <w:r>
        <w:rPr>
          <w:rFonts w:hint="eastAsia" w:ascii="仿宋_GB2312" w:hAnsi="仿宋_GB2312" w:eastAsia="仿宋_GB2312" w:cs="仿宋_GB2312"/>
          <w:sz w:val="32"/>
          <w:szCs w:val="32"/>
          <w:highlight w:val="none"/>
          <w:lang w:eastAsia="zh-CN"/>
        </w:rPr>
        <w:t>公开信息披露</w:t>
      </w:r>
      <w:r>
        <w:rPr>
          <w:rFonts w:hint="eastAsia" w:ascii="仿宋_GB2312" w:hAnsi="仿宋_GB2312" w:eastAsia="仿宋_GB2312" w:cs="仿宋_GB2312"/>
          <w:sz w:val="32"/>
          <w:szCs w:val="32"/>
          <w:lang w:eastAsia="zh-CN"/>
        </w:rPr>
        <w:t>或引用的评估；</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（七）证券公司及其资产管理产品的评估；</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（八）财政部、中国证监会规定的其他业务。</w:t>
      </w:r>
    </w:p>
    <w:p>
      <w:pPr>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证券业务活动中使用的资产评估报告，应当由符合本办法规定的</w:t>
      </w:r>
      <w:r>
        <w:rPr>
          <w:rFonts w:hint="eastAsia" w:ascii="仿宋_GB2312" w:hAnsi="仿宋_GB2312" w:eastAsia="仿宋_GB2312" w:cs="仿宋_GB2312"/>
          <w:sz w:val="32"/>
          <w:szCs w:val="32"/>
        </w:rPr>
        <w:t>资产评估机构出具。</w:t>
      </w:r>
    </w:p>
    <w:p>
      <w:pPr>
        <w:jc w:val="left"/>
        <w:rPr>
          <w:rFonts w:hint="eastAsia" w:ascii="黑体" w:hAnsi="黑体" w:eastAsia="黑体"/>
          <w:sz w:val="24"/>
          <w:szCs w:val="24"/>
        </w:rPr>
      </w:pPr>
    </w:p>
    <w:p>
      <w:pPr>
        <w:jc w:val="center"/>
        <w:rPr>
          <w:rFonts w:hint="eastAsia"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备案要求、材料和方式</w:t>
      </w:r>
    </w:p>
    <w:p>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第五条 资产评估机构从事证券服务业务备案，按照业务环节分为首次备案、重大事项备案、年度备案。</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符合本办法第七条规定的资产评估机构首次从事证券服务业务</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，应当通过财政部资产评估行业管理统一信息平台（以下简称财政部备案平台）、中国证监会政务服务平台资产评估机构备案系统（以下简称中国证监会备案系统）向财政部、中国证监会</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备案。</w:t>
      </w:r>
    </w:p>
    <w:p>
      <w:pPr>
        <w:ind w:firstLine="65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财政部、中国证监会加强数据对接，推进数据</w:t>
      </w:r>
      <w:r>
        <w:rPr>
          <w:rFonts w:hint="eastAsia" w:ascii="仿宋_GB2312" w:hAnsi="仿宋_GB2312" w:eastAsia="仿宋_GB2312" w:cs="仿宋_GB2312"/>
          <w:sz w:val="32"/>
          <w:szCs w:val="32"/>
          <w:highlight w:val="none"/>
        </w:rPr>
        <w:t>共享。</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w:t>
      </w:r>
      <w:r>
        <w:rPr>
          <w:rFonts w:hint="eastAsia" w:ascii="仿宋_GB2312" w:hAnsi="仿宋_GB2312" w:eastAsia="仿宋_GB2312" w:cs="仿宋_GB2312"/>
          <w:sz w:val="32"/>
          <w:szCs w:val="32"/>
          <w:highlight w:val="none"/>
        </w:rPr>
        <w:t>从事证券服务业务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资产评估机构应当</w:t>
      </w:r>
      <w:r>
        <w:rPr>
          <w:rFonts w:hint="eastAsia" w:ascii="仿宋_GB2312" w:hAnsi="仿宋_GB2312" w:eastAsia="仿宋_GB2312" w:cs="仿宋_GB2312"/>
          <w:sz w:val="32"/>
          <w:szCs w:val="32"/>
          <w:highlight w:val="none"/>
          <w:lang w:eastAsia="zh-CN"/>
        </w:rPr>
        <w:t>符</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下列要求：</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（一）内部管理规范，已建立人员管理、财务管理、业务管理、技术标准和信息化建设等内部管理制度并且运行良好；</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（二）质量控制体系健全并且运行良好；</w:t>
      </w:r>
    </w:p>
    <w:p>
      <w:pPr>
        <w:ind w:firstLine="653"/>
        <w:rPr>
          <w:rFonts w:hint="eastAsia" w:ascii="仿宋_GB2312" w:hAnsi="仿宋_GB2312" w:eastAsia="仿宋_GB2312" w:cs="仿宋_GB2312"/>
          <w:sz w:val="32"/>
          <w:szCs w:val="32"/>
          <w:highlight w:val="green"/>
        </w:rPr>
      </w:pPr>
      <w:r>
        <w:rPr>
          <w:rFonts w:hint="eastAsia" w:ascii="仿宋_GB2312" w:hAnsi="仿宋_GB2312" w:eastAsia="仿宋_GB2312" w:cs="仿宋_GB2312"/>
          <w:sz w:val="32"/>
          <w:szCs w:val="32"/>
        </w:rPr>
        <w:t>（三）具备与从事证券服务业务相匹配的执业人员；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（四）按照资产评估机构职业风险基金管理的有关规定提取职业风险基金或者购买职业责任保险；</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诚信记录良好</w:t>
      </w:r>
      <w:r>
        <w:rPr>
          <w:rFonts w:hint="eastAsia" w:ascii="仿宋_GB2312" w:hAnsi="仿宋_GB2312" w:eastAsia="仿宋_GB2312" w:cs="仿宋_GB2312"/>
          <w:sz w:val="32"/>
          <w:szCs w:val="32"/>
        </w:rPr>
        <w:t>；</w:t>
      </w:r>
    </w:p>
    <w:p>
      <w:pPr>
        <w:ind w:firstLine="653"/>
        <w:rPr>
          <w:rFonts w:hint="eastAsia" w:ascii="仿宋_GB2312" w:hAnsi="仿宋_GB2312" w:eastAsia="仿宋_GB2312" w:cs="仿宋_GB2312"/>
          <w:i/>
          <w:iCs/>
          <w:sz w:val="32"/>
          <w:szCs w:val="32"/>
        </w:rPr>
      </w:pPr>
      <w:r>
        <w:rPr>
          <w:rFonts w:hint="eastAsia" w:ascii="仿宋_GB2312" w:hAnsi="仿宋_GB2312" w:eastAsia="仿宋_GB2312" w:cs="仿宋_GB2312"/>
          <w:sz w:val="32"/>
          <w:szCs w:val="32"/>
        </w:rPr>
        <w:t>（六）备案材料齐备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相关材料和信息真实、准确、完整。</w:t>
      </w:r>
    </w:p>
    <w:p>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资产评估机构首次备案应当报送下列材料：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（一）资产评估机构从事证券服务业务备案表（附1）；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（二）人员管理、财务管理、业务管理、技术标准和信息化建设等内部管理制度及执行情况的具体说明（附2）；</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（三）质量控制制度及运行情况说明；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（四）近3年已开展的资产评估业务清单（附3）；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（五）截至备案上月末资产评估师及管理人员情况表（附4）；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人员近3年因执业行为涉嫌违法违规被省级以上财政部门、中国证监会及其派出机构立案调查，或者被司法机关侦查，以及因执业行为受到刑事处罚、</w:t>
      </w:r>
      <w:r>
        <w:rPr>
          <w:rFonts w:hint="eastAsia" w:ascii="仿宋_GB2312" w:hAnsi="仿宋_GB2312" w:eastAsia="仿宋_GB2312" w:cs="仿宋_GB2312"/>
          <w:sz w:val="32"/>
          <w:szCs w:val="32"/>
          <w:highlight w:val="none"/>
        </w:rPr>
        <w:t>行政处罚、行政处理</w:t>
      </w:r>
      <w:r>
        <w:rPr>
          <w:rFonts w:hint="eastAsia" w:ascii="仿宋_GB2312" w:hAnsi="仿宋_GB2312" w:eastAsia="仿宋_GB2312" w:cs="仿宋_GB2312"/>
          <w:sz w:val="32"/>
          <w:szCs w:val="32"/>
        </w:rPr>
        <w:t>或者采取监督管理措施、自律惩戒、纪律处分的情况（附5）；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（七）上一年度经审计的财务报表；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（八）职业责任保险或者职业风险基金情况说明及支持性文件（附6）；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（九）拟承接的证券服务业务（如有）有关情况说明（附7）；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（十）财政部、中国证监会规定的其他材料。</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资产评估机构从事证券服务业务，发生下列重大事项的，应当进行重大事项备案：</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（二）法定代表人（执行合伙事务的合伙人）变更；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（三）合伙人或者股东变更；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（四）经营场所变更；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（五）组织形式变更；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（六）设立或者撤销分支机构；</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（七）质量控制负责人变更；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（八）内部管理制度、质量控制制度发生重大变更；</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因执业行为涉嫌违法违规被省级以上财政部门、中国证监会及其派出机构、其他境内监管机构检查调查，或者被司法机关侦查，以及因执业行为受到刑事处罚、行政处罚、行政处理或者采取监督管理措施、自律惩戒、纪律处分，或者因执业行为被境外监管机构调查、</w:t>
      </w:r>
      <w:r>
        <w:rPr>
          <w:rFonts w:hint="eastAsia" w:ascii="仿宋_GB2312" w:hAnsi="仿宋_GB2312" w:eastAsia="仿宋_GB2312" w:cs="仿宋_GB2312"/>
          <w:sz w:val="32"/>
          <w:szCs w:val="32"/>
          <w:highlight w:val="none"/>
          <w:lang w:eastAsia="zh-CN"/>
        </w:rPr>
        <w:t>处理处罚</w:t>
      </w:r>
      <w:r>
        <w:rPr>
          <w:rFonts w:hint="eastAsia" w:ascii="仿宋_GB2312" w:hAnsi="仿宋_GB2312" w:eastAsia="仿宋_GB2312" w:cs="仿宋_GB2312"/>
          <w:sz w:val="32"/>
          <w:szCs w:val="32"/>
          <w:highlight w:val="none"/>
        </w:rPr>
        <w:t>；</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人员因执业行为与委托人、投资者发生民事纠纷，进行诉讼或者仲裁；</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（十一）出现不满足本办法第七条第（一）至（四）项关于内部管理、质量控制体系、执业人员、职业风险基金或者职业责任保险要求的情形；</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（十二）财政部、中国证监会规定的其他重大事项。</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机构发生上述第（一）至（六）项重大事项，应当按照规定在财政部门履行相关变更程序，财政部将相关信息推送至中国证监会，资产评估机构无需在中国证监会备案系统中填报；发生其他重大事项的，资产评估机构应当在该事项发生之日起10个工作日内在财政部备案平台、中国证监会备案系统</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填报。</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资产评估机构从事证券服务业务，应当在每年5月31日前在财政部备案平台、中国证监会备案系统</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提交年度备案表（附8）和上一年度从事的证券服务业务清单。</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年度备案内容包括资产评估机构基本情况和经营情况，内部管理和质量控制制度执行</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变动情况，执业人员变动和执业情况，职业风险基金和职业责任保险情况，资产评估机构和执业人员</w:t>
      </w:r>
      <w:r>
        <w:rPr>
          <w:rFonts w:hint="eastAsia" w:ascii="仿宋_GB2312" w:hAnsi="仿宋_GB2312" w:eastAsia="仿宋_GB2312" w:cs="仿宋_GB2312"/>
          <w:sz w:val="32"/>
          <w:szCs w:val="32"/>
          <w:highlight w:val="none"/>
        </w:rPr>
        <w:t>处理处罚</w:t>
      </w:r>
      <w:r>
        <w:rPr>
          <w:rFonts w:hint="eastAsia" w:ascii="仿宋_GB2312" w:hAnsi="仿宋_GB2312" w:eastAsia="仿宋_GB2312" w:cs="仿宋_GB2312"/>
          <w:sz w:val="32"/>
          <w:szCs w:val="32"/>
        </w:rPr>
        <w:t>情况，上一年度开展证券服务业务情况，以及财政部、中国证监会规定的其他事项。</w:t>
      </w:r>
    </w:p>
    <w:p>
      <w:pPr>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第十一条 资产评估机构应当在每年5月31日前按照有关要求公开上一年度基本情况、诚信记录、执业情况等相关信息。</w:t>
      </w:r>
    </w:p>
    <w:p>
      <w:pPr>
        <w:ind w:firstLine="480" w:firstLineChars="200"/>
        <w:jc w:val="center"/>
        <w:rPr>
          <w:rFonts w:hint="eastAsia" w:ascii="黑体" w:hAnsi="黑体" w:eastAsia="黑体"/>
          <w:sz w:val="24"/>
          <w:szCs w:val="24"/>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备案核验、公告和注销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财政部、中国证监会对资产评估机构提交的备案材料开展核验。备案核验通常采用审阅</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面谈</w:t>
      </w:r>
      <w:r>
        <w:rPr>
          <w:rFonts w:hint="eastAsia" w:ascii="仿宋_GB2312" w:hAnsi="仿宋_GB2312" w:eastAsia="仿宋_GB2312" w:cs="仿宋_GB2312"/>
          <w:sz w:val="32"/>
          <w:szCs w:val="32"/>
        </w:rPr>
        <w:t>、征询意见等方式，必要时采用现场核验。</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第十三条 财政部、中国证监会发现首次备案材料不完备或者不符合规定的，应当在收到材料之日（不含）起10个工作日内一次性告知资产评估机构补正备案材料。资产评估机构应当在被告知之日（</w:t>
      </w:r>
      <w:r>
        <w:rPr>
          <w:rFonts w:hint="eastAsia" w:ascii="仿宋_GB2312" w:hAnsi="仿宋_GB2312" w:eastAsia="仿宋_GB2312" w:cs="仿宋_GB2312"/>
          <w:sz w:val="32"/>
          <w:szCs w:val="32"/>
          <w:highlight w:val="none"/>
        </w:rPr>
        <w:t>不含）起10个工作日内补正。逾期未补正的，视为未提交备案材料。首次备案经审阅材料完备</w:t>
      </w:r>
      <w:r>
        <w:rPr>
          <w:rFonts w:hint="eastAsia" w:ascii="仿宋_GB2312" w:hAnsi="仿宋_GB2312" w:eastAsia="仿宋_GB2312" w:cs="仿宋_GB2312"/>
          <w:sz w:val="32"/>
          <w:szCs w:val="32"/>
          <w:highlight w:val="none"/>
          <w:lang w:eastAsia="zh-CN"/>
        </w:rPr>
        <w:t>且符合规定</w:t>
      </w:r>
      <w:r>
        <w:rPr>
          <w:rFonts w:hint="eastAsia" w:ascii="仿宋_GB2312" w:hAnsi="仿宋_GB2312" w:eastAsia="仿宋_GB2312" w:cs="仿宋_GB2312"/>
          <w:sz w:val="32"/>
          <w:szCs w:val="32"/>
          <w:highlight w:val="none"/>
        </w:rPr>
        <w:t>的，财政部、中国证监会对</w:t>
      </w:r>
      <w:r>
        <w:rPr>
          <w:rFonts w:hint="eastAsia" w:ascii="仿宋_GB2312" w:hAnsi="仿宋_GB2312" w:eastAsia="仿宋_GB2312" w:cs="仿宋_GB2312"/>
          <w:sz w:val="32"/>
          <w:szCs w:val="32"/>
          <w:highlight w:val="none"/>
          <w:lang w:eastAsia="zh-CN"/>
        </w:rPr>
        <w:t>相关资产评估机构</w:t>
      </w:r>
      <w:r>
        <w:rPr>
          <w:rFonts w:hint="eastAsia" w:ascii="仿宋_GB2312" w:hAnsi="仿宋_GB2312" w:eastAsia="仿宋_GB2312" w:cs="仿宋_GB2312"/>
          <w:sz w:val="32"/>
          <w:szCs w:val="32"/>
          <w:highlight w:val="none"/>
        </w:rPr>
        <w:t>组织开展现场核验。</w:t>
      </w:r>
    </w:p>
    <w:p>
      <w:pPr>
        <w:ind w:firstLine="640" w:firstLineChars="200"/>
        <w:rPr>
          <w:rFonts w:hint="eastAsia" w:ascii="仿宋" w:hAnsi="仿宋" w:eastAsia="仿宋"/>
          <w:i/>
          <w:iCs/>
          <w:sz w:val="32"/>
          <w:szCs w:val="32"/>
        </w:rPr>
      </w:pPr>
      <w:r>
        <w:rPr>
          <w:rFonts w:hint="eastAsia" w:ascii="仿宋_GB2312" w:hAnsi="仿宋_GB2312" w:eastAsia="仿宋_GB2312" w:cs="仿宋_GB2312"/>
          <w:sz w:val="32"/>
          <w:szCs w:val="32"/>
        </w:rPr>
        <w:t>第十四条 资产评估机构首次备案材料完备且符合规定的，自完成现场核验之日（不含）起20个工作日内，财政部、中国证监会沟通一致后分别通过网站等方式，同时公告完成首次备案的资产评估机构名单及相关基本信息。</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已备案的资产评估机构出现下列情形之一的，财政部、中国证监会</w:t>
      </w:r>
      <w:r>
        <w:rPr>
          <w:rFonts w:hint="eastAsia" w:ascii="仿宋_GB2312" w:hAnsi="仿宋_GB2312" w:eastAsia="仿宋_GB2312" w:cs="仿宋_GB2312"/>
          <w:sz w:val="32"/>
          <w:szCs w:val="32"/>
          <w:highlight w:val="none"/>
        </w:rPr>
        <w:t>注销</w:t>
      </w:r>
      <w:r>
        <w:rPr>
          <w:rFonts w:hint="eastAsia" w:ascii="仿宋_GB2312" w:hAnsi="仿宋_GB2312" w:eastAsia="仿宋_GB2312" w:cs="仿宋_GB2312"/>
          <w:sz w:val="32"/>
          <w:szCs w:val="32"/>
        </w:rPr>
        <w:t>其从事证券服务业务</w:t>
      </w:r>
      <w:r>
        <w:rPr>
          <w:rFonts w:hint="eastAsia" w:ascii="仿宋_GB2312" w:hAnsi="仿宋_GB2312" w:eastAsia="仿宋_GB2312" w:cs="仿宋_GB2312"/>
          <w:sz w:val="32"/>
          <w:szCs w:val="32"/>
          <w:highlight w:val="none"/>
        </w:rPr>
        <w:t>备案</w:t>
      </w:r>
      <w:r>
        <w:rPr>
          <w:rFonts w:hint="eastAsia" w:ascii="仿宋_GB2312" w:hAnsi="仿宋_GB2312" w:eastAsia="仿宋_GB2312" w:cs="仿宋_GB2312"/>
          <w:sz w:val="32"/>
          <w:szCs w:val="32"/>
        </w:rPr>
        <w:t>并予以公告：</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（一）资产评估机构依法终止；</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（二）被省级财政部门注销资产评估机构备案；</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（三）自行申请注销从事证券服务业务备案；</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（四）首次备案后任一完整自然年度未出具证券服务业务资产评估报告；</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（五）未按规定完成重大事项备案或者年度备案，经责令改正仍未备案；</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（六）备案材料或者信息存在虚假记载、误导性陈述或者重大遗漏；</w:t>
      </w:r>
    </w:p>
    <w:p>
      <w:pPr>
        <w:ind w:firstLine="653"/>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（七）资产评估机构</w:t>
      </w:r>
      <w:r>
        <w:rPr>
          <w:rFonts w:hint="eastAsia" w:ascii="仿宋_GB2312" w:hAnsi="仿宋_GB2312" w:eastAsia="仿宋_GB2312" w:cs="仿宋_GB2312"/>
          <w:sz w:val="32"/>
          <w:szCs w:val="32"/>
          <w:highlight w:val="none"/>
          <w:lang w:eastAsia="zh-CN"/>
        </w:rPr>
        <w:t>被处暂停或者禁止从事证券服务业务、</w:t>
      </w:r>
      <w:r>
        <w:rPr>
          <w:rFonts w:hint="eastAsia" w:ascii="仿宋_GB2312" w:hAnsi="仿宋_GB2312" w:eastAsia="仿宋_GB2312" w:cs="仿宋_GB2312"/>
          <w:sz w:val="32"/>
          <w:szCs w:val="32"/>
          <w:highlight w:val="none"/>
        </w:rPr>
        <w:t>受到</w:t>
      </w:r>
      <w:r>
        <w:rPr>
          <w:rFonts w:hint="eastAsia" w:ascii="仿宋_GB2312" w:hAnsi="仿宋_GB2312" w:eastAsia="仿宋_GB2312" w:cs="仿宋_GB2312"/>
          <w:sz w:val="32"/>
          <w:szCs w:val="32"/>
          <w:highlight w:val="none"/>
          <w:lang w:eastAsia="zh-CN"/>
        </w:rPr>
        <w:t>停业处罚的</w:t>
      </w:r>
      <w:r>
        <w:rPr>
          <w:rFonts w:hint="eastAsia" w:ascii="仿宋_GB2312" w:hAnsi="仿宋_GB2312" w:eastAsia="仿宋_GB2312" w:cs="仿宋_GB2312"/>
          <w:sz w:val="32"/>
          <w:szCs w:val="32"/>
          <w:highlight w:val="none"/>
        </w:rPr>
        <w:t>；</w:t>
      </w:r>
    </w:p>
    <w:p>
      <w:pPr>
        <w:ind w:firstLine="653"/>
        <w:rPr>
          <w:rFonts w:hint="eastAsia" w:ascii="仿宋" w:hAnsi="仿宋" w:eastAsia="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）财政部、中国证监会规定的其他情形。</w:t>
      </w:r>
    </w:p>
    <w:p>
      <w:pPr>
        <w:ind w:firstLine="65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财政部、中国证监</w:t>
      </w:r>
      <w:r>
        <w:rPr>
          <w:rFonts w:hint="eastAsia" w:ascii="仿宋_GB2312" w:hAnsi="仿宋_GB2312" w:eastAsia="仿宋_GB2312" w:cs="仿宋_GB2312"/>
          <w:sz w:val="32"/>
          <w:szCs w:val="32"/>
          <w:lang w:eastAsia="zh-CN"/>
        </w:rPr>
        <w:t>会对</w:t>
      </w:r>
      <w:r>
        <w:rPr>
          <w:rFonts w:hint="eastAsia" w:ascii="仿宋_GB2312" w:hAnsi="仿宋_GB2312" w:eastAsia="仿宋_GB2312" w:cs="仿宋_GB2312"/>
          <w:sz w:val="32"/>
          <w:szCs w:val="32"/>
        </w:rPr>
        <w:t>已备案的资产评估机构是否持续满足本办法第七条有关要求开展核验</w:t>
      </w:r>
      <w:r>
        <w:rPr>
          <w:rFonts w:hint="eastAsia" w:ascii="仿宋_GB2312" w:hAnsi="仿宋_GB2312" w:eastAsia="仿宋_GB2312" w:cs="仿宋_GB2312"/>
          <w:sz w:val="32"/>
          <w:szCs w:val="32"/>
          <w:lang w:eastAsia="zh-CN"/>
        </w:rPr>
        <w:t>。</w:t>
      </w:r>
    </w:p>
    <w:p>
      <w:p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经核验发现未持续满足本办法第七条第（一）至（</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）项有关要求的资产评估机构，应当在6个月内完成整改，并自整改结束起10个工作日内向财政部、中国证监会报送整改报告。未整改或者整改后仍未</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本办法第七条第（一）至（</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）项有关要求的，财政部、中国证监会</w:t>
      </w:r>
      <w:r>
        <w:rPr>
          <w:rFonts w:hint="eastAsia" w:ascii="仿宋_GB2312" w:hAnsi="仿宋_GB2312" w:eastAsia="仿宋_GB2312" w:cs="仿宋_GB2312"/>
          <w:sz w:val="32"/>
          <w:szCs w:val="32"/>
          <w:lang w:eastAsia="zh-CN"/>
        </w:rPr>
        <w:t>向社会</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，持续关注相关资产评估机构整改进展并实施重点监管</w:t>
      </w:r>
      <w:r>
        <w:rPr>
          <w:rFonts w:hint="eastAsia" w:ascii="仿宋_GB2312" w:hAnsi="仿宋_GB2312" w:eastAsia="仿宋_GB2312" w:cs="仿宋_GB2312"/>
          <w:sz w:val="32"/>
          <w:szCs w:val="32"/>
        </w:rPr>
        <w:t>。</w:t>
      </w:r>
    </w:p>
    <w:p>
      <w:pPr>
        <w:numPr>
          <w:ilvl w:val="0"/>
          <w:numId w:val="0"/>
        </w:numPr>
        <w:ind w:firstLine="6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被注销备案的资产评估机构再次</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备案的，应当符合</w:t>
      </w:r>
      <w:r>
        <w:rPr>
          <w:rFonts w:hint="eastAsia" w:ascii="仿宋_GB2312" w:hAnsi="仿宋_GB2312" w:eastAsia="仿宋_GB2312" w:cs="仿宋_GB2312"/>
          <w:sz w:val="32"/>
          <w:szCs w:val="32"/>
          <w:lang w:eastAsia="zh-CN"/>
        </w:rPr>
        <w:t>本办法第七条的</w:t>
      </w:r>
      <w:r>
        <w:rPr>
          <w:rFonts w:hint="eastAsia" w:ascii="仿宋_GB2312" w:hAnsi="仿宋_GB2312" w:eastAsia="仿宋_GB2312" w:cs="仿宋_GB2312"/>
          <w:sz w:val="32"/>
          <w:szCs w:val="32"/>
        </w:rPr>
        <w:t>要求。</w:t>
      </w:r>
    </w:p>
    <w:p>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财政部、中国证监会对再次备案的资产评估机构组织开展现场核验。</w:t>
      </w:r>
    </w:p>
    <w:p>
      <w:pPr>
        <w:ind w:firstLine="638"/>
        <w:rPr>
          <w:rFonts w:hint="eastAsia" w:ascii="仿宋" w:hAnsi="仿宋" w:eastAsia="仿宋"/>
          <w:sz w:val="18"/>
          <w:szCs w:val="18"/>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第四章 法律责任</w:t>
      </w:r>
    </w:p>
    <w:p>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第十八条 资产评估机构从事证券服务业务未按照本办法规定备案的，依法承担法律责任。</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财政部、中国证监会及其工作人员在资产评估机构从事证券服务业务备案相关工作中，存在违反本办法规定的行为，以及其他滥用职权、玩忽职守、徇私舞弊等违纪违法行为的，按照《中华人民共和国公务员法》、《中华人民共和国监察法》、《中华人民共和国证券法》等规定追究相应责任。构成犯罪的，依法追究刑事责任。</w:t>
      </w:r>
    </w:p>
    <w:p>
      <w:pPr>
        <w:ind w:firstLine="651"/>
        <w:rPr>
          <w:rFonts w:hint="eastAsia" w:ascii="仿宋" w:hAnsi="仿宋" w:eastAsia="仿宋"/>
          <w:sz w:val="24"/>
          <w:szCs w:val="24"/>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第五章 附则</w:t>
      </w:r>
    </w:p>
    <w:p>
      <w:pPr>
        <w:ind w:firstLine="65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第二十条 为</w:t>
      </w:r>
      <w:r>
        <w:rPr>
          <w:rFonts w:hint="eastAsia" w:ascii="仿宋_GB2312" w:hAnsi="仿宋_GB2312" w:eastAsia="仿宋_GB2312" w:cs="仿宋_GB2312"/>
          <w:sz w:val="32"/>
          <w:szCs w:val="32"/>
          <w:highlight w:val="none"/>
        </w:rPr>
        <w:t>公开募集基金的基金管理人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期货经营机构及其发行的产品等提供</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服务的资产评估机构备案，参照适用本办法。</w:t>
      </w:r>
    </w:p>
    <w:p>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本办法自</w:t>
      </w:r>
      <w:r>
        <w:rPr>
          <w:rFonts w:hint="eastAsia" w:ascii="仿宋_GB2312" w:hAnsi="仿宋_GB2312" w:eastAsia="仿宋_GB2312" w:cs="仿宋_GB2312"/>
          <w:sz w:val="32"/>
          <w:szCs w:val="32"/>
          <w:lang w:val="en-US" w:eastAsia="zh-CN"/>
        </w:rPr>
        <w:t>2025年1月1</w:t>
      </w:r>
      <w:r>
        <w:rPr>
          <w:rFonts w:hint="eastAsia" w:ascii="仿宋_GB2312" w:hAnsi="仿宋_GB2312" w:eastAsia="仿宋_GB2312" w:cs="仿宋_GB2312"/>
          <w:sz w:val="32"/>
          <w:szCs w:val="32"/>
        </w:rPr>
        <w:t>日起施行。本办法施行前已完成备案的资产评估机构，应当</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2025年1月1</w:t>
      </w:r>
      <w:r>
        <w:rPr>
          <w:rFonts w:hint="eastAsia" w:ascii="仿宋_GB2312" w:hAnsi="仿宋_GB2312" w:eastAsia="仿宋_GB2312" w:cs="仿宋_GB2312"/>
          <w:sz w:val="32"/>
          <w:szCs w:val="32"/>
          <w:lang w:eastAsia="zh-CN"/>
        </w:rPr>
        <w:t>日起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年内</w:t>
      </w:r>
      <w:r>
        <w:rPr>
          <w:rFonts w:hint="eastAsia" w:ascii="仿宋_GB2312" w:hAnsi="仿宋_GB2312" w:eastAsia="仿宋_GB2312" w:cs="仿宋_GB2312"/>
          <w:sz w:val="32"/>
          <w:szCs w:val="32"/>
        </w:rPr>
        <w:t>调整至满</w:t>
      </w:r>
      <w:r>
        <w:rPr>
          <w:rFonts w:hint="eastAsia" w:ascii="仿宋_GB2312" w:hAnsi="仿宋_GB2312" w:eastAsia="仿宋_GB2312" w:cs="仿宋_GB2312"/>
          <w:sz w:val="32"/>
          <w:szCs w:val="32"/>
          <w:highlight w:val="none"/>
        </w:rPr>
        <w:t>足第七条第（一）至（</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）项有关规定的</w:t>
      </w:r>
      <w:r>
        <w:rPr>
          <w:rFonts w:hint="eastAsia" w:ascii="仿宋_GB2312" w:hAnsi="仿宋_GB2312" w:eastAsia="仿宋_GB2312" w:cs="仿宋_GB2312"/>
          <w:sz w:val="32"/>
          <w:szCs w:val="32"/>
        </w:rPr>
        <w:t>要求。《财政部 证监会关于联合印发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资产评估机构从事证券服务业务备案办法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的通知》（财资〔2020〕114号）同时废止。</w:t>
      </w:r>
    </w:p>
    <w:p>
      <w:pPr>
        <w:ind w:firstLine="638"/>
        <w:rPr>
          <w:rFonts w:hint="eastAsia" w:ascii="仿宋" w:hAnsi="仿宋" w:eastAsia="仿宋"/>
          <w:sz w:val="21"/>
          <w:szCs w:val="21"/>
        </w:rPr>
      </w:pPr>
    </w:p>
    <w:p>
      <w:pPr>
        <w:ind w:firstLine="6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附：1.资产评估机构从事证券服务业务备案表</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2.资产评估机构内部管理制度及执行情况说明</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3.资产评估业务清单</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4.资产评估师及管理人员情况表</w:t>
      </w:r>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5.资产评估机构及其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处理处罚</w:t>
      </w:r>
      <w:r>
        <w:rPr>
          <w:rFonts w:hint="eastAsia" w:ascii="仿宋_GB2312" w:hAnsi="仿宋_GB2312" w:eastAsia="仿宋_GB2312" w:cs="仿宋_GB2312"/>
          <w:sz w:val="32"/>
          <w:szCs w:val="32"/>
        </w:rPr>
        <w:t>情况表</w:t>
      </w:r>
    </w:p>
    <w:p>
      <w:pPr>
        <w:ind w:left="1676" w:leftChars="605" w:hanging="406" w:hangingChars="1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6.资产评估机构职业责任保险或者职业风险基金情况说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明</w:t>
      </w:r>
    </w:p>
    <w:p>
      <w:pPr>
        <w:ind w:left="1676" w:leftChars="600" w:hanging="416" w:hangingChars="1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资产评估机构</w:t>
      </w:r>
      <w:r>
        <w:rPr>
          <w:rFonts w:hint="eastAsia" w:ascii="仿宋_GB2312" w:hAnsi="仿宋_GB2312" w:eastAsia="仿宋_GB2312" w:cs="仿宋_GB2312"/>
          <w:sz w:val="32"/>
          <w:szCs w:val="32"/>
        </w:rPr>
        <w:t>拟承接证券服务业务（如有）</w:t>
      </w:r>
      <w:r>
        <w:rPr>
          <w:rFonts w:hint="eastAsia" w:ascii="仿宋_GB2312" w:hAnsi="仿宋_GB2312" w:eastAsia="仿宋_GB2312" w:cs="仿宋_GB2312"/>
          <w:sz w:val="32"/>
          <w:szCs w:val="32"/>
          <w:lang w:eastAsia="zh-CN"/>
        </w:rPr>
        <w:t>的情况说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p>
    <w:p>
      <w:pPr>
        <w:ind w:firstLine="1280" w:firstLineChars="4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8.资产评估机构从事证券服务业务年度备案表</w:t>
      </w:r>
      <w:r>
        <w:rPr>
          <w:rFonts w:hint="eastAsia" w:ascii="仿宋_GB2312" w:hAnsi="仿宋_GB2312" w:eastAsia="仿宋_GB2312" w:cs="仿宋_GB2312"/>
          <w:bCs/>
          <w:sz w:val="32"/>
          <w:szCs w:val="32"/>
        </w:rPr>
        <w:br w:type="page"/>
      </w:r>
      <w:r>
        <w:rPr>
          <w:rFonts w:hint="eastAsia" w:ascii="仿宋_GB2312" w:hAnsi="仿宋_GB2312" w:eastAsia="仿宋_GB2312" w:cs="仿宋_GB2312"/>
          <w:bCs/>
          <w:sz w:val="32"/>
          <w:szCs w:val="32"/>
        </w:rPr>
        <w:t>附1</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资产评估机构从事证券服务业务备案表</w:t>
      </w:r>
    </w:p>
    <w:p>
      <w:pPr>
        <w:jc w:val="left"/>
        <w:rPr>
          <w:rFonts w:hint="eastAsia" w:ascii="仿宋_GB2312" w:hAnsi="仿宋_GB2312" w:eastAsia="仿宋_GB2312" w:cs="仿宋_GB2312"/>
          <w:sz w:val="24"/>
        </w:rPr>
      </w:pPr>
    </w:p>
    <w:p>
      <w:pPr>
        <w:jc w:val="left"/>
        <w:rPr>
          <w:rFonts w:hint="eastAsia" w:ascii="仿宋_GB2312" w:hAnsi="仿宋_GB2312" w:eastAsia="仿宋_GB2312" w:cs="仿宋_GB2312"/>
          <w:b/>
          <w:sz w:val="24"/>
        </w:rPr>
      </w:pPr>
      <w:r>
        <w:rPr>
          <w:rFonts w:hint="eastAsia" w:ascii="仿宋_GB2312" w:hAnsi="仿宋_GB2312" w:eastAsia="仿宋_GB2312" w:cs="仿宋_GB2312"/>
          <w:sz w:val="24"/>
        </w:rPr>
        <w:t xml:space="preserve">资产评估机构名称：                             </w:t>
      </w:r>
      <w:r>
        <w:rPr>
          <w:rFonts w:hint="eastAsia" w:ascii="仿宋_GB2312" w:hAnsi="仿宋_GB2312" w:eastAsia="仿宋_GB2312" w:cs="仿宋_GB2312"/>
          <w:bCs/>
          <w:sz w:val="24"/>
        </w:rPr>
        <w:t>填报日期：     年   月   日</w:t>
      </w:r>
    </w:p>
    <w:tbl>
      <w:tblPr>
        <w:tblStyle w:val="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760"/>
        <w:gridCol w:w="532"/>
        <w:gridCol w:w="767"/>
        <w:gridCol w:w="1025"/>
        <w:gridCol w:w="178"/>
        <w:gridCol w:w="1189"/>
        <w:gridCol w:w="866"/>
        <w:gridCol w:w="371"/>
        <w:gridCol w:w="957"/>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成立</w:t>
            </w:r>
          </w:p>
          <w:p>
            <w:pP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760" w:type="dxa"/>
            <w:noWrap w:val="0"/>
            <w:vAlign w:val="center"/>
          </w:tcPr>
          <w:p>
            <w:pPr>
              <w:rPr>
                <w:rFonts w:hint="eastAsia" w:ascii="仿宋_GB2312" w:hAnsi="仿宋_GB2312" w:eastAsia="仿宋_GB2312" w:cs="仿宋_GB2312"/>
                <w:sz w:val="24"/>
              </w:rPr>
            </w:pPr>
          </w:p>
        </w:tc>
        <w:tc>
          <w:tcPr>
            <w:tcW w:w="1299"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设立备案机关</w:t>
            </w:r>
          </w:p>
        </w:tc>
        <w:tc>
          <w:tcPr>
            <w:tcW w:w="1203" w:type="dxa"/>
            <w:gridSpan w:val="2"/>
            <w:noWrap w:val="0"/>
            <w:vAlign w:val="center"/>
          </w:tcPr>
          <w:p>
            <w:pPr>
              <w:rPr>
                <w:rFonts w:hint="eastAsia" w:ascii="仿宋_GB2312" w:hAnsi="仿宋_GB2312" w:eastAsia="仿宋_GB2312" w:cs="仿宋_GB2312"/>
                <w:sz w:val="24"/>
              </w:rPr>
            </w:pPr>
          </w:p>
        </w:tc>
        <w:tc>
          <w:tcPr>
            <w:tcW w:w="1189"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公函日期</w:t>
            </w:r>
          </w:p>
        </w:tc>
        <w:tc>
          <w:tcPr>
            <w:tcW w:w="1237" w:type="dxa"/>
            <w:gridSpan w:val="2"/>
            <w:noWrap w:val="0"/>
            <w:vAlign w:val="center"/>
          </w:tcPr>
          <w:p>
            <w:pPr>
              <w:rPr>
                <w:rFonts w:hint="eastAsia" w:ascii="仿宋_GB2312" w:hAnsi="仿宋_GB2312" w:eastAsia="仿宋_GB2312" w:cs="仿宋_GB2312"/>
                <w:sz w:val="24"/>
              </w:rPr>
            </w:pPr>
          </w:p>
        </w:tc>
        <w:tc>
          <w:tcPr>
            <w:tcW w:w="957" w:type="dxa"/>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公函</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编号</w:t>
            </w:r>
          </w:p>
        </w:tc>
        <w:tc>
          <w:tcPr>
            <w:tcW w:w="1086" w:type="dxa"/>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24"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注册资本（万元）</w:t>
            </w:r>
          </w:p>
        </w:tc>
        <w:tc>
          <w:tcPr>
            <w:tcW w:w="1299" w:type="dxa"/>
            <w:gridSpan w:val="2"/>
            <w:noWrap w:val="0"/>
            <w:vAlign w:val="center"/>
          </w:tcPr>
          <w:p>
            <w:pPr>
              <w:rPr>
                <w:rFonts w:hint="eastAsia" w:ascii="仿宋_GB2312" w:hAnsi="仿宋_GB2312" w:eastAsia="仿宋_GB2312" w:cs="仿宋_GB2312"/>
                <w:sz w:val="24"/>
              </w:rPr>
            </w:pPr>
          </w:p>
        </w:tc>
        <w:tc>
          <w:tcPr>
            <w:tcW w:w="1203"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w:t>
            </w:r>
          </w:p>
        </w:tc>
        <w:tc>
          <w:tcPr>
            <w:tcW w:w="1189" w:type="dxa"/>
            <w:noWrap w:val="0"/>
            <w:vAlign w:val="center"/>
          </w:tcPr>
          <w:p>
            <w:pPr>
              <w:rPr>
                <w:rFonts w:hint="eastAsia" w:ascii="仿宋_GB2312" w:hAnsi="仿宋_GB2312" w:eastAsia="仿宋_GB2312" w:cs="仿宋_GB2312"/>
                <w:sz w:val="24"/>
              </w:rPr>
            </w:pPr>
          </w:p>
        </w:tc>
        <w:tc>
          <w:tcPr>
            <w:tcW w:w="1237"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法定代表人（执行合伙事务的合伙人）电话</w:t>
            </w:r>
          </w:p>
        </w:tc>
        <w:tc>
          <w:tcPr>
            <w:tcW w:w="2043" w:type="dxa"/>
            <w:gridSpan w:val="2"/>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24"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是否存在实际控制人</w:t>
            </w:r>
          </w:p>
        </w:tc>
        <w:tc>
          <w:tcPr>
            <w:tcW w:w="1299" w:type="dxa"/>
            <w:gridSpan w:val="2"/>
            <w:noWrap w:val="0"/>
            <w:vAlign w:val="center"/>
          </w:tcPr>
          <w:p>
            <w:pPr>
              <w:rPr>
                <w:rFonts w:hint="eastAsia" w:ascii="仿宋_GB2312" w:hAnsi="仿宋_GB2312" w:eastAsia="仿宋_GB2312" w:cs="仿宋_GB2312"/>
                <w:sz w:val="24"/>
              </w:rPr>
            </w:pPr>
          </w:p>
        </w:tc>
        <w:tc>
          <w:tcPr>
            <w:tcW w:w="1203"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实际控制人名称</w:t>
            </w:r>
          </w:p>
        </w:tc>
        <w:tc>
          <w:tcPr>
            <w:tcW w:w="1189" w:type="dxa"/>
            <w:noWrap w:val="0"/>
            <w:vAlign w:val="center"/>
          </w:tcPr>
          <w:p>
            <w:pPr>
              <w:rPr>
                <w:rFonts w:hint="eastAsia" w:ascii="仿宋_GB2312" w:hAnsi="仿宋_GB2312" w:eastAsia="仿宋_GB2312" w:cs="仿宋_GB2312"/>
                <w:sz w:val="24"/>
              </w:rPr>
            </w:pPr>
          </w:p>
        </w:tc>
        <w:tc>
          <w:tcPr>
            <w:tcW w:w="1237"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实际控制人身份证号码或者统一社会信用代码</w:t>
            </w:r>
          </w:p>
        </w:tc>
        <w:tc>
          <w:tcPr>
            <w:tcW w:w="2043" w:type="dxa"/>
            <w:gridSpan w:val="2"/>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24"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1299" w:type="dxa"/>
            <w:gridSpan w:val="2"/>
            <w:noWrap w:val="0"/>
            <w:vAlign w:val="center"/>
          </w:tcPr>
          <w:p>
            <w:pPr>
              <w:rPr>
                <w:rFonts w:hint="eastAsia" w:ascii="仿宋_GB2312" w:hAnsi="仿宋_GB2312" w:eastAsia="仿宋_GB2312" w:cs="仿宋_GB2312"/>
                <w:sz w:val="24"/>
              </w:rPr>
            </w:pPr>
          </w:p>
        </w:tc>
        <w:tc>
          <w:tcPr>
            <w:tcW w:w="1203"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监管联系人职务</w:t>
            </w:r>
          </w:p>
        </w:tc>
        <w:tc>
          <w:tcPr>
            <w:tcW w:w="1189" w:type="dxa"/>
            <w:noWrap w:val="0"/>
            <w:vAlign w:val="center"/>
          </w:tcPr>
          <w:p>
            <w:pPr>
              <w:rPr>
                <w:rFonts w:hint="eastAsia" w:ascii="仿宋_GB2312" w:hAnsi="仿宋_GB2312" w:eastAsia="仿宋_GB2312" w:cs="仿宋_GB2312"/>
                <w:sz w:val="24"/>
              </w:rPr>
            </w:pPr>
          </w:p>
        </w:tc>
        <w:tc>
          <w:tcPr>
            <w:tcW w:w="1237" w:type="dxa"/>
            <w:gridSpan w:val="2"/>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2043" w:type="dxa"/>
            <w:gridSpan w:val="2"/>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1624"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监管联系人传真</w:t>
            </w:r>
          </w:p>
        </w:tc>
        <w:tc>
          <w:tcPr>
            <w:tcW w:w="1299" w:type="dxa"/>
            <w:gridSpan w:val="2"/>
            <w:tcBorders>
              <w:bottom w:val="nil"/>
            </w:tcBorders>
            <w:noWrap w:val="0"/>
            <w:vAlign w:val="center"/>
          </w:tcPr>
          <w:p>
            <w:pPr>
              <w:rPr>
                <w:rFonts w:hint="eastAsia" w:ascii="仿宋_GB2312" w:hAnsi="仿宋_GB2312" w:eastAsia="仿宋_GB2312" w:cs="仿宋_GB2312"/>
                <w:sz w:val="24"/>
              </w:rPr>
            </w:pPr>
          </w:p>
        </w:tc>
        <w:tc>
          <w:tcPr>
            <w:tcW w:w="1203"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监管联系人电子邮箱</w:t>
            </w:r>
          </w:p>
        </w:tc>
        <w:tc>
          <w:tcPr>
            <w:tcW w:w="1189" w:type="dxa"/>
            <w:tcBorders>
              <w:bottom w:val="nil"/>
            </w:tcBorders>
            <w:noWrap w:val="0"/>
            <w:vAlign w:val="center"/>
          </w:tcPr>
          <w:p>
            <w:pPr>
              <w:rPr>
                <w:rFonts w:hint="eastAsia" w:ascii="仿宋_GB2312" w:hAnsi="仿宋_GB2312" w:eastAsia="仿宋_GB2312" w:cs="仿宋_GB2312"/>
                <w:sz w:val="24"/>
              </w:rPr>
            </w:pPr>
          </w:p>
        </w:tc>
        <w:tc>
          <w:tcPr>
            <w:tcW w:w="1237"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质量控制负责人</w:t>
            </w:r>
          </w:p>
        </w:tc>
        <w:tc>
          <w:tcPr>
            <w:tcW w:w="2043" w:type="dxa"/>
            <w:gridSpan w:val="2"/>
            <w:tcBorders>
              <w:bottom w:val="nil"/>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624"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通 讯 地 址</w:t>
            </w:r>
          </w:p>
        </w:tc>
        <w:tc>
          <w:tcPr>
            <w:tcW w:w="3691" w:type="dxa"/>
            <w:gridSpan w:val="5"/>
            <w:tcBorders>
              <w:bottom w:val="nil"/>
            </w:tcBorders>
            <w:noWrap w:val="0"/>
            <w:vAlign w:val="center"/>
          </w:tcPr>
          <w:p>
            <w:pPr>
              <w:rPr>
                <w:rFonts w:hint="eastAsia" w:ascii="仿宋_GB2312" w:hAnsi="仿宋_GB2312" w:eastAsia="仿宋_GB2312" w:cs="仿宋_GB2312"/>
                <w:sz w:val="24"/>
              </w:rPr>
            </w:pPr>
          </w:p>
        </w:tc>
        <w:tc>
          <w:tcPr>
            <w:tcW w:w="1237"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2043" w:type="dxa"/>
            <w:gridSpan w:val="2"/>
            <w:tcBorders>
              <w:bottom w:val="nil"/>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4" w:type="dxa"/>
            <w:gridSpan w:val="2"/>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324" w:type="dxa"/>
            <w:gridSpan w:val="3"/>
            <w:tcBorders>
              <w:bottom w:val="nil"/>
            </w:tcBorders>
            <w:noWrap w:val="0"/>
            <w:vAlign w:val="center"/>
          </w:tcPr>
          <w:p>
            <w:pPr>
              <w:ind w:left="720" w:hanging="720" w:hangingChars="300"/>
              <w:rPr>
                <w:rFonts w:hint="eastAsia" w:ascii="仿宋_GB2312" w:hAnsi="仿宋_GB2312" w:eastAsia="仿宋_GB2312" w:cs="仿宋_GB2312"/>
                <w:sz w:val="24"/>
              </w:rPr>
            </w:pPr>
          </w:p>
        </w:tc>
        <w:tc>
          <w:tcPr>
            <w:tcW w:w="1367" w:type="dxa"/>
            <w:gridSpan w:val="2"/>
            <w:tcBorders>
              <w:bottom w:val="nil"/>
            </w:tcBorders>
            <w:noWrap w:val="0"/>
            <w:vAlign w:val="center"/>
          </w:tcPr>
          <w:p>
            <w:pPr>
              <w:ind w:left="720" w:hanging="720" w:hangingChars="300"/>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3280" w:type="dxa"/>
            <w:gridSpan w:val="4"/>
            <w:tcBorders>
              <w:bottom w:val="nil"/>
            </w:tcBorders>
            <w:noWrap w:val="0"/>
            <w:vAlign w:val="center"/>
          </w:tcPr>
          <w:p>
            <w:pPr>
              <w:ind w:left="720" w:hanging="720" w:hangingChars="3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4" w:type="dxa"/>
            <w:gridSpan w:val="2"/>
            <w:tcBorders>
              <w:bottom w:val="nil"/>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资产评估机构员工总数</w:t>
            </w:r>
            <w:r>
              <w:rPr>
                <w:rFonts w:hint="eastAsia" w:ascii="仿宋_GB2312" w:hAnsi="仿宋_GB2312" w:eastAsia="仿宋_GB2312" w:cs="仿宋_GB2312"/>
                <w:sz w:val="24"/>
                <w:lang w:eastAsia="zh-CN"/>
              </w:rPr>
              <w:t>（人）</w:t>
            </w:r>
          </w:p>
        </w:tc>
        <w:tc>
          <w:tcPr>
            <w:tcW w:w="1299" w:type="dxa"/>
            <w:gridSpan w:val="2"/>
            <w:tcBorders>
              <w:bottom w:val="nil"/>
            </w:tcBorders>
            <w:noWrap w:val="0"/>
            <w:vAlign w:val="center"/>
          </w:tcPr>
          <w:p>
            <w:pPr>
              <w:rPr>
                <w:rFonts w:hint="eastAsia" w:ascii="仿宋_GB2312" w:hAnsi="仿宋_GB2312" w:eastAsia="仿宋_GB2312" w:cs="仿宋_GB2312"/>
                <w:sz w:val="24"/>
              </w:rPr>
            </w:pPr>
          </w:p>
        </w:tc>
        <w:tc>
          <w:tcPr>
            <w:tcW w:w="2392" w:type="dxa"/>
            <w:gridSpan w:val="3"/>
            <w:tcBorders>
              <w:bottom w:val="nil"/>
            </w:tcBorders>
            <w:noWrap w:val="0"/>
            <w:vAlign w:val="center"/>
          </w:tcPr>
          <w:p>
            <w:pPr>
              <w:ind w:left="720" w:hanging="720" w:hangingChars="3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c>
          <w:tcPr>
            <w:tcW w:w="3280" w:type="dxa"/>
            <w:gridSpan w:val="4"/>
            <w:tcBorders>
              <w:bottom w:val="nil"/>
            </w:tcBorders>
            <w:noWrap w:val="0"/>
            <w:vAlign w:val="center"/>
          </w:tcPr>
          <w:p>
            <w:pPr>
              <w:ind w:left="720" w:hanging="720" w:hangingChars="3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资产评估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业务收入</w:t>
            </w:r>
          </w:p>
        </w:tc>
        <w:tc>
          <w:tcPr>
            <w:tcW w:w="25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上年末净资产</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累计职业</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风险基金</w:t>
            </w:r>
          </w:p>
        </w:tc>
        <w:tc>
          <w:tcPr>
            <w:tcW w:w="25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保险合同有效期内职业责任保险累计赔偿限额</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923" w:type="dxa"/>
            <w:gridSpan w:val="4"/>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首单证券服务业务项目名称（合同编号）（如适用）</w:t>
            </w:r>
          </w:p>
        </w:tc>
        <w:tc>
          <w:tcPr>
            <w:tcW w:w="5672" w:type="dxa"/>
            <w:gridSpan w:val="7"/>
            <w:tcBorders>
              <w:bottom w:val="nil"/>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2923" w:type="dxa"/>
            <w:gridSpan w:val="4"/>
            <w:tcBorders>
              <w:bottom w:val="nil"/>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首单证券服务业务合同收费（如适用）</w:t>
            </w:r>
          </w:p>
        </w:tc>
        <w:tc>
          <w:tcPr>
            <w:tcW w:w="5672" w:type="dxa"/>
            <w:gridSpan w:val="7"/>
            <w:tcBorders>
              <w:bottom w:val="nil"/>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分支机构名称</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5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7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446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4" w:type="dxa"/>
            <w:noWrap w:val="0"/>
            <w:vAlign w:val="top"/>
          </w:tcPr>
          <w:p>
            <w:pPr>
              <w:jc w:val="center"/>
              <w:rPr>
                <w:rFonts w:hint="eastAsia" w:ascii="仿宋_GB2312" w:hAnsi="仿宋_GB2312" w:eastAsia="仿宋_GB2312" w:cs="仿宋_GB2312"/>
                <w:sz w:val="24"/>
              </w:rPr>
            </w:pPr>
          </w:p>
        </w:tc>
        <w:tc>
          <w:tcPr>
            <w:tcW w:w="760" w:type="dxa"/>
            <w:noWrap w:val="0"/>
            <w:vAlign w:val="top"/>
          </w:tcPr>
          <w:p>
            <w:pPr>
              <w:jc w:val="center"/>
              <w:rPr>
                <w:rFonts w:hint="eastAsia" w:ascii="仿宋_GB2312" w:hAnsi="仿宋_GB2312" w:eastAsia="仿宋_GB2312" w:cs="仿宋_GB2312"/>
                <w:sz w:val="24"/>
              </w:rPr>
            </w:pPr>
          </w:p>
        </w:tc>
        <w:tc>
          <w:tcPr>
            <w:tcW w:w="532" w:type="dxa"/>
            <w:noWrap w:val="0"/>
            <w:vAlign w:val="top"/>
          </w:tcPr>
          <w:p>
            <w:pPr>
              <w:jc w:val="center"/>
              <w:rPr>
                <w:rFonts w:hint="eastAsia" w:ascii="仿宋_GB2312" w:hAnsi="仿宋_GB2312" w:eastAsia="仿宋_GB2312" w:cs="仿宋_GB2312"/>
                <w:sz w:val="24"/>
              </w:rPr>
            </w:pPr>
          </w:p>
        </w:tc>
        <w:tc>
          <w:tcPr>
            <w:tcW w:w="767" w:type="dxa"/>
            <w:noWrap w:val="0"/>
            <w:vAlign w:val="top"/>
          </w:tcPr>
          <w:p>
            <w:pPr>
              <w:jc w:val="center"/>
              <w:rPr>
                <w:rFonts w:hint="eastAsia" w:ascii="仿宋_GB2312" w:hAnsi="仿宋_GB2312" w:eastAsia="仿宋_GB2312" w:cs="仿宋_GB2312"/>
                <w:sz w:val="24"/>
              </w:rPr>
            </w:pPr>
          </w:p>
        </w:tc>
        <w:tc>
          <w:tcPr>
            <w:tcW w:w="1203" w:type="dxa"/>
            <w:gridSpan w:val="2"/>
            <w:noWrap w:val="0"/>
            <w:vAlign w:val="top"/>
          </w:tcPr>
          <w:p>
            <w:pPr>
              <w:ind w:firstLine="240" w:firstLineChars="100"/>
              <w:rPr>
                <w:rFonts w:hint="eastAsia" w:ascii="仿宋_GB2312" w:hAnsi="仿宋_GB2312" w:eastAsia="仿宋_GB2312" w:cs="仿宋_GB2312"/>
                <w:sz w:val="24"/>
              </w:rPr>
            </w:pPr>
          </w:p>
        </w:tc>
        <w:tc>
          <w:tcPr>
            <w:tcW w:w="4469" w:type="dxa"/>
            <w:gridSpan w:val="5"/>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4" w:type="dxa"/>
            <w:noWrap w:val="0"/>
            <w:vAlign w:val="top"/>
          </w:tcPr>
          <w:p>
            <w:pPr>
              <w:jc w:val="center"/>
              <w:rPr>
                <w:rFonts w:hint="eastAsia" w:ascii="仿宋_GB2312" w:hAnsi="仿宋_GB2312" w:eastAsia="仿宋_GB2312" w:cs="仿宋_GB2312"/>
                <w:sz w:val="24"/>
              </w:rPr>
            </w:pPr>
          </w:p>
        </w:tc>
        <w:tc>
          <w:tcPr>
            <w:tcW w:w="760" w:type="dxa"/>
            <w:noWrap w:val="0"/>
            <w:vAlign w:val="top"/>
          </w:tcPr>
          <w:p>
            <w:pPr>
              <w:jc w:val="center"/>
              <w:rPr>
                <w:rFonts w:hint="eastAsia" w:ascii="仿宋_GB2312" w:hAnsi="仿宋_GB2312" w:eastAsia="仿宋_GB2312" w:cs="仿宋_GB2312"/>
                <w:sz w:val="24"/>
              </w:rPr>
            </w:pPr>
          </w:p>
        </w:tc>
        <w:tc>
          <w:tcPr>
            <w:tcW w:w="532" w:type="dxa"/>
            <w:noWrap w:val="0"/>
            <w:vAlign w:val="top"/>
          </w:tcPr>
          <w:p>
            <w:pPr>
              <w:jc w:val="center"/>
              <w:rPr>
                <w:rFonts w:hint="eastAsia" w:ascii="仿宋_GB2312" w:hAnsi="仿宋_GB2312" w:eastAsia="仿宋_GB2312" w:cs="仿宋_GB2312"/>
                <w:sz w:val="24"/>
              </w:rPr>
            </w:pPr>
          </w:p>
        </w:tc>
        <w:tc>
          <w:tcPr>
            <w:tcW w:w="767" w:type="dxa"/>
            <w:noWrap w:val="0"/>
            <w:vAlign w:val="top"/>
          </w:tcPr>
          <w:p>
            <w:pPr>
              <w:jc w:val="center"/>
              <w:rPr>
                <w:rFonts w:hint="eastAsia" w:ascii="仿宋_GB2312" w:hAnsi="仿宋_GB2312" w:eastAsia="仿宋_GB2312" w:cs="仿宋_GB2312"/>
                <w:sz w:val="24"/>
              </w:rPr>
            </w:pPr>
          </w:p>
        </w:tc>
        <w:tc>
          <w:tcPr>
            <w:tcW w:w="1203" w:type="dxa"/>
            <w:gridSpan w:val="2"/>
            <w:noWrap w:val="0"/>
            <w:vAlign w:val="top"/>
          </w:tcPr>
          <w:p>
            <w:pPr>
              <w:ind w:firstLine="240" w:firstLineChars="100"/>
              <w:rPr>
                <w:rFonts w:hint="eastAsia" w:ascii="仿宋_GB2312" w:hAnsi="仿宋_GB2312" w:eastAsia="仿宋_GB2312" w:cs="仿宋_GB2312"/>
                <w:sz w:val="24"/>
              </w:rPr>
            </w:pPr>
          </w:p>
        </w:tc>
        <w:tc>
          <w:tcPr>
            <w:tcW w:w="4469" w:type="dxa"/>
            <w:gridSpan w:val="5"/>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126" w:type="dxa"/>
            <w:gridSpan w:val="6"/>
            <w:noWrap w:val="0"/>
            <w:vAlign w:val="top"/>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4469" w:type="dxa"/>
            <w:gridSpan w:val="5"/>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595" w:type="dxa"/>
            <w:gridSpan w:val="11"/>
            <w:noWrap w:val="0"/>
            <w:vAlign w:val="top"/>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本资产评估机构声明：</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本资产评估机构提交的备案材料和信息真实、准确、完整，不存在虚假记载、误导性陈述或者重大遗漏。</w:t>
            </w:r>
          </w:p>
          <w:p>
            <w:pPr>
              <w:numPr>
                <w:ilvl w:val="0"/>
                <w:numId w:val="1"/>
              </w:num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本资产评估机构在执业中不存在因贿赂行为受到刑事处罚的情形。</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法定代表人（执行合伙事务的合伙人） </w:t>
            </w:r>
            <w:r>
              <w:rPr>
                <w:rFonts w:ascii="仿宋_GB2312" w:hAnsi="仿宋_GB2312" w:eastAsia="仿宋_GB2312" w:cs="仿宋_GB2312"/>
                <w:sz w:val="24"/>
              </w:rPr>
              <w:t xml:space="preserve">              </w:t>
            </w:r>
            <w:r>
              <w:rPr>
                <w:rFonts w:hint="eastAsia" w:ascii="仿宋_GB2312" w:hAnsi="仿宋_GB2312" w:eastAsia="仿宋_GB2312" w:cs="仿宋_GB2312"/>
                <w:sz w:val="24"/>
              </w:rPr>
              <w:t>资产评估机构</w:t>
            </w:r>
          </w:p>
          <w:p>
            <w:pPr>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 xml:space="preserve">（签章）  </w:t>
            </w:r>
            <w:r>
              <w:rPr>
                <w:rFonts w:ascii="仿宋_GB2312" w:hAnsi="仿宋_GB2312" w:eastAsia="仿宋_GB2312" w:cs="仿宋_GB2312"/>
                <w:sz w:val="24"/>
              </w:rPr>
              <w:t xml:space="preserve">                                       </w:t>
            </w:r>
            <w:r>
              <w:rPr>
                <w:rFonts w:hint="eastAsia" w:ascii="仿宋_GB2312" w:hAnsi="仿宋_GB2312" w:eastAsia="仿宋_GB2312" w:cs="仿宋_GB2312"/>
                <w:sz w:val="24"/>
              </w:rPr>
              <w:t>（盖章）</w:t>
            </w:r>
          </w:p>
          <w:p>
            <w:pPr>
              <w:rPr>
                <w:rFonts w:hint="eastAsia" w:ascii="仿宋_GB2312" w:hAnsi="仿宋_GB2312" w:eastAsia="仿宋_GB2312" w:cs="仿宋_GB2312"/>
                <w:sz w:val="24"/>
              </w:rPr>
            </w:pPr>
          </w:p>
          <w:p>
            <w:pPr>
              <w:ind w:firstLine="6000" w:firstLineChars="25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hint="eastAsia" w:ascii="仿宋_GB2312" w:hAnsi="仿宋_GB2312" w:eastAsia="仿宋_GB2312" w:cs="仿宋_GB2312"/>
          <w:bCs/>
          <w:sz w:val="24"/>
        </w:rPr>
      </w:pPr>
      <w:r>
        <w:rPr>
          <w:rFonts w:hint="eastAsia" w:ascii="仿宋_GB2312" w:hAnsi="仿宋_GB2312" w:eastAsia="仿宋_GB2312" w:cs="仿宋_GB2312"/>
          <w:bCs/>
          <w:sz w:val="24"/>
        </w:rPr>
        <w:t>注：1.设立备案机关指资产评估机构设立时备案的有关评估行政管理部门。</w:t>
      </w:r>
    </w:p>
    <w:p>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2.实际控制人是指通过投资关系、协议或者其他安排，能够实际支配资产评估机构行为的自然人、法人或者其他组织。</w:t>
      </w:r>
    </w:p>
    <w:p>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3.资产评估机构员工总数、资产评估师总数、上一年度资产评估业务收入、上年末净资产、累计职业风险基金、保险合同有效期内职业责任保险累计赔偿限额均包含分公司但不包含子公司。</w:t>
      </w:r>
    </w:p>
    <w:p>
      <w:pPr>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5.电话应当包含固定电话和手机号码。</w:t>
      </w:r>
    </w:p>
    <w:p>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6.上一年度资产评估业务收入不含增值税。</w:t>
      </w:r>
    </w:p>
    <w:p>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7.资产评估机构报送备案材料时，如已订立委托合同或者实际从事证券服务业务的，还应当填写首单证券服务业务有关信息。</w:t>
      </w:r>
    </w:p>
    <w:p>
      <w:pPr>
        <w:ind w:firstLine="481"/>
        <w:rPr>
          <w:rFonts w:hint="eastAsia" w:ascii="仿宋_GB2312" w:hAnsi="仿宋_GB2312" w:eastAsia="仿宋_GB2312" w:cs="仿宋_GB2312"/>
          <w:bCs/>
          <w:sz w:val="24"/>
        </w:rPr>
      </w:pPr>
      <w:r>
        <w:rPr>
          <w:rFonts w:hint="eastAsia" w:ascii="仿宋_GB2312" w:hAnsi="仿宋_GB2312" w:eastAsia="仿宋_GB2312" w:cs="仿宋_GB2312"/>
          <w:bCs/>
          <w:sz w:val="24"/>
        </w:rPr>
        <w:t>8.分支机构为资产评估机构的分公司、分所等。</w:t>
      </w:r>
    </w:p>
    <w:p>
      <w:pPr>
        <w:ind w:firstLine="481"/>
        <w:rPr>
          <w:rFonts w:hint="eastAsia" w:ascii="仿宋_GB2312" w:hAnsi="仿宋_GB2312" w:eastAsia="仿宋_GB2312" w:cs="仿宋_GB2312"/>
          <w:sz w:val="32"/>
          <w:szCs w:val="32"/>
        </w:rPr>
      </w:pPr>
      <w:r>
        <w:rPr>
          <w:rFonts w:hint="eastAsia" w:ascii="仿宋_GB2312" w:hAnsi="仿宋_GB2312" w:eastAsia="仿宋_GB2312" w:cs="仿宋_GB2312"/>
          <w:bCs/>
          <w:sz w:val="24"/>
        </w:rPr>
        <w:t>9.如无特别说明，本附表中，人数、金额按</w:t>
      </w:r>
      <w:r>
        <w:rPr>
          <w:rFonts w:hint="eastAsia" w:ascii="仿宋_GB2312" w:hAnsi="仿宋_GB2312" w:eastAsia="仿宋_GB2312" w:cs="仿宋_GB2312"/>
          <w:sz w:val="24"/>
        </w:rPr>
        <w:t>截至备案上月末数字填列。</w:t>
      </w: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附2</w:t>
      </w:r>
    </w:p>
    <w:p>
      <w:pPr>
        <w:ind w:firstLine="643"/>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资产评估机构内部管理制度及执行情况说明</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（包括但不限于人员管理、财务管理、业务管理、技术标准和信息化建设等内部管理制度）</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一、目录</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二、人员管理、财务管理、业务管理、技术标准和信息化建设等内部管理制度正文</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三、执行情况的具体说明</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pPr>
        <w:widowControl/>
        <w:ind w:firstLine="640" w:firstLineChars="200"/>
        <w:jc w:val="right"/>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sectPr>
          <w:footerReference r:id="rId3"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附3</w:t>
      </w:r>
    </w:p>
    <w:tbl>
      <w:tblPr>
        <w:tblStyle w:val="8"/>
        <w:tblW w:w="14083" w:type="dxa"/>
        <w:tblInd w:w="93" w:type="dxa"/>
        <w:tblLayout w:type="fixed"/>
        <w:tblCellMar>
          <w:top w:w="0" w:type="dxa"/>
          <w:left w:w="108" w:type="dxa"/>
          <w:bottom w:w="0" w:type="dxa"/>
          <w:right w:w="108" w:type="dxa"/>
        </w:tblCellMar>
      </w:tblPr>
      <w:tblGrid>
        <w:gridCol w:w="773"/>
        <w:gridCol w:w="1320"/>
        <w:gridCol w:w="778"/>
        <w:gridCol w:w="1421"/>
        <w:gridCol w:w="1387"/>
        <w:gridCol w:w="770"/>
        <w:gridCol w:w="770"/>
        <w:gridCol w:w="770"/>
        <w:gridCol w:w="1240"/>
        <w:gridCol w:w="679"/>
        <w:gridCol w:w="91"/>
        <w:gridCol w:w="770"/>
        <w:gridCol w:w="459"/>
        <w:gridCol w:w="311"/>
        <w:gridCol w:w="467"/>
        <w:gridCol w:w="303"/>
        <w:gridCol w:w="467"/>
        <w:gridCol w:w="428"/>
        <w:gridCol w:w="342"/>
        <w:gridCol w:w="493"/>
        <w:gridCol w:w="44"/>
      </w:tblGrid>
      <w:tr>
        <w:tblPrEx>
          <w:tblCellMar>
            <w:top w:w="0" w:type="dxa"/>
            <w:left w:w="108" w:type="dxa"/>
            <w:bottom w:w="0" w:type="dxa"/>
            <w:right w:w="108" w:type="dxa"/>
          </w:tblCellMar>
        </w:tblPrEx>
        <w:trPr>
          <w:trHeight w:val="450" w:hRule="atLeast"/>
        </w:trPr>
        <w:tc>
          <w:tcPr>
            <w:tcW w:w="14083" w:type="dxa"/>
            <w:gridSpan w:val="21"/>
            <w:tcBorders>
              <w:top w:val="nil"/>
              <w:left w:val="nil"/>
              <w:bottom w:val="nil"/>
              <w:right w:val="nil"/>
            </w:tcBorders>
            <w:noWrap/>
            <w:vAlign w:val="center"/>
          </w:tcPr>
          <w:p>
            <w:pPr>
              <w:widowControl/>
              <w:spacing w:line="360" w:lineRule="auto"/>
              <w:jc w:val="center"/>
              <w:rPr>
                <w:rFonts w:hint="eastAsia" w:ascii="黑体" w:hAnsi="宋体" w:eastAsia="黑体" w:cs="黑体"/>
                <w:sz w:val="36"/>
                <w:szCs w:val="36"/>
              </w:rPr>
            </w:pPr>
            <w:r>
              <w:rPr>
                <w:rFonts w:hint="eastAsia" w:ascii="仿宋_GB2312" w:hAnsi="仿宋_GB2312" w:eastAsia="仿宋_GB2312" w:cs="仿宋_GB2312"/>
                <w:b/>
                <w:bCs/>
                <w:sz w:val="32"/>
                <w:szCs w:val="32"/>
              </w:rPr>
              <w:t>资产评估业务清单</w:t>
            </w:r>
          </w:p>
        </w:tc>
      </w:tr>
      <w:tr>
        <w:tblPrEx>
          <w:tblCellMar>
            <w:top w:w="0" w:type="dxa"/>
            <w:left w:w="108" w:type="dxa"/>
            <w:bottom w:w="0" w:type="dxa"/>
            <w:right w:w="108" w:type="dxa"/>
          </w:tblCellMar>
        </w:tblPrEx>
        <w:trPr>
          <w:trHeight w:val="240" w:hRule="atLeast"/>
        </w:trPr>
        <w:tc>
          <w:tcPr>
            <w:tcW w:w="14083" w:type="dxa"/>
            <w:gridSpan w:val="21"/>
            <w:tcBorders>
              <w:top w:val="nil"/>
              <w:left w:val="nil"/>
              <w:bottom w:val="nil"/>
              <w:right w:val="nil"/>
            </w:tcBorders>
            <w:noWrap/>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资产评估机构名称： </w:t>
            </w:r>
          </w:p>
        </w:tc>
      </w:tr>
      <w:tr>
        <w:tblPrEx>
          <w:tblCellMar>
            <w:top w:w="0" w:type="dxa"/>
            <w:left w:w="108" w:type="dxa"/>
            <w:bottom w:w="0" w:type="dxa"/>
            <w:right w:w="108" w:type="dxa"/>
          </w:tblCellMar>
        </w:tblPrEx>
        <w:trPr>
          <w:trHeight w:val="240" w:hRule="atLeast"/>
        </w:trPr>
        <w:tc>
          <w:tcPr>
            <w:tcW w:w="9908" w:type="dxa"/>
            <w:gridSpan w:val="10"/>
            <w:tcBorders>
              <w:top w:val="nil"/>
              <w:left w:val="nil"/>
              <w:bottom w:val="nil"/>
              <w:right w:val="nil"/>
            </w:tcBorders>
            <w:noWrap/>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资产评估机构代码：</w:t>
            </w:r>
          </w:p>
        </w:tc>
        <w:tc>
          <w:tcPr>
            <w:tcW w:w="1320" w:type="dxa"/>
            <w:gridSpan w:val="3"/>
            <w:tcBorders>
              <w:top w:val="nil"/>
              <w:left w:val="nil"/>
              <w:bottom w:val="nil"/>
              <w:right w:val="nil"/>
            </w:tcBorders>
            <w:noWrap/>
            <w:vAlign w:val="center"/>
          </w:tcPr>
          <w:p>
            <w:pPr>
              <w:jc w:val="right"/>
              <w:rPr>
                <w:rFonts w:hint="eastAsia" w:ascii="仿宋_GB2312" w:hAnsi="仿宋_GB2312" w:eastAsia="仿宋_GB2312" w:cs="仿宋_GB2312"/>
                <w:sz w:val="24"/>
                <w:szCs w:val="24"/>
              </w:rPr>
            </w:pPr>
          </w:p>
        </w:tc>
        <w:tc>
          <w:tcPr>
            <w:tcW w:w="778" w:type="dxa"/>
            <w:gridSpan w:val="2"/>
            <w:tcBorders>
              <w:top w:val="nil"/>
              <w:left w:val="nil"/>
              <w:bottom w:val="nil"/>
              <w:right w:val="nil"/>
            </w:tcBorders>
            <w:noWrap/>
            <w:vAlign w:val="center"/>
          </w:tcPr>
          <w:p>
            <w:pPr>
              <w:jc w:val="right"/>
              <w:rPr>
                <w:rFonts w:hint="eastAsia" w:ascii="仿宋_GB2312" w:hAnsi="仿宋_GB2312" w:eastAsia="仿宋_GB2312" w:cs="仿宋_GB2312"/>
                <w:sz w:val="24"/>
                <w:szCs w:val="24"/>
              </w:rPr>
            </w:pPr>
          </w:p>
        </w:tc>
        <w:tc>
          <w:tcPr>
            <w:tcW w:w="770" w:type="dxa"/>
            <w:gridSpan w:val="2"/>
            <w:tcBorders>
              <w:top w:val="nil"/>
              <w:left w:val="nil"/>
              <w:bottom w:val="nil"/>
              <w:right w:val="nil"/>
            </w:tcBorders>
            <w:noWrap/>
            <w:vAlign w:val="center"/>
          </w:tcPr>
          <w:p>
            <w:pPr>
              <w:rPr>
                <w:rFonts w:hint="eastAsia" w:ascii="仿宋_GB2312" w:hAnsi="仿宋_GB2312" w:eastAsia="仿宋_GB2312" w:cs="仿宋_GB2312"/>
                <w:sz w:val="24"/>
                <w:szCs w:val="24"/>
              </w:rPr>
            </w:pPr>
          </w:p>
        </w:tc>
        <w:tc>
          <w:tcPr>
            <w:tcW w:w="770" w:type="dxa"/>
            <w:gridSpan w:val="2"/>
            <w:tcBorders>
              <w:top w:val="nil"/>
              <w:left w:val="nil"/>
              <w:bottom w:val="nil"/>
              <w:right w:val="nil"/>
            </w:tcBorders>
            <w:noWrap/>
            <w:vAlign w:val="center"/>
          </w:tcPr>
          <w:p>
            <w:pPr>
              <w:rPr>
                <w:rFonts w:hint="eastAsia" w:ascii="仿宋_GB2312" w:hAnsi="仿宋_GB2312" w:eastAsia="仿宋_GB2312" w:cs="仿宋_GB2312"/>
                <w:sz w:val="24"/>
                <w:szCs w:val="24"/>
              </w:rPr>
            </w:pPr>
          </w:p>
        </w:tc>
        <w:tc>
          <w:tcPr>
            <w:tcW w:w="537" w:type="dxa"/>
            <w:gridSpan w:val="2"/>
            <w:tcBorders>
              <w:top w:val="nil"/>
              <w:left w:val="nil"/>
              <w:bottom w:val="nil"/>
              <w:right w:val="nil"/>
            </w:tcBorders>
            <w:noWrap/>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40" w:hRule="atLeast"/>
        </w:trPr>
        <w:tc>
          <w:tcPr>
            <w:tcW w:w="9908" w:type="dxa"/>
            <w:gridSpan w:val="10"/>
            <w:tcBorders>
              <w:top w:val="nil"/>
              <w:left w:val="nil"/>
              <w:bottom w:val="single" w:color="000000" w:sz="4" w:space="0"/>
              <w:right w:val="nil"/>
            </w:tcBorders>
            <w:noWrap/>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填写的业务开展期间：XX年X月—XX年X月</w:t>
            </w:r>
          </w:p>
        </w:tc>
        <w:tc>
          <w:tcPr>
            <w:tcW w:w="1320" w:type="dxa"/>
            <w:gridSpan w:val="3"/>
            <w:tcBorders>
              <w:top w:val="nil"/>
              <w:left w:val="nil"/>
              <w:bottom w:val="nil"/>
              <w:right w:val="nil"/>
            </w:tcBorders>
            <w:noWrap/>
            <w:vAlign w:val="center"/>
          </w:tcPr>
          <w:p>
            <w:pPr>
              <w:jc w:val="right"/>
              <w:rPr>
                <w:rFonts w:hint="eastAsia" w:ascii="仿宋_GB2312" w:hAnsi="仿宋_GB2312" w:eastAsia="仿宋_GB2312" w:cs="仿宋_GB2312"/>
                <w:sz w:val="24"/>
                <w:szCs w:val="24"/>
              </w:rPr>
            </w:pPr>
          </w:p>
        </w:tc>
        <w:tc>
          <w:tcPr>
            <w:tcW w:w="778" w:type="dxa"/>
            <w:gridSpan w:val="2"/>
            <w:tcBorders>
              <w:top w:val="nil"/>
              <w:left w:val="nil"/>
              <w:bottom w:val="nil"/>
              <w:right w:val="nil"/>
            </w:tcBorders>
            <w:noWrap/>
            <w:vAlign w:val="center"/>
          </w:tcPr>
          <w:p>
            <w:pPr>
              <w:jc w:val="right"/>
              <w:rPr>
                <w:rFonts w:hint="eastAsia" w:ascii="仿宋_GB2312" w:hAnsi="仿宋_GB2312" w:eastAsia="仿宋_GB2312" w:cs="仿宋_GB2312"/>
                <w:sz w:val="24"/>
                <w:szCs w:val="24"/>
              </w:rPr>
            </w:pPr>
          </w:p>
        </w:tc>
        <w:tc>
          <w:tcPr>
            <w:tcW w:w="2077" w:type="dxa"/>
            <w:gridSpan w:val="6"/>
            <w:tcBorders>
              <w:top w:val="nil"/>
              <w:left w:val="nil"/>
              <w:bottom w:val="single" w:color="000000" w:sz="4" w:space="0"/>
              <w:right w:val="nil"/>
            </w:tcBorders>
            <w:noWrap/>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填表日期：</w:t>
            </w:r>
          </w:p>
        </w:tc>
      </w:tr>
      <w:tr>
        <w:tblPrEx>
          <w:tblCellMar>
            <w:top w:w="0" w:type="dxa"/>
            <w:left w:w="108" w:type="dxa"/>
            <w:bottom w:w="0" w:type="dxa"/>
            <w:right w:w="108" w:type="dxa"/>
          </w:tblCellMar>
        </w:tblPrEx>
        <w:trPr>
          <w:gridAfter w:val="1"/>
          <w:wAfter w:w="44" w:type="dxa"/>
          <w:trHeight w:val="90"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序号</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合同编号</w:t>
            </w:r>
          </w:p>
        </w:tc>
        <w:tc>
          <w:tcPr>
            <w:tcW w:w="77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委托人名称</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委托人性质</w:t>
            </w: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约定资产评估服务费（人民币万元）</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资产评估报告文号</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资产评估报告名称</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统一编码</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评估目的</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评估报告日</w:t>
            </w: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最终选取评估方法</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评估结论</w:t>
            </w: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签名人员</w:t>
            </w: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是否证券服务业务</w:t>
            </w: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备注</w:t>
            </w:r>
          </w:p>
        </w:tc>
      </w:tr>
      <w:tr>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gridAfter w:val="1"/>
          <w:wAfter w:w="44" w:type="dxa"/>
          <w:trHeight w:val="240" w:hRule="atLeast"/>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77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c>
          <w:tcPr>
            <w:tcW w:w="83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lang w:bidi="ar"/>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注：1.合同编号、资产评估报告文号根据评估机构内部编号填写。</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2.委托人名称、约定资产评估服务费根据合同填写。</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3.委托人性质主要为拟</w:t>
      </w:r>
      <w:r>
        <w:rPr>
          <w:rFonts w:hint="default" w:ascii="Times New Roman" w:hAnsi="Times New Roman" w:eastAsia="仿宋_GB2312" w:cs="Times New Roman"/>
          <w:sz w:val="24"/>
          <w:szCs w:val="24"/>
          <w:highlight w:val="none"/>
        </w:rPr>
        <w:t>IPO</w:t>
      </w:r>
      <w:r>
        <w:rPr>
          <w:rFonts w:hint="eastAsia" w:ascii="仿宋_GB2312" w:hAnsi="仿宋_GB2312" w:eastAsia="仿宋_GB2312" w:cs="仿宋_GB2312"/>
          <w:sz w:val="24"/>
          <w:szCs w:val="24"/>
        </w:rPr>
        <w:t>企业、拟挂牌企业、债券发行人、上市公司、挂牌公司、证券公司、资产管理产品、基金经营机构、基金产品、期货经营机构、期货产品、非证券有关企业、政府机构、事业单位、社会组织、个人等。</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4.统一编码根据资产评估业务报备系统生成的报告统一编码填写。</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5.评估目的：亦为经济行为，主要为</w:t>
      </w:r>
      <w:r>
        <w:rPr>
          <w:rFonts w:hint="default" w:ascii="Times New Roman" w:hAnsi="Times New Roman" w:eastAsia="仿宋_GB2312" w:cs="Times New Roman"/>
          <w:sz w:val="24"/>
          <w:szCs w:val="24"/>
          <w:highlight w:val="none"/>
        </w:rPr>
        <w:t>IPO</w:t>
      </w:r>
      <w:r>
        <w:rPr>
          <w:rFonts w:hint="eastAsia" w:ascii="仿宋_GB2312" w:hAnsi="仿宋_GB2312" w:eastAsia="仿宋_GB2312" w:cs="仿宋_GB2312"/>
          <w:sz w:val="24"/>
          <w:szCs w:val="24"/>
        </w:rPr>
        <w:t>上市、公司制改建、对外投资、接受投资、合并、分立、破产、清算、解散、股东股权比例变动、产权转让、上市公司发行股份购买资产、资产转让、置换、拍卖、资产抵押/质押、资产捐赠、资产租赁、资产补偿/损失补偿、资产偿债、资产涉讼、资产收购、接受抵债资产、债转股、债务重组及其他、财务会计报告目的、其他。</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6.最终选取评估方法：主要为成本法、市场法、收益法、衍生方法、具体衍生方法等。</w:t>
      </w:r>
    </w:p>
    <w:p>
      <w:pPr>
        <w:rPr>
          <w:rFonts w:hint="eastAsia" w:ascii="仿宋_GB2312" w:eastAsia="仿宋_GB2312"/>
          <w:b/>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附4</w:t>
      </w:r>
    </w:p>
    <w:p>
      <w:pPr>
        <w:jc w:val="center"/>
        <w:rPr>
          <w:rFonts w:hint="eastAsia" w:ascii="宋体"/>
          <w:b/>
          <w:sz w:val="30"/>
        </w:rPr>
      </w:pPr>
      <w:r>
        <w:rPr>
          <w:rFonts w:hint="eastAsia" w:ascii="仿宋_GB2312" w:hAnsi="仿宋_GB2312" w:eastAsia="仿宋_GB2312" w:cs="仿宋_GB2312"/>
          <w:b/>
          <w:sz w:val="32"/>
          <w:szCs w:val="32"/>
        </w:rPr>
        <w:t>资产评估师及管理人员情况表</w:t>
      </w:r>
    </w:p>
    <w:p>
      <w:pPr>
        <w:spacing w:line="300" w:lineRule="exact"/>
        <w:jc w:val="center"/>
        <w:rPr>
          <w:rFonts w:hint="eastAsia" w:ascii="宋体"/>
          <w:b/>
          <w:sz w:val="30"/>
        </w:rPr>
      </w:pPr>
    </w:p>
    <w:p>
      <w:pPr>
        <w:rPr>
          <w:rFonts w:hint="eastAsia" w:ascii="仿宋_GB2312" w:hAnsi="仿宋_GB2312" w:eastAsia="仿宋_GB2312" w:cs="仿宋_GB2312"/>
          <w:bCs/>
          <w:sz w:val="24"/>
        </w:rPr>
      </w:pPr>
      <w:r>
        <w:rPr>
          <w:rFonts w:hint="eastAsia" w:ascii="仿宋_GB2312" w:hAnsi="仿宋_GB2312" w:eastAsia="仿宋_GB2312" w:cs="仿宋_GB2312"/>
          <w:bCs/>
          <w:sz w:val="24"/>
        </w:rPr>
        <w:t>资产评估机构名称（盖章）：               填报基准日:      年   月   日</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填报日期:     年   月   日</w:t>
      </w:r>
    </w:p>
    <w:tbl>
      <w:tblPr>
        <w:tblStyle w:val="8"/>
        <w:tblW w:w="14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22"/>
        <w:gridCol w:w="628"/>
        <w:gridCol w:w="731"/>
        <w:gridCol w:w="667"/>
        <w:gridCol w:w="849"/>
        <w:gridCol w:w="680"/>
        <w:gridCol w:w="955"/>
        <w:gridCol w:w="1147"/>
        <w:gridCol w:w="1147"/>
        <w:gridCol w:w="984"/>
        <w:gridCol w:w="827"/>
        <w:gridCol w:w="827"/>
        <w:gridCol w:w="827"/>
        <w:gridCol w:w="862"/>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52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62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73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66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所在分支机构</w:t>
            </w:r>
          </w:p>
        </w:tc>
        <w:tc>
          <w:tcPr>
            <w:tcW w:w="84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执业会员编号</w:t>
            </w:r>
          </w:p>
        </w:tc>
        <w:tc>
          <w:tcPr>
            <w:tcW w:w="68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初次登记日期</w:t>
            </w:r>
          </w:p>
        </w:tc>
        <w:tc>
          <w:tcPr>
            <w:tcW w:w="95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连续执业时间</w:t>
            </w:r>
          </w:p>
        </w:tc>
        <w:tc>
          <w:tcPr>
            <w:tcW w:w="114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在本机构连续执业时 间</w:t>
            </w:r>
          </w:p>
        </w:tc>
        <w:tc>
          <w:tcPr>
            <w:tcW w:w="114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连续从事证券评估业务时间</w:t>
            </w:r>
          </w:p>
        </w:tc>
        <w:tc>
          <w:tcPr>
            <w:tcW w:w="98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是否拟从事证券评估业务</w:t>
            </w:r>
          </w:p>
        </w:tc>
        <w:tc>
          <w:tcPr>
            <w:tcW w:w="82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是否担任质量控制负责人</w:t>
            </w:r>
          </w:p>
        </w:tc>
        <w:tc>
          <w:tcPr>
            <w:tcW w:w="82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是否担任法定代表人（执行合伙人）</w:t>
            </w:r>
          </w:p>
        </w:tc>
        <w:tc>
          <w:tcPr>
            <w:tcW w:w="82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是否担任首席评估师</w:t>
            </w:r>
          </w:p>
        </w:tc>
        <w:tc>
          <w:tcPr>
            <w:tcW w:w="8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是否为股东（合伙人）</w:t>
            </w:r>
          </w:p>
        </w:tc>
        <w:tc>
          <w:tcPr>
            <w:tcW w:w="8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出资额（万元）</w:t>
            </w:r>
          </w:p>
        </w:tc>
        <w:tc>
          <w:tcPr>
            <w:tcW w:w="8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86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是否专职在本机构工作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pPr>
              <w:spacing w:line="400" w:lineRule="exact"/>
              <w:jc w:val="center"/>
              <w:rPr>
                <w:rFonts w:hint="eastAsia" w:ascii="仿宋_GB2312" w:hAnsi="仿宋_GB2312" w:eastAsia="仿宋_GB2312" w:cs="仿宋_GB2312"/>
                <w:sz w:val="24"/>
              </w:rPr>
            </w:pPr>
          </w:p>
        </w:tc>
        <w:tc>
          <w:tcPr>
            <w:tcW w:w="522" w:type="dxa"/>
            <w:noWrap w:val="0"/>
            <w:vAlign w:val="top"/>
          </w:tcPr>
          <w:p>
            <w:pPr>
              <w:spacing w:line="400" w:lineRule="exact"/>
              <w:jc w:val="center"/>
              <w:rPr>
                <w:rFonts w:hint="eastAsia" w:ascii="仿宋_GB2312" w:hAnsi="仿宋_GB2312" w:eastAsia="仿宋_GB2312" w:cs="仿宋_GB2312"/>
                <w:sz w:val="24"/>
              </w:rPr>
            </w:pPr>
          </w:p>
        </w:tc>
        <w:tc>
          <w:tcPr>
            <w:tcW w:w="628" w:type="dxa"/>
            <w:noWrap w:val="0"/>
            <w:vAlign w:val="top"/>
          </w:tcPr>
          <w:p>
            <w:pPr>
              <w:spacing w:line="400" w:lineRule="exact"/>
              <w:jc w:val="center"/>
              <w:rPr>
                <w:rFonts w:hint="eastAsia" w:ascii="仿宋_GB2312" w:hAnsi="仿宋_GB2312" w:eastAsia="仿宋_GB2312" w:cs="仿宋_GB2312"/>
                <w:sz w:val="24"/>
              </w:rPr>
            </w:pPr>
          </w:p>
        </w:tc>
        <w:tc>
          <w:tcPr>
            <w:tcW w:w="731" w:type="dxa"/>
            <w:noWrap w:val="0"/>
            <w:vAlign w:val="top"/>
          </w:tcPr>
          <w:p>
            <w:pPr>
              <w:spacing w:line="400" w:lineRule="exact"/>
              <w:jc w:val="center"/>
              <w:rPr>
                <w:rFonts w:hint="eastAsia" w:ascii="仿宋_GB2312" w:hAnsi="仿宋_GB2312" w:eastAsia="仿宋_GB2312" w:cs="仿宋_GB2312"/>
                <w:sz w:val="24"/>
              </w:rPr>
            </w:pPr>
          </w:p>
        </w:tc>
        <w:tc>
          <w:tcPr>
            <w:tcW w:w="667" w:type="dxa"/>
            <w:noWrap w:val="0"/>
            <w:vAlign w:val="top"/>
          </w:tcPr>
          <w:p>
            <w:pPr>
              <w:spacing w:line="400" w:lineRule="exact"/>
              <w:jc w:val="center"/>
              <w:rPr>
                <w:rFonts w:hint="eastAsia" w:ascii="仿宋_GB2312" w:hAnsi="仿宋_GB2312" w:eastAsia="仿宋_GB2312" w:cs="仿宋_GB2312"/>
                <w:sz w:val="24"/>
              </w:rPr>
            </w:pPr>
          </w:p>
        </w:tc>
        <w:tc>
          <w:tcPr>
            <w:tcW w:w="849" w:type="dxa"/>
            <w:noWrap w:val="0"/>
            <w:vAlign w:val="top"/>
          </w:tcPr>
          <w:p>
            <w:pPr>
              <w:spacing w:line="400" w:lineRule="exact"/>
              <w:jc w:val="center"/>
              <w:rPr>
                <w:rFonts w:hint="eastAsia" w:ascii="仿宋_GB2312" w:hAnsi="仿宋_GB2312" w:eastAsia="仿宋_GB2312" w:cs="仿宋_GB2312"/>
                <w:sz w:val="24"/>
              </w:rPr>
            </w:pPr>
          </w:p>
        </w:tc>
        <w:tc>
          <w:tcPr>
            <w:tcW w:w="680" w:type="dxa"/>
            <w:noWrap w:val="0"/>
            <w:vAlign w:val="top"/>
          </w:tcPr>
          <w:p>
            <w:pPr>
              <w:spacing w:line="400" w:lineRule="exact"/>
              <w:jc w:val="center"/>
              <w:rPr>
                <w:rFonts w:hint="eastAsia" w:ascii="仿宋_GB2312" w:hAnsi="仿宋_GB2312" w:eastAsia="仿宋_GB2312" w:cs="仿宋_GB2312"/>
                <w:sz w:val="24"/>
              </w:rPr>
            </w:pPr>
          </w:p>
        </w:tc>
        <w:tc>
          <w:tcPr>
            <w:tcW w:w="955"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984"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pPr>
              <w:spacing w:line="400" w:lineRule="exact"/>
              <w:jc w:val="center"/>
              <w:rPr>
                <w:rFonts w:hint="eastAsia" w:ascii="仿宋_GB2312" w:hAnsi="仿宋_GB2312" w:eastAsia="仿宋_GB2312" w:cs="仿宋_GB2312"/>
                <w:sz w:val="24"/>
              </w:rPr>
            </w:pPr>
          </w:p>
        </w:tc>
        <w:tc>
          <w:tcPr>
            <w:tcW w:w="522" w:type="dxa"/>
            <w:noWrap w:val="0"/>
            <w:vAlign w:val="top"/>
          </w:tcPr>
          <w:p>
            <w:pPr>
              <w:spacing w:line="400" w:lineRule="exact"/>
              <w:jc w:val="center"/>
              <w:rPr>
                <w:rFonts w:hint="eastAsia" w:ascii="仿宋_GB2312" w:hAnsi="仿宋_GB2312" w:eastAsia="仿宋_GB2312" w:cs="仿宋_GB2312"/>
                <w:sz w:val="24"/>
              </w:rPr>
            </w:pPr>
          </w:p>
        </w:tc>
        <w:tc>
          <w:tcPr>
            <w:tcW w:w="628" w:type="dxa"/>
            <w:noWrap w:val="0"/>
            <w:vAlign w:val="top"/>
          </w:tcPr>
          <w:p>
            <w:pPr>
              <w:spacing w:line="400" w:lineRule="exact"/>
              <w:jc w:val="center"/>
              <w:rPr>
                <w:rFonts w:hint="eastAsia" w:ascii="仿宋_GB2312" w:hAnsi="仿宋_GB2312" w:eastAsia="仿宋_GB2312" w:cs="仿宋_GB2312"/>
                <w:sz w:val="24"/>
              </w:rPr>
            </w:pPr>
          </w:p>
        </w:tc>
        <w:tc>
          <w:tcPr>
            <w:tcW w:w="731" w:type="dxa"/>
            <w:noWrap w:val="0"/>
            <w:vAlign w:val="top"/>
          </w:tcPr>
          <w:p>
            <w:pPr>
              <w:spacing w:line="400" w:lineRule="exact"/>
              <w:jc w:val="center"/>
              <w:rPr>
                <w:rFonts w:hint="eastAsia" w:ascii="仿宋_GB2312" w:hAnsi="仿宋_GB2312" w:eastAsia="仿宋_GB2312" w:cs="仿宋_GB2312"/>
                <w:sz w:val="24"/>
              </w:rPr>
            </w:pPr>
          </w:p>
        </w:tc>
        <w:tc>
          <w:tcPr>
            <w:tcW w:w="667" w:type="dxa"/>
            <w:noWrap w:val="0"/>
            <w:vAlign w:val="top"/>
          </w:tcPr>
          <w:p>
            <w:pPr>
              <w:spacing w:line="400" w:lineRule="exact"/>
              <w:jc w:val="center"/>
              <w:rPr>
                <w:rFonts w:hint="eastAsia" w:ascii="仿宋_GB2312" w:hAnsi="仿宋_GB2312" w:eastAsia="仿宋_GB2312" w:cs="仿宋_GB2312"/>
                <w:sz w:val="24"/>
              </w:rPr>
            </w:pPr>
          </w:p>
        </w:tc>
        <w:tc>
          <w:tcPr>
            <w:tcW w:w="849" w:type="dxa"/>
            <w:noWrap w:val="0"/>
            <w:vAlign w:val="top"/>
          </w:tcPr>
          <w:p>
            <w:pPr>
              <w:spacing w:line="400" w:lineRule="exact"/>
              <w:jc w:val="center"/>
              <w:rPr>
                <w:rFonts w:hint="eastAsia" w:ascii="仿宋_GB2312" w:hAnsi="仿宋_GB2312" w:eastAsia="仿宋_GB2312" w:cs="仿宋_GB2312"/>
                <w:sz w:val="24"/>
              </w:rPr>
            </w:pPr>
          </w:p>
        </w:tc>
        <w:tc>
          <w:tcPr>
            <w:tcW w:w="680" w:type="dxa"/>
            <w:noWrap w:val="0"/>
            <w:vAlign w:val="top"/>
          </w:tcPr>
          <w:p>
            <w:pPr>
              <w:spacing w:line="400" w:lineRule="exact"/>
              <w:jc w:val="center"/>
              <w:rPr>
                <w:rFonts w:hint="eastAsia" w:ascii="仿宋_GB2312" w:hAnsi="仿宋_GB2312" w:eastAsia="仿宋_GB2312" w:cs="仿宋_GB2312"/>
                <w:sz w:val="24"/>
              </w:rPr>
            </w:pPr>
          </w:p>
        </w:tc>
        <w:tc>
          <w:tcPr>
            <w:tcW w:w="955"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984"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2" w:type="dxa"/>
            <w:noWrap w:val="0"/>
            <w:vAlign w:val="top"/>
          </w:tcPr>
          <w:p>
            <w:pPr>
              <w:spacing w:line="400" w:lineRule="exact"/>
              <w:jc w:val="center"/>
              <w:rPr>
                <w:rFonts w:hint="eastAsia" w:ascii="仿宋_GB2312" w:hAnsi="仿宋_GB2312" w:eastAsia="仿宋_GB2312" w:cs="仿宋_GB2312"/>
                <w:sz w:val="24"/>
              </w:rPr>
            </w:pPr>
          </w:p>
        </w:tc>
        <w:tc>
          <w:tcPr>
            <w:tcW w:w="522" w:type="dxa"/>
            <w:noWrap w:val="0"/>
            <w:vAlign w:val="top"/>
          </w:tcPr>
          <w:p>
            <w:pPr>
              <w:spacing w:line="400" w:lineRule="exact"/>
              <w:jc w:val="center"/>
              <w:rPr>
                <w:rFonts w:hint="eastAsia" w:ascii="仿宋_GB2312" w:hAnsi="仿宋_GB2312" w:eastAsia="仿宋_GB2312" w:cs="仿宋_GB2312"/>
                <w:sz w:val="24"/>
              </w:rPr>
            </w:pPr>
          </w:p>
        </w:tc>
        <w:tc>
          <w:tcPr>
            <w:tcW w:w="628" w:type="dxa"/>
            <w:noWrap w:val="0"/>
            <w:vAlign w:val="top"/>
          </w:tcPr>
          <w:p>
            <w:pPr>
              <w:spacing w:line="400" w:lineRule="exact"/>
              <w:jc w:val="center"/>
              <w:rPr>
                <w:rFonts w:hint="eastAsia" w:ascii="仿宋_GB2312" w:hAnsi="仿宋_GB2312" w:eastAsia="仿宋_GB2312" w:cs="仿宋_GB2312"/>
                <w:sz w:val="24"/>
              </w:rPr>
            </w:pPr>
          </w:p>
        </w:tc>
        <w:tc>
          <w:tcPr>
            <w:tcW w:w="731" w:type="dxa"/>
            <w:noWrap w:val="0"/>
            <w:vAlign w:val="top"/>
          </w:tcPr>
          <w:p>
            <w:pPr>
              <w:spacing w:line="400" w:lineRule="exact"/>
              <w:jc w:val="center"/>
              <w:rPr>
                <w:rFonts w:hint="eastAsia" w:ascii="仿宋_GB2312" w:hAnsi="仿宋_GB2312" w:eastAsia="仿宋_GB2312" w:cs="仿宋_GB2312"/>
                <w:sz w:val="24"/>
              </w:rPr>
            </w:pPr>
          </w:p>
        </w:tc>
        <w:tc>
          <w:tcPr>
            <w:tcW w:w="667" w:type="dxa"/>
            <w:noWrap w:val="0"/>
            <w:vAlign w:val="top"/>
          </w:tcPr>
          <w:p>
            <w:pPr>
              <w:spacing w:line="400" w:lineRule="exact"/>
              <w:jc w:val="center"/>
              <w:rPr>
                <w:rFonts w:hint="eastAsia" w:ascii="仿宋_GB2312" w:hAnsi="仿宋_GB2312" w:eastAsia="仿宋_GB2312" w:cs="仿宋_GB2312"/>
                <w:sz w:val="24"/>
              </w:rPr>
            </w:pPr>
          </w:p>
        </w:tc>
        <w:tc>
          <w:tcPr>
            <w:tcW w:w="849" w:type="dxa"/>
            <w:noWrap w:val="0"/>
            <w:vAlign w:val="top"/>
          </w:tcPr>
          <w:p>
            <w:pPr>
              <w:spacing w:line="400" w:lineRule="exact"/>
              <w:jc w:val="center"/>
              <w:rPr>
                <w:rFonts w:hint="eastAsia" w:ascii="仿宋_GB2312" w:hAnsi="仿宋_GB2312" w:eastAsia="仿宋_GB2312" w:cs="仿宋_GB2312"/>
                <w:sz w:val="24"/>
              </w:rPr>
            </w:pPr>
          </w:p>
        </w:tc>
        <w:tc>
          <w:tcPr>
            <w:tcW w:w="680" w:type="dxa"/>
            <w:noWrap w:val="0"/>
            <w:vAlign w:val="top"/>
          </w:tcPr>
          <w:p>
            <w:pPr>
              <w:spacing w:line="400" w:lineRule="exact"/>
              <w:jc w:val="center"/>
              <w:rPr>
                <w:rFonts w:hint="eastAsia" w:ascii="仿宋_GB2312" w:hAnsi="仿宋_GB2312" w:eastAsia="仿宋_GB2312" w:cs="仿宋_GB2312"/>
                <w:sz w:val="24"/>
              </w:rPr>
            </w:pPr>
          </w:p>
        </w:tc>
        <w:tc>
          <w:tcPr>
            <w:tcW w:w="955"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984"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noWrap w:val="0"/>
            <w:vAlign w:val="top"/>
          </w:tcPr>
          <w:p>
            <w:pPr>
              <w:spacing w:line="400" w:lineRule="exact"/>
              <w:jc w:val="center"/>
              <w:rPr>
                <w:rFonts w:hint="eastAsia" w:ascii="仿宋_GB2312" w:hAnsi="仿宋_GB2312" w:eastAsia="仿宋_GB2312" w:cs="仿宋_GB2312"/>
                <w:sz w:val="24"/>
              </w:rPr>
            </w:pPr>
          </w:p>
        </w:tc>
        <w:tc>
          <w:tcPr>
            <w:tcW w:w="522" w:type="dxa"/>
            <w:noWrap w:val="0"/>
            <w:vAlign w:val="top"/>
          </w:tcPr>
          <w:p>
            <w:pPr>
              <w:spacing w:line="400" w:lineRule="exact"/>
              <w:jc w:val="center"/>
              <w:rPr>
                <w:rFonts w:hint="eastAsia" w:ascii="仿宋_GB2312" w:hAnsi="仿宋_GB2312" w:eastAsia="仿宋_GB2312" w:cs="仿宋_GB2312"/>
                <w:sz w:val="24"/>
              </w:rPr>
            </w:pPr>
          </w:p>
        </w:tc>
        <w:tc>
          <w:tcPr>
            <w:tcW w:w="628" w:type="dxa"/>
            <w:noWrap w:val="0"/>
            <w:vAlign w:val="top"/>
          </w:tcPr>
          <w:p>
            <w:pPr>
              <w:spacing w:line="400" w:lineRule="exact"/>
              <w:jc w:val="center"/>
              <w:rPr>
                <w:rFonts w:hint="eastAsia" w:ascii="仿宋_GB2312" w:hAnsi="仿宋_GB2312" w:eastAsia="仿宋_GB2312" w:cs="仿宋_GB2312"/>
                <w:sz w:val="24"/>
              </w:rPr>
            </w:pPr>
          </w:p>
        </w:tc>
        <w:tc>
          <w:tcPr>
            <w:tcW w:w="731" w:type="dxa"/>
            <w:noWrap w:val="0"/>
            <w:vAlign w:val="top"/>
          </w:tcPr>
          <w:p>
            <w:pPr>
              <w:spacing w:line="400" w:lineRule="exact"/>
              <w:jc w:val="center"/>
              <w:rPr>
                <w:rFonts w:hint="eastAsia" w:ascii="仿宋_GB2312" w:hAnsi="仿宋_GB2312" w:eastAsia="仿宋_GB2312" w:cs="仿宋_GB2312"/>
                <w:sz w:val="24"/>
              </w:rPr>
            </w:pPr>
          </w:p>
        </w:tc>
        <w:tc>
          <w:tcPr>
            <w:tcW w:w="667" w:type="dxa"/>
            <w:noWrap w:val="0"/>
            <w:vAlign w:val="top"/>
          </w:tcPr>
          <w:p>
            <w:pPr>
              <w:spacing w:line="400" w:lineRule="exact"/>
              <w:jc w:val="center"/>
              <w:rPr>
                <w:rFonts w:hint="eastAsia" w:ascii="仿宋_GB2312" w:hAnsi="仿宋_GB2312" w:eastAsia="仿宋_GB2312" w:cs="仿宋_GB2312"/>
                <w:sz w:val="24"/>
              </w:rPr>
            </w:pPr>
          </w:p>
        </w:tc>
        <w:tc>
          <w:tcPr>
            <w:tcW w:w="849" w:type="dxa"/>
            <w:noWrap w:val="0"/>
            <w:vAlign w:val="top"/>
          </w:tcPr>
          <w:p>
            <w:pPr>
              <w:spacing w:line="400" w:lineRule="exact"/>
              <w:jc w:val="center"/>
              <w:rPr>
                <w:rFonts w:hint="eastAsia" w:ascii="仿宋_GB2312" w:hAnsi="仿宋_GB2312" w:eastAsia="仿宋_GB2312" w:cs="仿宋_GB2312"/>
                <w:sz w:val="24"/>
              </w:rPr>
            </w:pPr>
          </w:p>
        </w:tc>
        <w:tc>
          <w:tcPr>
            <w:tcW w:w="680" w:type="dxa"/>
            <w:noWrap w:val="0"/>
            <w:vAlign w:val="top"/>
          </w:tcPr>
          <w:p>
            <w:pPr>
              <w:spacing w:line="400" w:lineRule="exact"/>
              <w:jc w:val="center"/>
              <w:rPr>
                <w:rFonts w:hint="eastAsia" w:ascii="仿宋_GB2312" w:hAnsi="仿宋_GB2312" w:eastAsia="仿宋_GB2312" w:cs="仿宋_GB2312"/>
                <w:sz w:val="24"/>
              </w:rPr>
            </w:pPr>
          </w:p>
        </w:tc>
        <w:tc>
          <w:tcPr>
            <w:tcW w:w="955"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1147" w:type="dxa"/>
            <w:noWrap w:val="0"/>
            <w:vAlign w:val="top"/>
          </w:tcPr>
          <w:p>
            <w:pPr>
              <w:spacing w:line="400" w:lineRule="exact"/>
              <w:jc w:val="center"/>
              <w:rPr>
                <w:rFonts w:hint="eastAsia" w:ascii="仿宋_GB2312" w:hAnsi="仿宋_GB2312" w:eastAsia="仿宋_GB2312" w:cs="仿宋_GB2312"/>
                <w:sz w:val="24"/>
              </w:rPr>
            </w:pPr>
          </w:p>
        </w:tc>
        <w:tc>
          <w:tcPr>
            <w:tcW w:w="984"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27"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spacing w:line="400" w:lineRule="exact"/>
              <w:jc w:val="center"/>
              <w:rPr>
                <w:rFonts w:hint="eastAsia" w:ascii="仿宋_GB2312" w:hAnsi="仿宋_GB2312" w:eastAsia="仿宋_GB2312" w:cs="仿宋_GB2312"/>
                <w:sz w:val="24"/>
              </w:rPr>
            </w:pPr>
          </w:p>
        </w:tc>
        <w:tc>
          <w:tcPr>
            <w:tcW w:w="862" w:type="dxa"/>
            <w:noWrap w:val="0"/>
            <w:vAlign w:val="top"/>
          </w:tcPr>
          <w:p>
            <w:pPr>
              <w:rPr>
                <w:rFonts w:hint="eastAsia" w:ascii="仿宋_GB2312" w:hAnsi="仿宋_GB2312" w:eastAsia="仿宋_GB2312" w:cs="仿宋_GB2312"/>
                <w:sz w:val="24"/>
              </w:rPr>
            </w:pPr>
          </w:p>
        </w:tc>
      </w:tr>
    </w:tbl>
    <w:p>
      <w:pPr>
        <w:ind w:left="525" w:hanging="525"/>
        <w:rPr>
          <w:rFonts w:hint="eastAsia" w:ascii="仿宋_GB2312" w:hAnsi="仿宋_GB2312" w:eastAsia="仿宋_GB2312" w:cs="仿宋_GB2312"/>
          <w:sz w:val="24"/>
        </w:rPr>
      </w:pPr>
      <w:r>
        <w:rPr>
          <w:rFonts w:hint="eastAsia" w:ascii="仿宋_GB2312" w:hAnsi="仿宋_GB2312" w:eastAsia="仿宋_GB2312" w:cs="仿宋_GB2312"/>
          <w:sz w:val="24"/>
        </w:rPr>
        <w:t>注：1.按照法定代表人、首席评估师、质量控制负责人、其他副总经理以上高级管理人员、股东（合伙人）、资产评估师</w:t>
      </w:r>
      <w:r>
        <w:rPr>
          <w:rFonts w:hint="eastAsia" w:ascii="仿宋_GB2312" w:hAnsi="仿宋_GB2312" w:eastAsia="仿宋_GB2312" w:cs="仿宋_GB2312"/>
          <w:sz w:val="24"/>
          <w:highlight w:val="none"/>
          <w:lang w:val="en-US" w:eastAsia="zh-CN"/>
        </w:rPr>
        <w:t>〔包含资产评估师（</w:t>
      </w:r>
      <w:r>
        <w:rPr>
          <w:rFonts w:hint="eastAsia" w:ascii="仿宋_GB2312" w:hAnsi="仿宋_GB2312" w:eastAsia="仿宋_GB2312" w:cs="仿宋_GB2312"/>
          <w:sz w:val="24"/>
          <w:highlight w:val="none"/>
        </w:rPr>
        <w:t>珠宝</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rPr>
        <w:t>填写本表。一人担任多个岗位的不重复填写。</w:t>
      </w:r>
    </w:p>
    <w:p>
      <w:pPr>
        <w:ind w:left="0" w:firstLine="480" w:firstLineChars="200"/>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2.填报基准日以</w:t>
      </w:r>
      <w:r>
        <w:rPr>
          <w:rFonts w:hint="eastAsia" w:ascii="仿宋_GB2312" w:hAnsi="仿宋_GB2312" w:eastAsia="仿宋_GB2312" w:cs="仿宋_GB2312"/>
          <w:sz w:val="24"/>
          <w:highlight w:val="none"/>
          <w:lang w:val="en-US" w:eastAsia="zh-CN"/>
        </w:rPr>
        <w:t>申请</w:t>
      </w:r>
      <w:r>
        <w:rPr>
          <w:rFonts w:hint="default" w:ascii="仿宋_GB2312" w:hAnsi="仿宋_GB2312" w:eastAsia="仿宋_GB2312" w:cs="仿宋_GB2312"/>
          <w:sz w:val="24"/>
          <w:lang w:val="en-US" w:eastAsia="zh-CN"/>
        </w:rPr>
        <w:t>备案时间的上月末为基准。</w:t>
      </w:r>
    </w:p>
    <w:p>
      <w:pPr>
        <w:ind w:left="525" w:hanging="45"/>
        <w:rPr>
          <w:rFonts w:hint="eastAsia" w:ascii="仿宋_GB2312" w:hAnsi="仿宋_GB2312" w:eastAsia="仿宋_GB2312" w:cs="仿宋_GB2312"/>
          <w:sz w:val="24"/>
          <w:highlight w:val="none"/>
        </w:rPr>
      </w:pP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w:t>
      </w:r>
      <w:r>
        <w:rPr>
          <w:rFonts w:hint="eastAsia" w:ascii="仿宋_GB2312" w:hAnsi="仿宋_GB2312" w:eastAsia="仿宋_GB2312" w:cs="仿宋_GB2312"/>
          <w:sz w:val="24"/>
        </w:rPr>
        <w:t>资产评估师</w:t>
      </w:r>
      <w:r>
        <w:rPr>
          <w:rFonts w:hint="eastAsia" w:ascii="仿宋_GB2312" w:hAnsi="仿宋_GB2312" w:eastAsia="仿宋_GB2312" w:cs="仿宋_GB2312"/>
          <w:sz w:val="24"/>
          <w:lang w:eastAsia="zh-CN"/>
        </w:rPr>
        <w:t>及管理人</w:t>
      </w:r>
      <w:r>
        <w:rPr>
          <w:rFonts w:hint="eastAsia" w:ascii="仿宋_GB2312" w:hAnsi="仿宋_GB2312" w:eastAsia="仿宋_GB2312" w:cs="仿宋_GB2312"/>
          <w:sz w:val="24"/>
          <w:highlight w:val="none"/>
          <w:lang w:eastAsia="zh-CN"/>
        </w:rPr>
        <w:t>员</w:t>
      </w:r>
      <w:r>
        <w:rPr>
          <w:rFonts w:hint="eastAsia" w:ascii="仿宋_GB2312" w:hAnsi="仿宋_GB2312" w:eastAsia="仿宋_GB2312" w:cs="仿宋_GB2312"/>
          <w:sz w:val="24"/>
          <w:highlight w:val="none"/>
        </w:rPr>
        <w:t>包含分公司但不包含子公司</w:t>
      </w:r>
      <w:r>
        <w:rPr>
          <w:rFonts w:hint="eastAsia" w:ascii="仿宋_GB2312" w:hAnsi="仿宋_GB2312" w:eastAsia="仿宋_GB2312" w:cs="仿宋_GB2312"/>
          <w:sz w:val="24"/>
          <w:highlight w:val="none"/>
          <w:lang w:eastAsia="zh-CN"/>
        </w:rPr>
        <w:t>的人员</w:t>
      </w:r>
      <w:r>
        <w:rPr>
          <w:rFonts w:hint="eastAsia" w:ascii="仿宋_GB2312" w:hAnsi="仿宋_GB2312" w:eastAsia="仿宋_GB2312" w:cs="仿宋_GB2312"/>
          <w:sz w:val="24"/>
          <w:highlight w:val="none"/>
        </w:rPr>
        <w:t>，资产评估师按照执业登记时间的先后顺序填写。</w:t>
      </w:r>
    </w:p>
    <w:p>
      <w:pPr>
        <w:ind w:left="525" w:hanging="45"/>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4</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所在分支机构填写资产评估机构分支机构的全称。</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.自然人有身份证的，身份证件类型必须填写身份证。法人证件号码为统一社会信用代码。</w:t>
      </w:r>
    </w:p>
    <w:p>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.初次登记日期格式为</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XXXX年XX月XX日</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.连续执业时间精确到月。</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.不是资产评估师的，无需填写执业会员编号、初次登记日期、连续执业时间、在本机构连续执业时间、连续从事证券</w:t>
      </w:r>
      <w:r>
        <w:rPr>
          <w:rFonts w:hint="eastAsia" w:ascii="仿宋_GB2312" w:hAnsi="仿宋_GB2312" w:eastAsia="仿宋_GB2312" w:cs="仿宋_GB2312"/>
          <w:sz w:val="24"/>
          <w:lang w:eastAsia="zh-CN"/>
        </w:rPr>
        <w:t>评估</w:t>
      </w:r>
      <w:r>
        <w:rPr>
          <w:rFonts w:hint="eastAsia" w:ascii="仿宋_GB2312" w:hAnsi="仿宋_GB2312" w:eastAsia="仿宋_GB2312" w:cs="仿宋_GB2312"/>
          <w:sz w:val="24"/>
        </w:rPr>
        <w:t>业务时间。</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.从事证券评估业务是指签署证券服务业务资产评估报告。</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.质量控制负责</w:t>
      </w:r>
      <w:r>
        <w:rPr>
          <w:rFonts w:ascii="仿宋_GB2312" w:hAnsi="仿宋_GB2312" w:eastAsia="仿宋_GB2312" w:cs="仿宋_GB2312"/>
          <w:sz w:val="24"/>
        </w:rPr>
        <w:t>人是指资产评估机构质量</w:t>
      </w:r>
      <w:r>
        <w:rPr>
          <w:rFonts w:hint="eastAsia" w:ascii="仿宋_GB2312" w:hAnsi="仿宋_GB2312" w:eastAsia="仿宋_GB2312" w:cs="仿宋_GB2312"/>
          <w:sz w:val="24"/>
        </w:rPr>
        <w:t>控制</w:t>
      </w:r>
      <w:r>
        <w:rPr>
          <w:rFonts w:ascii="仿宋_GB2312" w:hAnsi="仿宋_GB2312" w:eastAsia="仿宋_GB2312" w:cs="仿宋_GB2312"/>
          <w:sz w:val="24"/>
        </w:rPr>
        <w:t>部门</w:t>
      </w:r>
      <w:r>
        <w:rPr>
          <w:rFonts w:hint="eastAsia" w:ascii="仿宋_GB2312" w:hAnsi="仿宋_GB2312" w:eastAsia="仿宋_GB2312" w:cs="仿宋_GB2312"/>
          <w:sz w:val="24"/>
        </w:rPr>
        <w:t>负责人</w:t>
      </w:r>
      <w:r>
        <w:rPr>
          <w:rFonts w:ascii="仿宋_GB2312" w:hAnsi="仿宋_GB2312" w:eastAsia="仿宋_GB2312" w:cs="仿宋_GB2312"/>
          <w:sz w:val="24"/>
        </w:rPr>
        <w:t>或者</w:t>
      </w:r>
      <w:r>
        <w:rPr>
          <w:rFonts w:hint="eastAsia" w:ascii="仿宋_GB2312" w:hAnsi="仿宋_GB2312" w:eastAsia="仿宋_GB2312" w:cs="仿宋_GB2312"/>
          <w:sz w:val="24"/>
        </w:rPr>
        <w:t>负责执业质量控制的股东（合伙人）。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.持股比例需带％并保留小数点后两位，比如</w:t>
      </w:r>
      <w:r>
        <w:rPr>
          <w:rFonts w:ascii="仿宋_GB2312" w:hAnsi="仿宋_GB2312" w:eastAsia="仿宋_GB2312" w:cs="仿宋_GB2312"/>
          <w:sz w:val="24"/>
        </w:rPr>
        <w:t>52.35％</w:t>
      </w:r>
      <w:r>
        <w:rPr>
          <w:rFonts w:hint="eastAsia" w:ascii="仿宋_GB2312" w:hAnsi="仿宋_GB2312" w:eastAsia="仿宋_GB2312" w:cs="仿宋_GB2312"/>
          <w:sz w:val="24"/>
        </w:rPr>
        <w:t>。如有法人股，填列在最后，姓名栏填写法人股东名称，证件号码填写统一社会信用代码。持股比例列合计为100%。</w:t>
      </w:r>
    </w:p>
    <w:p>
      <w:pPr>
        <w:ind w:firstLine="480" w:firstLineChars="200"/>
        <w:rPr>
          <w:rFonts w:hint="eastAsia" w:ascii="仿宋_GB2312" w:hAnsi="仿宋_GB2312" w:eastAsia="仿宋_GB2312" w:cs="仿宋_GB2312"/>
          <w:sz w:val="24"/>
        </w:rPr>
        <w:sectPr>
          <w:footerReference r:id="rId4" w:type="default"/>
          <w:pgSz w:w="16838" w:h="11906" w:orient="landscape"/>
          <w:pgMar w:top="1417" w:right="1440" w:bottom="1417" w:left="1440" w:header="851" w:footer="992" w:gutter="0"/>
          <w:cols w:space="720" w:num="1"/>
          <w:docGrid w:type="lines" w:linePitch="324" w:charSpace="0"/>
        </w:sect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.专职在本机构工作是指当事人与本机构签订唯一的劳动合同、由本机构缴纳社保、在本机构取得工资性收入。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附5</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资产评估机构及其</w:t>
      </w:r>
      <w:r>
        <w:rPr>
          <w:rFonts w:hint="eastAsia" w:ascii="仿宋_GB2312" w:hAnsi="仿宋_GB2312" w:eastAsia="仿宋_GB2312" w:cs="仿宋_GB2312"/>
          <w:b/>
          <w:sz w:val="32"/>
          <w:szCs w:val="32"/>
          <w:lang w:eastAsia="zh-CN"/>
        </w:rPr>
        <w:t>相关</w:t>
      </w:r>
      <w:r>
        <w:rPr>
          <w:rFonts w:hint="eastAsia" w:ascii="仿宋_GB2312" w:hAnsi="仿宋_GB2312" w:eastAsia="仿宋_GB2312" w:cs="仿宋_GB2312"/>
          <w:b/>
          <w:sz w:val="32"/>
          <w:szCs w:val="32"/>
        </w:rPr>
        <w:t>人员</w:t>
      </w:r>
      <w:r>
        <w:rPr>
          <w:rFonts w:hint="eastAsia" w:ascii="仿宋_GB2312" w:hAnsi="仿宋_GB2312" w:eastAsia="仿宋_GB2312" w:cs="仿宋_GB2312"/>
          <w:b/>
          <w:sz w:val="32"/>
          <w:szCs w:val="32"/>
          <w:lang w:eastAsia="zh-CN"/>
        </w:rPr>
        <w:t>处理处罚</w:t>
      </w:r>
      <w:r>
        <w:rPr>
          <w:rFonts w:hint="eastAsia" w:ascii="仿宋_GB2312" w:hAnsi="仿宋_GB2312" w:eastAsia="仿宋_GB2312" w:cs="仿宋_GB2312"/>
          <w:b/>
          <w:sz w:val="32"/>
          <w:szCs w:val="32"/>
        </w:rPr>
        <w:t>情况表</w:t>
      </w:r>
    </w:p>
    <w:p>
      <w:pPr>
        <w:pStyle w:val="16"/>
        <w:tabs>
          <w:tab w:val="left" w:pos="10280"/>
          <w:tab w:val="left" w:pos="10310"/>
        </w:tabs>
        <w:spacing w:after="0"/>
        <w:ind w:firstLine="360" w:firstLineChars="150"/>
        <w:rPr>
          <w:rFonts w:hint="eastAsia" w:ascii="仿宋_GB2312" w:hAnsi="仿宋_GB2312" w:eastAsia="仿宋_GB2312" w:cs="仿宋_GB2312"/>
          <w:bCs/>
          <w:color w:val="auto"/>
          <w:sz w:val="24"/>
          <w:lang w:val="en-US" w:eastAsia="zh-CN" w:bidi="ar-SA"/>
        </w:rPr>
      </w:pPr>
      <w:r>
        <w:rPr>
          <w:rFonts w:hint="eastAsia" w:ascii="仿宋_GB2312" w:hAnsi="仿宋_GB2312" w:eastAsia="仿宋_GB2312" w:cs="仿宋_GB2312"/>
          <w:bCs/>
          <w:color w:val="auto"/>
          <w:sz w:val="24"/>
          <w:lang w:val="en-US" w:eastAsia="zh-CN" w:bidi="ar-SA"/>
        </w:rPr>
        <w:t>资产评估机构名称（盖章）：</w:t>
      </w:r>
      <w:r>
        <w:rPr>
          <w:rFonts w:hint="eastAsia" w:ascii="仿宋_GB2312" w:hAnsi="仿宋_GB2312" w:eastAsia="仿宋_GB2312" w:cs="仿宋_GB2312"/>
          <w:bCs/>
          <w:color w:val="auto"/>
          <w:sz w:val="24"/>
          <w:lang w:val="en-US" w:eastAsia="zh-CN" w:bidi="ar-SA"/>
        </w:rPr>
        <w:tab/>
      </w:r>
      <w:r>
        <w:rPr>
          <w:rFonts w:hint="eastAsia" w:ascii="仿宋_GB2312" w:hAnsi="仿宋_GB2312" w:eastAsia="仿宋_GB2312" w:cs="仿宋_GB2312"/>
          <w:bCs/>
          <w:color w:val="auto"/>
          <w:sz w:val="24"/>
          <w:lang w:val="en-US" w:eastAsia="zh-CN" w:bidi="ar-SA"/>
        </w:rPr>
        <w:t>填报日期：    年    月    日</w:t>
      </w:r>
    </w:p>
    <w:tbl>
      <w:tblPr>
        <w:tblStyle w:val="8"/>
        <w:tblW w:w="13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1"/>
        <w:gridCol w:w="1148"/>
        <w:gridCol w:w="1148"/>
        <w:gridCol w:w="1158"/>
        <w:gridCol w:w="1137"/>
        <w:gridCol w:w="1179"/>
        <w:gridCol w:w="1425"/>
        <w:gridCol w:w="1335"/>
        <w:gridCol w:w="96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9" w:hRule="exact"/>
          <w:jc w:val="center"/>
        </w:trPr>
        <w:tc>
          <w:tcPr>
            <w:tcW w:w="100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 号</w:t>
            </w:r>
          </w:p>
        </w:tc>
        <w:tc>
          <w:tcPr>
            <w:tcW w:w="114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w:t>
            </w:r>
          </w:p>
        </w:tc>
        <w:tc>
          <w:tcPr>
            <w:tcW w:w="114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类型</w:t>
            </w:r>
          </w:p>
        </w:tc>
        <w:tc>
          <w:tcPr>
            <w:tcW w:w="115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号码</w:t>
            </w:r>
          </w:p>
        </w:tc>
        <w:tc>
          <w:tcPr>
            <w:tcW w:w="113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w:t>
            </w:r>
          </w:p>
        </w:tc>
        <w:tc>
          <w:tcPr>
            <w:tcW w:w="117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决定文号</w:t>
            </w:r>
          </w:p>
        </w:tc>
        <w:tc>
          <w:tcPr>
            <w:tcW w:w="14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决定名称</w:t>
            </w:r>
          </w:p>
        </w:tc>
        <w:tc>
          <w:tcPr>
            <w:tcW w:w="1335" w:type="dxa"/>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处理处罚</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机关</w:t>
            </w:r>
          </w:p>
        </w:tc>
        <w:tc>
          <w:tcPr>
            <w:tcW w:w="96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日期</w:t>
            </w:r>
          </w:p>
        </w:tc>
        <w:tc>
          <w:tcPr>
            <w:tcW w:w="279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jc w:val="center"/>
              <w:rPr>
                <w:rFonts w:hint="eastAsia" w:ascii="仿宋" w:hAnsi="仿宋" w:eastAsia="仿宋"/>
                <w:color w:val="auto"/>
                <w:sz w:val="23"/>
                <w:szCs w:val="23"/>
              </w:rPr>
            </w:pPr>
          </w:p>
        </w:tc>
        <w:tc>
          <w:tcPr>
            <w:tcW w:w="1158" w:type="dxa"/>
            <w:noWrap w:val="0"/>
            <w:vAlign w:val="center"/>
          </w:tcPr>
          <w:p>
            <w:pPr>
              <w:pStyle w:val="17"/>
              <w:spacing w:line="322" w:lineRule="exact"/>
              <w:jc w:val="center"/>
              <w:rPr>
                <w:rFonts w:hint="eastAsia" w:ascii="仿宋" w:hAnsi="仿宋" w:eastAsia="仿宋"/>
                <w:color w:val="auto"/>
                <w:sz w:val="23"/>
                <w:szCs w:val="23"/>
              </w:rPr>
            </w:pPr>
          </w:p>
        </w:tc>
        <w:tc>
          <w:tcPr>
            <w:tcW w:w="1137" w:type="dxa"/>
            <w:noWrap w:val="0"/>
            <w:vAlign w:val="center"/>
          </w:tcPr>
          <w:p>
            <w:pPr>
              <w:pStyle w:val="17"/>
              <w:spacing w:line="322" w:lineRule="exact"/>
              <w:jc w:val="center"/>
              <w:rPr>
                <w:rFonts w:hint="eastAsia" w:ascii="仿宋" w:hAnsi="仿宋" w:eastAsia="仿宋"/>
                <w:color w:val="auto"/>
                <w:sz w:val="23"/>
                <w:szCs w:val="23"/>
              </w:rPr>
            </w:pPr>
          </w:p>
        </w:tc>
        <w:tc>
          <w:tcPr>
            <w:tcW w:w="1179" w:type="dxa"/>
            <w:noWrap w:val="0"/>
            <w:vAlign w:val="center"/>
          </w:tcPr>
          <w:p>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pPr>
              <w:pStyle w:val="17"/>
              <w:jc w:val="center"/>
              <w:rPr>
                <w:rFonts w:hint="eastAsia" w:ascii="仿宋" w:hAnsi="仿宋" w:eastAsia="仿宋"/>
                <w:color w:val="auto"/>
                <w:sz w:val="23"/>
                <w:szCs w:val="23"/>
                <w:lang w:eastAsia="zh-CN"/>
              </w:rPr>
            </w:pPr>
          </w:p>
        </w:tc>
        <w:tc>
          <w:tcPr>
            <w:tcW w:w="960" w:type="dxa"/>
            <w:noWrap w:val="0"/>
            <w:vAlign w:val="center"/>
          </w:tcPr>
          <w:p>
            <w:pPr>
              <w:pStyle w:val="17"/>
              <w:jc w:val="center"/>
              <w:rPr>
                <w:rFonts w:hint="eastAsia" w:ascii="仿宋" w:hAnsi="仿宋" w:eastAsia="仿宋"/>
                <w:color w:val="auto"/>
                <w:sz w:val="23"/>
                <w:szCs w:val="23"/>
                <w:lang w:eastAsia="zh-CN"/>
              </w:rPr>
            </w:pPr>
          </w:p>
        </w:tc>
        <w:tc>
          <w:tcPr>
            <w:tcW w:w="2795" w:type="dxa"/>
            <w:noWrap w:val="0"/>
            <w:vAlign w:val="center"/>
          </w:tcPr>
          <w:p>
            <w:pPr>
              <w:pStyle w:val="17"/>
              <w:jc w:val="center"/>
              <w:rPr>
                <w:rFonts w:hint="eastAsia" w:ascii="仿宋" w:hAnsi="仿宋" w:eastAsia="仿宋"/>
                <w:color w:val="auto"/>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jc w:val="center"/>
              <w:rPr>
                <w:rFonts w:hint="eastAsia" w:ascii="仿宋" w:hAnsi="仿宋" w:eastAsia="仿宋"/>
                <w:color w:val="auto"/>
                <w:sz w:val="23"/>
                <w:szCs w:val="23"/>
              </w:rPr>
            </w:pPr>
          </w:p>
        </w:tc>
        <w:tc>
          <w:tcPr>
            <w:tcW w:w="1158" w:type="dxa"/>
            <w:noWrap w:val="0"/>
            <w:vAlign w:val="center"/>
          </w:tcPr>
          <w:p>
            <w:pPr>
              <w:pStyle w:val="17"/>
              <w:spacing w:line="322" w:lineRule="exact"/>
              <w:jc w:val="center"/>
              <w:rPr>
                <w:rFonts w:hint="eastAsia" w:ascii="仿宋" w:hAnsi="仿宋" w:eastAsia="仿宋"/>
                <w:color w:val="auto"/>
                <w:sz w:val="23"/>
                <w:szCs w:val="23"/>
              </w:rPr>
            </w:pPr>
          </w:p>
        </w:tc>
        <w:tc>
          <w:tcPr>
            <w:tcW w:w="1137" w:type="dxa"/>
            <w:noWrap w:val="0"/>
            <w:vAlign w:val="center"/>
          </w:tcPr>
          <w:p>
            <w:pPr>
              <w:pStyle w:val="17"/>
              <w:spacing w:line="322" w:lineRule="exact"/>
              <w:jc w:val="center"/>
              <w:rPr>
                <w:rFonts w:hint="eastAsia" w:ascii="仿宋" w:hAnsi="仿宋" w:eastAsia="仿宋"/>
                <w:color w:val="auto"/>
                <w:sz w:val="23"/>
                <w:szCs w:val="23"/>
              </w:rPr>
            </w:pPr>
          </w:p>
        </w:tc>
        <w:tc>
          <w:tcPr>
            <w:tcW w:w="1179" w:type="dxa"/>
            <w:noWrap w:val="0"/>
            <w:vAlign w:val="center"/>
          </w:tcPr>
          <w:p>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pPr>
              <w:pStyle w:val="17"/>
              <w:jc w:val="center"/>
              <w:rPr>
                <w:rFonts w:hint="eastAsia" w:ascii="仿宋" w:hAnsi="仿宋" w:eastAsia="仿宋"/>
                <w:color w:val="auto"/>
                <w:sz w:val="23"/>
                <w:szCs w:val="23"/>
                <w:lang w:eastAsia="zh-CN"/>
              </w:rPr>
            </w:pPr>
          </w:p>
        </w:tc>
        <w:tc>
          <w:tcPr>
            <w:tcW w:w="960" w:type="dxa"/>
            <w:noWrap w:val="0"/>
            <w:vAlign w:val="center"/>
          </w:tcPr>
          <w:p>
            <w:pPr>
              <w:pStyle w:val="17"/>
              <w:jc w:val="center"/>
              <w:rPr>
                <w:rFonts w:hint="eastAsia" w:ascii="仿宋" w:hAnsi="仿宋" w:eastAsia="仿宋"/>
                <w:color w:val="auto"/>
                <w:sz w:val="23"/>
                <w:szCs w:val="23"/>
                <w:lang w:eastAsia="zh-CN"/>
              </w:rPr>
            </w:pPr>
          </w:p>
        </w:tc>
        <w:tc>
          <w:tcPr>
            <w:tcW w:w="2795" w:type="dxa"/>
            <w:noWrap w:val="0"/>
            <w:vAlign w:val="center"/>
          </w:tcPr>
          <w:p>
            <w:pPr>
              <w:pStyle w:val="17"/>
              <w:jc w:val="center"/>
              <w:rPr>
                <w:rFonts w:hint="eastAsia" w:ascii="仿宋" w:hAnsi="仿宋" w:eastAsia="仿宋"/>
                <w:color w:val="auto"/>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jc w:val="center"/>
              <w:rPr>
                <w:rFonts w:hint="eastAsia" w:ascii="仿宋" w:hAnsi="仿宋" w:eastAsia="仿宋"/>
                <w:color w:val="auto"/>
                <w:sz w:val="23"/>
                <w:szCs w:val="23"/>
              </w:rPr>
            </w:pPr>
          </w:p>
        </w:tc>
        <w:tc>
          <w:tcPr>
            <w:tcW w:w="1158" w:type="dxa"/>
            <w:noWrap w:val="0"/>
            <w:vAlign w:val="center"/>
          </w:tcPr>
          <w:p>
            <w:pPr>
              <w:pStyle w:val="17"/>
              <w:spacing w:line="322" w:lineRule="exact"/>
              <w:jc w:val="center"/>
              <w:rPr>
                <w:rFonts w:hint="eastAsia" w:ascii="仿宋" w:hAnsi="仿宋" w:eastAsia="仿宋"/>
                <w:color w:val="auto"/>
                <w:sz w:val="23"/>
                <w:szCs w:val="23"/>
              </w:rPr>
            </w:pPr>
          </w:p>
        </w:tc>
        <w:tc>
          <w:tcPr>
            <w:tcW w:w="1137" w:type="dxa"/>
            <w:noWrap w:val="0"/>
            <w:vAlign w:val="center"/>
          </w:tcPr>
          <w:p>
            <w:pPr>
              <w:pStyle w:val="17"/>
              <w:spacing w:line="322" w:lineRule="exact"/>
              <w:jc w:val="center"/>
              <w:rPr>
                <w:rFonts w:hint="eastAsia" w:ascii="仿宋" w:hAnsi="仿宋" w:eastAsia="仿宋"/>
                <w:color w:val="auto"/>
                <w:sz w:val="23"/>
                <w:szCs w:val="23"/>
              </w:rPr>
            </w:pPr>
          </w:p>
        </w:tc>
        <w:tc>
          <w:tcPr>
            <w:tcW w:w="1179" w:type="dxa"/>
            <w:noWrap w:val="0"/>
            <w:vAlign w:val="center"/>
          </w:tcPr>
          <w:p>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pPr>
              <w:pStyle w:val="17"/>
              <w:jc w:val="center"/>
              <w:rPr>
                <w:rFonts w:hint="eastAsia" w:ascii="仿宋" w:hAnsi="仿宋" w:eastAsia="仿宋"/>
                <w:color w:val="auto"/>
                <w:sz w:val="23"/>
                <w:szCs w:val="23"/>
                <w:lang w:eastAsia="zh-CN"/>
              </w:rPr>
            </w:pPr>
          </w:p>
        </w:tc>
        <w:tc>
          <w:tcPr>
            <w:tcW w:w="960" w:type="dxa"/>
            <w:noWrap w:val="0"/>
            <w:vAlign w:val="center"/>
          </w:tcPr>
          <w:p>
            <w:pPr>
              <w:pStyle w:val="17"/>
              <w:jc w:val="center"/>
              <w:rPr>
                <w:rFonts w:hint="eastAsia" w:ascii="仿宋" w:hAnsi="仿宋" w:eastAsia="仿宋"/>
                <w:color w:val="auto"/>
                <w:sz w:val="23"/>
                <w:szCs w:val="23"/>
                <w:lang w:eastAsia="zh-CN"/>
              </w:rPr>
            </w:pPr>
          </w:p>
        </w:tc>
        <w:tc>
          <w:tcPr>
            <w:tcW w:w="2795" w:type="dxa"/>
            <w:noWrap w:val="0"/>
            <w:vAlign w:val="center"/>
          </w:tcPr>
          <w:p>
            <w:pPr>
              <w:pStyle w:val="17"/>
              <w:jc w:val="center"/>
              <w:rPr>
                <w:rFonts w:hint="eastAsia" w:ascii="仿宋" w:hAnsi="仿宋" w:eastAsia="仿宋"/>
                <w:color w:val="auto"/>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jc w:val="center"/>
              <w:rPr>
                <w:rFonts w:hint="eastAsia" w:ascii="仿宋" w:hAnsi="仿宋" w:eastAsia="仿宋"/>
                <w:color w:val="auto"/>
                <w:sz w:val="23"/>
                <w:szCs w:val="23"/>
              </w:rPr>
            </w:pPr>
          </w:p>
        </w:tc>
        <w:tc>
          <w:tcPr>
            <w:tcW w:w="1158" w:type="dxa"/>
            <w:noWrap w:val="0"/>
            <w:vAlign w:val="center"/>
          </w:tcPr>
          <w:p>
            <w:pPr>
              <w:pStyle w:val="17"/>
              <w:spacing w:line="322" w:lineRule="exact"/>
              <w:jc w:val="center"/>
              <w:rPr>
                <w:rFonts w:hint="eastAsia" w:ascii="仿宋" w:hAnsi="仿宋" w:eastAsia="仿宋"/>
                <w:color w:val="auto"/>
                <w:sz w:val="23"/>
                <w:szCs w:val="23"/>
              </w:rPr>
            </w:pPr>
          </w:p>
        </w:tc>
        <w:tc>
          <w:tcPr>
            <w:tcW w:w="1137" w:type="dxa"/>
            <w:noWrap w:val="0"/>
            <w:vAlign w:val="center"/>
          </w:tcPr>
          <w:p>
            <w:pPr>
              <w:pStyle w:val="17"/>
              <w:spacing w:line="322" w:lineRule="exact"/>
              <w:jc w:val="center"/>
              <w:rPr>
                <w:rFonts w:hint="eastAsia" w:ascii="仿宋" w:hAnsi="仿宋" w:eastAsia="仿宋"/>
                <w:color w:val="auto"/>
                <w:sz w:val="23"/>
                <w:szCs w:val="23"/>
              </w:rPr>
            </w:pPr>
          </w:p>
        </w:tc>
        <w:tc>
          <w:tcPr>
            <w:tcW w:w="1179" w:type="dxa"/>
            <w:noWrap w:val="0"/>
            <w:vAlign w:val="center"/>
          </w:tcPr>
          <w:p>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pPr>
              <w:pStyle w:val="17"/>
              <w:jc w:val="center"/>
              <w:rPr>
                <w:rFonts w:hint="eastAsia" w:ascii="仿宋" w:hAnsi="仿宋" w:eastAsia="仿宋"/>
                <w:color w:val="auto"/>
                <w:sz w:val="23"/>
                <w:szCs w:val="23"/>
                <w:lang w:eastAsia="zh-CN"/>
              </w:rPr>
            </w:pPr>
          </w:p>
        </w:tc>
        <w:tc>
          <w:tcPr>
            <w:tcW w:w="960" w:type="dxa"/>
            <w:noWrap w:val="0"/>
            <w:vAlign w:val="center"/>
          </w:tcPr>
          <w:p>
            <w:pPr>
              <w:pStyle w:val="17"/>
              <w:jc w:val="center"/>
              <w:rPr>
                <w:rFonts w:hint="eastAsia" w:ascii="仿宋" w:hAnsi="仿宋" w:eastAsia="仿宋"/>
                <w:color w:val="auto"/>
                <w:sz w:val="23"/>
                <w:szCs w:val="23"/>
                <w:lang w:eastAsia="zh-CN"/>
              </w:rPr>
            </w:pPr>
          </w:p>
        </w:tc>
        <w:tc>
          <w:tcPr>
            <w:tcW w:w="2795" w:type="dxa"/>
            <w:noWrap w:val="0"/>
            <w:vAlign w:val="center"/>
          </w:tcPr>
          <w:p>
            <w:pPr>
              <w:pStyle w:val="17"/>
              <w:jc w:val="center"/>
              <w:rPr>
                <w:rFonts w:hint="eastAsia" w:ascii="仿宋" w:hAnsi="仿宋" w:eastAsia="仿宋"/>
                <w:color w:val="auto"/>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spacing w:line="326" w:lineRule="exact"/>
              <w:jc w:val="center"/>
              <w:rPr>
                <w:rFonts w:hint="eastAsia" w:ascii="仿宋" w:hAnsi="仿宋" w:eastAsia="仿宋"/>
                <w:color w:val="auto"/>
                <w:sz w:val="23"/>
                <w:szCs w:val="23"/>
              </w:rPr>
            </w:pPr>
          </w:p>
        </w:tc>
        <w:tc>
          <w:tcPr>
            <w:tcW w:w="1148" w:type="dxa"/>
            <w:noWrap w:val="0"/>
            <w:vAlign w:val="center"/>
          </w:tcPr>
          <w:p>
            <w:pPr>
              <w:pStyle w:val="17"/>
              <w:jc w:val="center"/>
              <w:rPr>
                <w:rFonts w:hint="eastAsia" w:ascii="仿宋" w:hAnsi="仿宋" w:eastAsia="仿宋"/>
                <w:color w:val="auto"/>
                <w:sz w:val="23"/>
                <w:szCs w:val="23"/>
              </w:rPr>
            </w:pPr>
          </w:p>
        </w:tc>
        <w:tc>
          <w:tcPr>
            <w:tcW w:w="1158" w:type="dxa"/>
            <w:noWrap w:val="0"/>
            <w:vAlign w:val="center"/>
          </w:tcPr>
          <w:p>
            <w:pPr>
              <w:pStyle w:val="17"/>
              <w:spacing w:line="322" w:lineRule="exact"/>
              <w:jc w:val="center"/>
              <w:rPr>
                <w:rFonts w:hint="eastAsia" w:ascii="仿宋" w:hAnsi="仿宋" w:eastAsia="仿宋"/>
                <w:color w:val="auto"/>
                <w:sz w:val="23"/>
                <w:szCs w:val="23"/>
              </w:rPr>
            </w:pPr>
          </w:p>
        </w:tc>
        <w:tc>
          <w:tcPr>
            <w:tcW w:w="1137" w:type="dxa"/>
            <w:noWrap w:val="0"/>
            <w:vAlign w:val="center"/>
          </w:tcPr>
          <w:p>
            <w:pPr>
              <w:pStyle w:val="17"/>
              <w:spacing w:line="322" w:lineRule="exact"/>
              <w:jc w:val="center"/>
              <w:rPr>
                <w:rFonts w:hint="eastAsia" w:ascii="仿宋" w:hAnsi="仿宋" w:eastAsia="仿宋"/>
                <w:color w:val="auto"/>
                <w:sz w:val="23"/>
                <w:szCs w:val="23"/>
              </w:rPr>
            </w:pPr>
          </w:p>
        </w:tc>
        <w:tc>
          <w:tcPr>
            <w:tcW w:w="1179" w:type="dxa"/>
            <w:noWrap w:val="0"/>
            <w:vAlign w:val="center"/>
          </w:tcPr>
          <w:p>
            <w:pPr>
              <w:pStyle w:val="17"/>
              <w:spacing w:line="336" w:lineRule="exact"/>
              <w:jc w:val="center"/>
              <w:rPr>
                <w:rFonts w:hint="eastAsia" w:ascii="仿宋" w:hAnsi="仿宋" w:eastAsia="仿宋"/>
                <w:color w:val="auto"/>
                <w:sz w:val="23"/>
                <w:szCs w:val="23"/>
                <w:lang w:eastAsia="zh-CN"/>
              </w:rPr>
            </w:pPr>
          </w:p>
        </w:tc>
        <w:tc>
          <w:tcPr>
            <w:tcW w:w="1425" w:type="dxa"/>
            <w:noWrap w:val="0"/>
            <w:vAlign w:val="center"/>
          </w:tcPr>
          <w:p>
            <w:pPr>
              <w:pStyle w:val="17"/>
              <w:spacing w:line="324" w:lineRule="exact"/>
              <w:jc w:val="center"/>
              <w:rPr>
                <w:rFonts w:hint="eastAsia" w:ascii="仿宋" w:hAnsi="仿宋" w:eastAsia="仿宋"/>
                <w:color w:val="auto"/>
                <w:sz w:val="23"/>
                <w:szCs w:val="23"/>
                <w:lang w:eastAsia="zh-CN"/>
              </w:rPr>
            </w:pPr>
          </w:p>
        </w:tc>
        <w:tc>
          <w:tcPr>
            <w:tcW w:w="1335" w:type="dxa"/>
            <w:noWrap w:val="0"/>
            <w:vAlign w:val="center"/>
          </w:tcPr>
          <w:p>
            <w:pPr>
              <w:pStyle w:val="17"/>
              <w:jc w:val="center"/>
              <w:rPr>
                <w:rFonts w:hint="eastAsia" w:ascii="仿宋" w:hAnsi="仿宋" w:eastAsia="仿宋"/>
                <w:color w:val="auto"/>
                <w:sz w:val="23"/>
                <w:szCs w:val="23"/>
                <w:lang w:eastAsia="zh-CN"/>
              </w:rPr>
            </w:pPr>
          </w:p>
        </w:tc>
        <w:tc>
          <w:tcPr>
            <w:tcW w:w="960" w:type="dxa"/>
            <w:noWrap w:val="0"/>
            <w:vAlign w:val="center"/>
          </w:tcPr>
          <w:p>
            <w:pPr>
              <w:pStyle w:val="17"/>
              <w:jc w:val="center"/>
              <w:rPr>
                <w:rFonts w:hint="eastAsia" w:ascii="仿宋" w:hAnsi="仿宋" w:eastAsia="仿宋"/>
                <w:color w:val="auto"/>
                <w:sz w:val="23"/>
                <w:szCs w:val="23"/>
                <w:lang w:eastAsia="zh-CN"/>
              </w:rPr>
            </w:pPr>
          </w:p>
        </w:tc>
        <w:tc>
          <w:tcPr>
            <w:tcW w:w="2795" w:type="dxa"/>
            <w:noWrap w:val="0"/>
            <w:vAlign w:val="center"/>
          </w:tcPr>
          <w:p>
            <w:pPr>
              <w:pStyle w:val="17"/>
              <w:jc w:val="center"/>
              <w:rPr>
                <w:rFonts w:hint="eastAsia" w:ascii="仿宋" w:hAnsi="仿宋" w:eastAsia="仿宋"/>
                <w:color w:val="auto"/>
                <w:sz w:val="23"/>
                <w:szCs w:val="23"/>
                <w:lang w:eastAsia="zh-CN"/>
              </w:rPr>
            </w:pPr>
          </w:p>
        </w:tc>
      </w:tr>
    </w:tbl>
    <w:p>
      <w:pPr>
        <w:ind w:left="525" w:hanging="525"/>
        <w:rPr>
          <w:rFonts w:hint="eastAsia" w:ascii="仿宋_GB2312" w:hAnsi="仿宋_GB2312" w:eastAsia="仿宋_GB2312" w:cs="仿宋_GB2312"/>
          <w:sz w:val="24"/>
        </w:rPr>
      </w:pPr>
      <w:r>
        <w:rPr>
          <w:rFonts w:hint="eastAsia" w:ascii="仿宋_GB2312" w:hAnsi="仿宋_GB2312" w:eastAsia="仿宋_GB2312" w:cs="仿宋_GB2312"/>
          <w:sz w:val="24"/>
        </w:rPr>
        <w:t>注：1.</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对象包括资产评估机构、法定代表人、首席评估师、质量控制负责人、其他资产评估师</w:t>
      </w:r>
      <w:r>
        <w:rPr>
          <w:rFonts w:hint="eastAsia" w:ascii="仿宋_GB2312" w:hAnsi="仿宋_GB2312" w:eastAsia="仿宋_GB2312" w:cs="仿宋_GB2312"/>
          <w:sz w:val="24"/>
          <w:highlight w:val="none"/>
          <w:lang w:val="en-US" w:eastAsia="zh-CN"/>
        </w:rPr>
        <w:t>〔包含资产评估师（</w:t>
      </w:r>
      <w:r>
        <w:rPr>
          <w:rFonts w:hint="eastAsia" w:ascii="仿宋_GB2312" w:hAnsi="仿宋_GB2312" w:eastAsia="仿宋_GB2312" w:cs="仿宋_GB2312"/>
          <w:sz w:val="24"/>
          <w:highlight w:val="none"/>
        </w:rPr>
        <w:t>珠宝</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对象为资产评估机构的，证件号码为统一社会信用代码；</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对象为自然人的需填写姓名，有身份证的，证件类型必须填写身份证。</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类型包括</w:t>
      </w:r>
      <w:r>
        <w:rPr>
          <w:rFonts w:ascii="Times New Roman" w:hAnsi="Times New Roman" w:eastAsia="仿宋_GB2312" w:cs="Times New Roman"/>
          <w:sz w:val="24"/>
          <w:szCs w:val="24"/>
        </w:rPr>
        <w:t>因执业行为涉嫌违法违规被省级以上财政部门、中国证监会及其派出机构立案调查，或者被司法机关侦查，以及因执业行为受到</w:t>
      </w:r>
      <w:r>
        <w:rPr>
          <w:rFonts w:hint="eastAsia" w:ascii="仿宋_GB2312" w:hAnsi="仿宋_GB2312" w:eastAsia="仿宋_GB2312" w:cs="仿宋_GB2312"/>
          <w:sz w:val="24"/>
        </w:rPr>
        <w:t>刑事处罚、</w:t>
      </w:r>
      <w:r>
        <w:rPr>
          <w:rFonts w:hint="eastAsia" w:ascii="仿宋_GB2312" w:hAnsi="仿宋_GB2312" w:eastAsia="仿宋_GB2312" w:cs="仿宋_GB2312"/>
          <w:sz w:val="24"/>
          <w:highlight w:val="none"/>
        </w:rPr>
        <w:t>行政处罚、行政处理</w:t>
      </w:r>
      <w:r>
        <w:rPr>
          <w:rFonts w:hint="eastAsia" w:ascii="仿宋_GB2312" w:hAnsi="仿宋_GB2312" w:eastAsia="仿宋_GB2312" w:cs="仿宋_GB2312"/>
          <w:sz w:val="24"/>
        </w:rPr>
        <w:t>或者监督管理措施、自律惩戒、纪律处分，按上述顺序进行排序，同一</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类型按照</w:t>
      </w:r>
      <w:r>
        <w:rPr>
          <w:rFonts w:hint="eastAsia" w:ascii="仿宋_GB2312" w:hAnsi="仿宋_GB2312" w:eastAsia="仿宋_GB2312" w:cs="仿宋_GB2312"/>
          <w:sz w:val="24"/>
          <w:lang w:eastAsia="zh-CN"/>
        </w:rPr>
        <w:t>处理处罚</w:t>
      </w:r>
      <w:r>
        <w:rPr>
          <w:rFonts w:hint="eastAsia" w:ascii="仿宋_GB2312" w:hAnsi="仿宋_GB2312" w:eastAsia="仿宋_GB2312" w:cs="仿宋_GB2312"/>
          <w:sz w:val="24"/>
        </w:rPr>
        <w:t>日期先后顺序排序。</w:t>
      </w:r>
    </w:p>
    <w:p>
      <w:pPr>
        <w:widowControl/>
        <w:jc w:val="left"/>
        <w:rPr>
          <w:rFonts w:hint="eastAsia" w:ascii="仿宋_GB2312" w:hAnsi="仿宋_GB2312" w:eastAsia="仿宋_GB2312" w:cs="仿宋_GB2312"/>
          <w:sz w:val="32"/>
          <w:szCs w:val="32"/>
        </w:rPr>
        <w:sectPr>
          <w:footerReference r:id="rId5" w:type="default"/>
          <w:pgSz w:w="16838" w:h="11906" w:orient="landscape"/>
          <w:pgMar w:top="1417" w:right="1440" w:bottom="1417" w:left="1440" w:header="851" w:footer="992" w:gutter="0"/>
          <w:cols w:space="720" w:num="1"/>
          <w:docGrid w:type="lines" w:linePitch="324" w:charSpace="0"/>
        </w:sect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附6</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资产评估机构职业责任保险或者职业风险基金情况说明</w:t>
      </w:r>
    </w:p>
    <w:p>
      <w:pPr>
        <w:jc w:val="center"/>
        <w:rPr>
          <w:rFonts w:hint="eastAsia" w:ascii="仿宋_GB2312" w:hAnsi="仿宋_GB2312" w:eastAsia="仿宋_GB2312" w:cs="仿宋_GB2312"/>
          <w:b/>
          <w:sz w:val="32"/>
          <w:szCs w:val="32"/>
        </w:rPr>
      </w:pPr>
    </w:p>
    <w:p>
      <w:pPr>
        <w:pStyle w:val="15"/>
        <w:widowControl/>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资产评估机构是否具备与从事证券服务业务相适应的职业责任保险或者职业风险基金的自述说明</w:t>
      </w:r>
    </w:p>
    <w:p>
      <w:pPr>
        <w:pStyle w:val="15"/>
        <w:widowControl/>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支持性文件（目录）</w:t>
      </w:r>
    </w:p>
    <w:p>
      <w:pPr>
        <w:pStyle w:val="15"/>
        <w:widowControl/>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支持性文件（正文）</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pPr>
        <w:widowControl/>
        <w:ind w:firstLine="640" w:firstLineChars="200"/>
        <w:jc w:val="right"/>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sectPr>
          <w:footerReference r:id="rId6"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pPr>
        <w:widowControl/>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附7</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w:t>
      </w:r>
      <w:r>
        <w:rPr>
          <w:rFonts w:ascii="Times New Roman" w:hAnsi="Times New Roman" w:eastAsia="仿宋_GB2312" w:cs="Times New Roman"/>
          <w:b/>
          <w:sz w:val="32"/>
          <w:szCs w:val="32"/>
        </w:rPr>
        <w:t>拟承接证券服务业务（如有）的情况说明</w:t>
      </w:r>
    </w:p>
    <w:p>
      <w:pPr>
        <w:ind w:firstLine="640" w:firstLineChars="200"/>
        <w:rPr>
          <w:rFonts w:hint="eastAsia" w:ascii="仿宋_GB2312" w:hAnsi="仿宋_GB2312" w:eastAsia="仿宋_GB2312" w:cs="仿宋_GB2312"/>
          <w:sz w:val="32"/>
          <w:szCs w:val="32"/>
        </w:rPr>
      </w:pP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请说明拟承接的业务类型和公司名称，拟配备的执业人员结构、人数、从事证券服务业务经历等情况。</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法定代表人（执行合伙事务的合伙人）     资产评估机构</w:t>
      </w:r>
    </w:p>
    <w:p>
      <w:pPr>
        <w:widowControl/>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（签章）       （盖章）</w:t>
      </w:r>
    </w:p>
    <w:p>
      <w:pPr>
        <w:widowControl/>
        <w:ind w:firstLine="640" w:firstLineChars="200"/>
        <w:jc w:val="right"/>
        <w:rPr>
          <w:rFonts w:hint="eastAsia" w:ascii="仿宋_GB2312" w:hAnsi="仿宋_GB2312" w:eastAsia="仿宋_GB2312" w:cs="仿宋_GB2312"/>
          <w:sz w:val="32"/>
          <w:szCs w:val="32"/>
        </w:rPr>
      </w:pPr>
    </w:p>
    <w:p>
      <w:pPr>
        <w:widowControl/>
        <w:ind w:firstLine="640" w:firstLineChars="200"/>
        <w:jc w:val="right"/>
        <w:rPr>
          <w:rFonts w:hint="eastAsia" w:ascii="仿宋_GB2312" w:hAnsi="仿宋_GB2312" w:eastAsia="仿宋_GB2312" w:cs="仿宋_GB2312"/>
          <w:sz w:val="32"/>
          <w:szCs w:val="32"/>
        </w:rPr>
        <w:sectPr>
          <w:footerReference r:id="rId7" w:type="default"/>
          <w:pgSz w:w="11906" w:h="16838"/>
          <w:pgMar w:top="1440" w:right="1417" w:bottom="1440" w:left="1417" w:header="851" w:footer="992" w:gutter="0"/>
          <w:cols w:space="720" w:num="1"/>
          <w:docGrid w:type="lines" w:linePitch="319" w:charSpace="0"/>
        </w:sectPr>
      </w:pPr>
      <w:r>
        <w:rPr>
          <w:rFonts w:hint="eastAsia" w:ascii="仿宋_GB2312" w:hAnsi="仿宋_GB2312" w:eastAsia="仿宋_GB2312" w:cs="仿宋_GB2312"/>
          <w:sz w:val="32"/>
          <w:szCs w:val="32"/>
        </w:rPr>
        <w:t>年   月   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附8</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b/>
          <w:bCs/>
          <w:sz w:val="32"/>
          <w:szCs w:val="32"/>
        </w:rPr>
        <w:t>资产评估机构从事证券服务业务年度备案表</w:t>
      </w:r>
    </w:p>
    <w:p>
      <w:pPr>
        <w:wordWrap w:val="0"/>
        <w:spacing w:line="360" w:lineRule="auto"/>
        <w:ind w:right="428"/>
        <w:rPr>
          <w:rFonts w:hint="eastAsia" w:ascii="仿宋_GB2312" w:hAnsi="仿宋_GB2312" w:eastAsia="仿宋_GB2312" w:cs="仿宋_GB2312"/>
          <w:sz w:val="24"/>
        </w:rPr>
      </w:pPr>
      <w:r>
        <w:rPr>
          <w:rFonts w:hint="eastAsia" w:ascii="仿宋_GB2312" w:hAnsi="仿宋_GB2312" w:eastAsia="仿宋_GB2312" w:cs="仿宋_GB2312"/>
          <w:sz w:val="24"/>
        </w:rPr>
        <w:t>资产评估机构名称：            填报日期:          年  月  日</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72"/>
        <w:gridCol w:w="603"/>
        <w:gridCol w:w="472"/>
        <w:gridCol w:w="1100"/>
        <w:gridCol w:w="465"/>
        <w:gridCol w:w="734"/>
        <w:gridCol w:w="271"/>
        <w:gridCol w:w="381"/>
        <w:gridCol w:w="388"/>
        <w:gridCol w:w="77"/>
        <w:gridCol w:w="226"/>
        <w:gridCol w:w="465"/>
        <w:gridCol w:w="843"/>
        <w:gridCol w:w="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tcBorders>
              <w:bottom w:val="nil"/>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w:t>
            </w:r>
          </w:p>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员工总数</w:t>
            </w:r>
            <w:r>
              <w:rPr>
                <w:rFonts w:hint="eastAsia" w:ascii="仿宋_GB2312" w:hAnsi="仿宋_GB2312" w:eastAsia="仿宋_GB2312" w:cs="仿宋_GB2312"/>
                <w:sz w:val="24"/>
                <w:lang w:eastAsia="zh-CN"/>
              </w:rPr>
              <w:t>（人）</w:t>
            </w:r>
          </w:p>
        </w:tc>
        <w:tc>
          <w:tcPr>
            <w:tcW w:w="1730" w:type="pct"/>
            <w:gridSpan w:val="4"/>
            <w:tcBorders>
              <w:bottom w:val="nil"/>
            </w:tcBorders>
            <w:noWrap w:val="0"/>
            <w:vAlign w:val="center"/>
          </w:tcPr>
          <w:p>
            <w:pPr>
              <w:jc w:val="center"/>
              <w:rPr>
                <w:rFonts w:hint="eastAsia" w:ascii="仿宋_GB2312" w:hAnsi="仿宋_GB2312" w:eastAsia="仿宋_GB2312" w:cs="仿宋_GB2312"/>
                <w:sz w:val="24"/>
              </w:rPr>
            </w:pPr>
          </w:p>
        </w:tc>
        <w:tc>
          <w:tcPr>
            <w:tcW w:w="1315" w:type="pct"/>
            <w:gridSpan w:val="5"/>
            <w:tcBorders>
              <w:bottom w:val="nil"/>
            </w:tcBorders>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上年末资产评估师总数</w:t>
            </w:r>
            <w:r>
              <w:rPr>
                <w:rFonts w:hint="eastAsia" w:ascii="仿宋_GB2312" w:hAnsi="仿宋_GB2312" w:eastAsia="仿宋_GB2312" w:cs="仿宋_GB2312"/>
                <w:sz w:val="24"/>
                <w:lang w:eastAsia="zh-CN"/>
              </w:rPr>
              <w:t>（人）</w:t>
            </w:r>
          </w:p>
        </w:tc>
        <w:tc>
          <w:tcPr>
            <w:tcW w:w="1150" w:type="pct"/>
            <w:gridSpan w:val="5"/>
            <w:tcBorders>
              <w:bottom w:val="nil"/>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02" w:type="pct"/>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上一年度股东（合伙人）变动情况</w:t>
            </w:r>
          </w:p>
        </w:tc>
        <w:tc>
          <w:tcPr>
            <w:tcW w:w="454" w:type="pct"/>
            <w:vMerge w:val="restart"/>
            <w:tcBorders>
              <w:top w:val="single" w:color="auto" w:sz="4" w:space="0"/>
              <w:left w:val="single" w:color="auto" w:sz="4" w:space="0"/>
              <w:right w:val="single" w:color="auto" w:sz="4" w:space="0"/>
            </w:tcBorders>
            <w:noWrap w:val="0"/>
            <w:vAlign w:val="center"/>
          </w:tcPr>
          <w:p>
            <w:pPr>
              <w:pStyle w:val="4"/>
              <w:tabs>
                <w:tab w:val="clear" w:pos="4153"/>
                <w:tab w:val="clear" w:pos="8306"/>
              </w:tabs>
              <w:snapToGrid/>
              <w:jc w:val="center"/>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rPr>
              <w:t>新增</w:t>
            </w:r>
          </w:p>
        </w:tc>
        <w:tc>
          <w:tcPr>
            <w:tcW w:w="353" w:type="pc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77" w:type="pc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919" w:type="pct"/>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上年末净资产（万元）</w:t>
            </w:r>
          </w:p>
        </w:tc>
        <w:tc>
          <w:tcPr>
            <w:tcW w:w="590" w:type="pct"/>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97" w:type="pct"/>
            <w:gridSpan w:val="3"/>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上一年度资产评估业务收入（万元）</w:t>
            </w:r>
          </w:p>
        </w:tc>
        <w:tc>
          <w:tcPr>
            <w:tcW w:w="404" w:type="pct"/>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95" w:type="pct"/>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上一年度业务收入（万元）</w:t>
            </w:r>
          </w:p>
        </w:tc>
        <w:tc>
          <w:tcPr>
            <w:tcW w:w="205" w:type="pct"/>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02" w:type="pct"/>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rPr>
            </w:pPr>
          </w:p>
        </w:tc>
        <w:tc>
          <w:tcPr>
            <w:tcW w:w="454" w:type="pct"/>
            <w:vMerge w:val="continue"/>
            <w:tcBorders>
              <w:left w:val="single" w:color="auto" w:sz="4" w:space="0"/>
              <w:bottom w:val="single" w:color="auto" w:sz="4" w:space="0"/>
              <w:right w:val="single" w:color="auto" w:sz="4" w:space="0"/>
            </w:tcBorders>
            <w:noWrap w:val="0"/>
            <w:vAlign w:val="center"/>
          </w:tcPr>
          <w:p>
            <w:pPr>
              <w:pStyle w:val="4"/>
              <w:tabs>
                <w:tab w:val="clear" w:pos="4153"/>
                <w:tab w:val="clear" w:pos="8306"/>
              </w:tabs>
              <w:snapToGrid/>
              <w:jc w:val="center"/>
              <w:rPr>
                <w:rFonts w:hint="eastAsia" w:ascii="仿宋_GB2312" w:hAnsi="仿宋_GB2312" w:eastAsia="仿宋_GB2312" w:cs="仿宋_GB2312"/>
                <w:spacing w:val="2"/>
                <w:sz w:val="24"/>
              </w:rPr>
            </w:pPr>
          </w:p>
        </w:tc>
        <w:tc>
          <w:tcPr>
            <w:tcW w:w="353" w:type="pc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77" w:type="pc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919" w:type="pct"/>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590" w:type="pct"/>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97" w:type="pct"/>
            <w:gridSpan w:val="3"/>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04" w:type="pct"/>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95" w:type="pct"/>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05" w:type="pct"/>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02" w:type="pct"/>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54" w:type="pct"/>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退出</w:t>
            </w:r>
          </w:p>
        </w:tc>
        <w:tc>
          <w:tcPr>
            <w:tcW w:w="353" w:type="pct"/>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77" w:type="pct"/>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持股比例</w:t>
            </w:r>
          </w:p>
        </w:tc>
        <w:tc>
          <w:tcPr>
            <w:tcW w:w="919" w:type="pct"/>
            <w:gridSpan w:val="2"/>
            <w:vMerge w:val="restart"/>
            <w:tcBorders>
              <w:left w:val="single" w:color="auto" w:sz="4" w:space="0"/>
              <w:bottom w:val="nil"/>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上一年度证券服务业务收入</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590" w:type="pct"/>
            <w:gridSpan w:val="2"/>
            <w:vMerge w:val="restart"/>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tc>
        <w:tc>
          <w:tcPr>
            <w:tcW w:w="902" w:type="pct"/>
            <w:gridSpan w:val="5"/>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保险合同有效期内职业</w:t>
            </w:r>
            <w:r>
              <w:rPr>
                <w:rFonts w:hint="eastAsia" w:ascii="仿宋_GB2312" w:hAnsi="仿宋_GB2312" w:eastAsia="仿宋_GB2312" w:cs="仿宋_GB2312"/>
                <w:sz w:val="24"/>
                <w:lang w:eastAsia="zh-CN"/>
              </w:rPr>
              <w:t>责任</w:t>
            </w:r>
            <w:r>
              <w:rPr>
                <w:rFonts w:hint="eastAsia" w:ascii="仿宋_GB2312" w:hAnsi="仿宋_GB2312" w:eastAsia="仿宋_GB2312" w:cs="仿宋_GB2312"/>
                <w:sz w:val="24"/>
              </w:rPr>
              <w:t>保险累计赔偿限额（万元）</w:t>
            </w:r>
          </w:p>
        </w:tc>
        <w:tc>
          <w:tcPr>
            <w:tcW w:w="700" w:type="pct"/>
            <w:gridSpan w:val="2"/>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02" w:type="pct"/>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454" w:type="pct"/>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353" w:type="pct"/>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277" w:type="pct"/>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919" w:type="pct"/>
            <w:gridSpan w:val="2"/>
            <w:vMerge w:val="continue"/>
            <w:tcBorders>
              <w:left w:val="single" w:color="auto" w:sz="4" w:space="0"/>
              <w:bottom w:val="nil"/>
              <w:right w:val="single" w:color="auto" w:sz="4" w:space="0"/>
            </w:tcBorders>
            <w:noWrap w:val="0"/>
            <w:vAlign w:val="center"/>
          </w:tcPr>
          <w:p>
            <w:pPr>
              <w:jc w:val="center"/>
              <w:rPr>
                <w:rFonts w:hint="eastAsia" w:ascii="仿宋_GB2312" w:hAnsi="仿宋_GB2312" w:eastAsia="仿宋_GB2312" w:cs="仿宋_GB2312"/>
                <w:sz w:val="24"/>
              </w:rPr>
            </w:pPr>
          </w:p>
        </w:tc>
        <w:tc>
          <w:tcPr>
            <w:tcW w:w="590" w:type="pct"/>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902" w:type="pct"/>
            <w:gridSpan w:val="5"/>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累计职业风险基金（万元）</w:t>
            </w:r>
          </w:p>
        </w:tc>
        <w:tc>
          <w:tcPr>
            <w:tcW w:w="700" w:type="pct"/>
            <w:gridSpan w:val="2"/>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jc w:val="left"/>
              <w:rPr>
                <w:rFonts w:hint="eastAsia" w:ascii="仿宋_GB2312" w:hAnsi="仿宋_GB2312" w:eastAsia="仿宋_GB2312" w:cs="仿宋_GB2312"/>
                <w:sz w:val="24"/>
              </w:rPr>
            </w:pPr>
            <w:r>
              <w:rPr>
                <w:rFonts w:hint="eastAsia" w:ascii="仿宋_GB2312" w:hAnsi="仿宋_GB2312" w:eastAsia="仿宋_GB2312" w:cs="仿宋_GB2312"/>
                <w:sz w:val="24"/>
              </w:rPr>
              <w:t>资产评估师与员工总数变动情况</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上年初</w:t>
            </w: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上年转入</w:t>
            </w: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上年转出</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员工总数</w:t>
            </w:r>
            <w:r>
              <w:rPr>
                <w:rFonts w:hint="eastAsia" w:ascii="仿宋_GB2312" w:hAnsi="仿宋_GB2312" w:eastAsia="仿宋_GB2312" w:cs="仿宋_GB2312"/>
                <w:sz w:val="24"/>
                <w:lang w:eastAsia="zh-CN"/>
              </w:rPr>
              <w:t>（人）</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0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610" w:type="pct"/>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实际控制人名称（如适用）</w:t>
            </w:r>
          </w:p>
        </w:tc>
        <w:tc>
          <w:tcPr>
            <w:tcW w:w="92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c>
          <w:tcPr>
            <w:tcW w:w="1492"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实际控制人身份证号码或者统一社会信用代码（如适用）</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02" w:type="pct"/>
            <w:tcBorders>
              <w:bottom w:val="nil"/>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监管联系人</w:t>
            </w:r>
          </w:p>
        </w:tc>
        <w:tc>
          <w:tcPr>
            <w:tcW w:w="454" w:type="pct"/>
            <w:tcBorders>
              <w:bottom w:val="nil"/>
            </w:tcBorders>
            <w:noWrap w:val="0"/>
            <w:vAlign w:val="center"/>
          </w:tcPr>
          <w:p>
            <w:pPr>
              <w:jc w:val="center"/>
              <w:rPr>
                <w:rFonts w:hint="eastAsia" w:ascii="仿宋_GB2312" w:hAnsi="仿宋_GB2312" w:eastAsia="仿宋_GB2312" w:cs="仿宋_GB2312"/>
                <w:sz w:val="24"/>
              </w:rPr>
            </w:pPr>
          </w:p>
        </w:tc>
        <w:tc>
          <w:tcPr>
            <w:tcW w:w="353" w:type="pct"/>
            <w:tcBorders>
              <w:bottom w:val="nil"/>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923" w:type="pct"/>
            <w:gridSpan w:val="2"/>
            <w:tcBorders>
              <w:bottom w:val="nil"/>
            </w:tcBorders>
            <w:noWrap w:val="0"/>
            <w:vAlign w:val="center"/>
          </w:tcPr>
          <w:p>
            <w:pPr>
              <w:jc w:val="center"/>
              <w:rPr>
                <w:rFonts w:hint="eastAsia" w:ascii="仿宋_GB2312" w:hAnsi="仿宋_GB2312" w:eastAsia="仿宋_GB2312" w:cs="仿宋_GB2312"/>
                <w:sz w:val="24"/>
              </w:rPr>
            </w:pPr>
          </w:p>
        </w:tc>
        <w:tc>
          <w:tcPr>
            <w:tcW w:w="704" w:type="pct"/>
            <w:gridSpan w:val="2"/>
            <w:tcBorders>
              <w:bottom w:val="nil"/>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383" w:type="pct"/>
            <w:gridSpan w:val="2"/>
            <w:tcBorders>
              <w:bottom w:val="nil"/>
            </w:tcBorders>
            <w:noWrap w:val="0"/>
            <w:vAlign w:val="center"/>
          </w:tcPr>
          <w:p>
            <w:pPr>
              <w:jc w:val="center"/>
              <w:rPr>
                <w:rFonts w:hint="eastAsia" w:ascii="仿宋_GB2312" w:hAnsi="仿宋_GB2312" w:eastAsia="仿宋_GB2312" w:cs="仿宋_GB2312"/>
                <w:sz w:val="24"/>
              </w:rPr>
            </w:pPr>
          </w:p>
        </w:tc>
        <w:tc>
          <w:tcPr>
            <w:tcW w:w="404" w:type="pct"/>
            <w:gridSpan w:val="3"/>
            <w:tcBorders>
              <w:bottom w:val="nil"/>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973" w:type="pct"/>
            <w:gridSpan w:val="3"/>
            <w:tcBorders>
              <w:bottom w:val="nil"/>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2"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分支机构名称</w:t>
            </w:r>
          </w:p>
        </w:tc>
        <w:tc>
          <w:tcPr>
            <w:tcW w:w="45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注册地</w:t>
            </w:r>
          </w:p>
        </w:tc>
        <w:tc>
          <w:tcPr>
            <w:tcW w:w="35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1627" w:type="pct"/>
            <w:gridSpan w:val="4"/>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_GB2312" w:hAnsi="仿宋_GB2312" w:eastAsia="仿宋_GB2312" w:cs="仿宋_GB2312"/>
                <w:b/>
                <w:bCs/>
                <w:sz w:val="24"/>
              </w:rPr>
            </w:pPr>
            <w:r>
              <w:rPr>
                <w:rFonts w:hint="eastAsia" w:ascii="仿宋_GB2312" w:hAnsi="仿宋_GB2312" w:eastAsia="仿宋_GB2312" w:cs="仿宋_GB2312"/>
                <w:sz w:val="24"/>
              </w:rPr>
              <w:t>监管联系人</w:t>
            </w:r>
          </w:p>
        </w:tc>
        <w:tc>
          <w:tcPr>
            <w:tcW w:w="788" w:type="pct"/>
            <w:gridSpan w:val="5"/>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973"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资产评估师总数</w:t>
            </w:r>
            <w:r>
              <w:rPr>
                <w:rFonts w:hint="eastAsia" w:ascii="仿宋_GB2312" w:hAnsi="仿宋_GB2312" w:eastAsia="仿宋_GB2312" w:cs="仿宋_GB2312"/>
                <w:sz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02" w:type="pct"/>
            <w:noWrap w:val="0"/>
            <w:vAlign w:val="center"/>
          </w:tcPr>
          <w:p>
            <w:pPr>
              <w:jc w:val="center"/>
              <w:rPr>
                <w:rFonts w:hint="eastAsia" w:ascii="仿宋_GB2312" w:hAnsi="仿宋_GB2312" w:eastAsia="仿宋_GB2312" w:cs="仿宋_GB2312"/>
                <w:sz w:val="24"/>
              </w:rPr>
            </w:pPr>
          </w:p>
        </w:tc>
        <w:tc>
          <w:tcPr>
            <w:tcW w:w="454" w:type="pct"/>
            <w:noWrap w:val="0"/>
            <w:vAlign w:val="center"/>
          </w:tcPr>
          <w:p>
            <w:pPr>
              <w:jc w:val="center"/>
              <w:rPr>
                <w:rFonts w:hint="eastAsia" w:ascii="仿宋_GB2312" w:hAnsi="仿宋_GB2312" w:eastAsia="仿宋_GB2312" w:cs="仿宋_GB2312"/>
                <w:sz w:val="24"/>
              </w:rPr>
            </w:pPr>
          </w:p>
        </w:tc>
        <w:tc>
          <w:tcPr>
            <w:tcW w:w="353" w:type="pct"/>
            <w:noWrap w:val="0"/>
            <w:vAlign w:val="center"/>
          </w:tcPr>
          <w:p>
            <w:pPr>
              <w:jc w:val="center"/>
              <w:rPr>
                <w:rFonts w:hint="eastAsia" w:ascii="仿宋_GB2312" w:hAnsi="仿宋_GB2312" w:eastAsia="仿宋_GB2312" w:cs="仿宋_GB2312"/>
                <w:sz w:val="24"/>
              </w:rPr>
            </w:pPr>
          </w:p>
        </w:tc>
        <w:tc>
          <w:tcPr>
            <w:tcW w:w="1627" w:type="pct"/>
            <w:gridSpan w:val="4"/>
            <w:noWrap w:val="0"/>
            <w:vAlign w:val="center"/>
          </w:tcPr>
          <w:p>
            <w:pPr>
              <w:jc w:val="center"/>
              <w:rPr>
                <w:rFonts w:hint="eastAsia" w:ascii="仿宋_GB2312" w:hAnsi="仿宋_GB2312" w:eastAsia="仿宋_GB2312" w:cs="仿宋_GB2312"/>
                <w:sz w:val="24"/>
              </w:rPr>
            </w:pPr>
          </w:p>
        </w:tc>
        <w:tc>
          <w:tcPr>
            <w:tcW w:w="788" w:type="pct"/>
            <w:gridSpan w:val="5"/>
            <w:noWrap w:val="0"/>
            <w:vAlign w:val="center"/>
          </w:tcPr>
          <w:p>
            <w:pPr>
              <w:jc w:val="center"/>
              <w:rPr>
                <w:rFonts w:hint="eastAsia" w:ascii="仿宋_GB2312" w:hAnsi="仿宋_GB2312" w:eastAsia="仿宋_GB2312" w:cs="仿宋_GB2312"/>
                <w:sz w:val="24"/>
              </w:rPr>
            </w:pPr>
          </w:p>
        </w:tc>
        <w:tc>
          <w:tcPr>
            <w:tcW w:w="973" w:type="pct"/>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02" w:type="pct"/>
            <w:noWrap w:val="0"/>
            <w:vAlign w:val="center"/>
          </w:tcPr>
          <w:p>
            <w:pPr>
              <w:jc w:val="center"/>
              <w:rPr>
                <w:rFonts w:hint="eastAsia" w:ascii="仿宋_GB2312" w:hAnsi="仿宋_GB2312" w:eastAsia="仿宋_GB2312" w:cs="仿宋_GB2312"/>
                <w:sz w:val="24"/>
              </w:rPr>
            </w:pPr>
          </w:p>
        </w:tc>
        <w:tc>
          <w:tcPr>
            <w:tcW w:w="454" w:type="pct"/>
            <w:noWrap w:val="0"/>
            <w:vAlign w:val="center"/>
          </w:tcPr>
          <w:p>
            <w:pPr>
              <w:jc w:val="center"/>
              <w:rPr>
                <w:rFonts w:hint="eastAsia" w:ascii="仿宋_GB2312" w:hAnsi="仿宋_GB2312" w:eastAsia="仿宋_GB2312" w:cs="仿宋_GB2312"/>
                <w:sz w:val="24"/>
              </w:rPr>
            </w:pPr>
          </w:p>
        </w:tc>
        <w:tc>
          <w:tcPr>
            <w:tcW w:w="353" w:type="pct"/>
            <w:noWrap w:val="0"/>
            <w:vAlign w:val="center"/>
          </w:tcPr>
          <w:p>
            <w:pPr>
              <w:jc w:val="center"/>
              <w:rPr>
                <w:rFonts w:hint="eastAsia" w:ascii="仿宋_GB2312" w:hAnsi="仿宋_GB2312" w:eastAsia="仿宋_GB2312" w:cs="仿宋_GB2312"/>
                <w:sz w:val="24"/>
              </w:rPr>
            </w:pPr>
          </w:p>
        </w:tc>
        <w:tc>
          <w:tcPr>
            <w:tcW w:w="1627" w:type="pct"/>
            <w:gridSpan w:val="4"/>
            <w:noWrap w:val="0"/>
            <w:vAlign w:val="center"/>
          </w:tcPr>
          <w:p>
            <w:pPr>
              <w:jc w:val="center"/>
              <w:rPr>
                <w:rFonts w:hint="eastAsia" w:ascii="仿宋_GB2312" w:hAnsi="仿宋_GB2312" w:eastAsia="仿宋_GB2312" w:cs="仿宋_GB2312"/>
                <w:sz w:val="24"/>
              </w:rPr>
            </w:pPr>
          </w:p>
        </w:tc>
        <w:tc>
          <w:tcPr>
            <w:tcW w:w="788" w:type="pct"/>
            <w:gridSpan w:val="5"/>
            <w:noWrap w:val="0"/>
            <w:vAlign w:val="center"/>
          </w:tcPr>
          <w:p>
            <w:pPr>
              <w:jc w:val="center"/>
              <w:rPr>
                <w:rFonts w:hint="eastAsia" w:ascii="仿宋_GB2312" w:hAnsi="仿宋_GB2312" w:eastAsia="仿宋_GB2312" w:cs="仿宋_GB2312"/>
                <w:sz w:val="24"/>
              </w:rPr>
            </w:pPr>
          </w:p>
        </w:tc>
        <w:tc>
          <w:tcPr>
            <w:tcW w:w="973" w:type="pct"/>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4026" w:type="pct"/>
            <w:gridSpan w:val="1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973" w:type="pct"/>
            <w:gridSpan w:val="3"/>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5000" w:type="pct"/>
            <w:gridSpan w:val="15"/>
            <w:noWrap w:val="0"/>
            <w:vAlign w:val="center"/>
          </w:tcPr>
          <w:p>
            <w:pPr>
              <w:numPr>
                <w:ilvl w:val="0"/>
                <w:numId w:val="0"/>
              </w:numPr>
              <w:rPr>
                <w:rFonts w:hint="eastAsia" w:ascii="仿宋_GB2312" w:hAnsi="仿宋_GB2312" w:eastAsia="仿宋_GB2312" w:cs="仿宋_GB2312"/>
                <w:sz w:val="24"/>
              </w:rPr>
            </w:pPr>
            <w:r>
              <w:rPr>
                <w:rFonts w:hint="eastAsia" w:ascii="仿宋_GB2312" w:hAnsi="仿宋_GB2312" w:eastAsia="仿宋_GB2312" w:cs="仿宋_GB2312"/>
                <w:sz w:val="24"/>
              </w:rPr>
              <w:t>提交年度备案表时一并附上如下文件：</w:t>
            </w:r>
          </w:p>
          <w:p>
            <w:pPr>
              <w:numPr>
                <w:ilvl w:val="0"/>
                <w:numId w:val="3"/>
              </w:numPr>
              <w:rPr>
                <w:rFonts w:hint="eastAsia" w:ascii="仿宋_GB2312" w:hAnsi="仿宋_GB2312" w:eastAsia="仿宋_GB2312" w:cs="仿宋_GB2312"/>
                <w:bCs/>
                <w:sz w:val="24"/>
              </w:rPr>
            </w:pPr>
            <w:r>
              <w:rPr>
                <w:rFonts w:hint="eastAsia" w:ascii="仿宋_GB2312" w:hAnsi="仿宋_GB2312" w:eastAsia="仿宋_GB2312" w:cs="仿宋_GB2312"/>
                <w:bCs/>
                <w:sz w:val="24"/>
              </w:rPr>
              <w:t>上一年度经审计的财务报表</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资产评估机构内部管理制度及执行情况说明（参考附2）</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质量控制制度及运行、变动情况说明</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资产评估师及管理人员情况表（参考附4）</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职业责任保险保单复印件（如有）</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资产评估机构及其</w:t>
            </w:r>
            <w:r>
              <w:rPr>
                <w:rFonts w:hint="eastAsia" w:ascii="仿宋_GB2312" w:hAnsi="仿宋_GB2312" w:eastAsia="仿宋_GB2312" w:cs="仿宋_GB2312"/>
                <w:bCs/>
                <w:sz w:val="24"/>
                <w:lang w:eastAsia="zh-CN"/>
              </w:rPr>
              <w:t>相关</w:t>
            </w:r>
            <w:r>
              <w:rPr>
                <w:rFonts w:hint="eastAsia" w:ascii="仿宋_GB2312" w:hAnsi="仿宋_GB2312" w:eastAsia="仿宋_GB2312" w:cs="仿宋_GB2312"/>
                <w:bCs/>
                <w:sz w:val="24"/>
              </w:rPr>
              <w:t>人员</w:t>
            </w:r>
            <w:r>
              <w:rPr>
                <w:rFonts w:hint="eastAsia" w:ascii="仿宋_GB2312" w:hAnsi="仿宋_GB2312" w:eastAsia="仿宋_GB2312" w:cs="仿宋_GB2312"/>
                <w:bCs/>
                <w:sz w:val="24"/>
                <w:highlight w:val="none"/>
                <w:lang w:eastAsia="zh-CN"/>
              </w:rPr>
              <w:t>处理处罚</w:t>
            </w:r>
            <w:r>
              <w:rPr>
                <w:rFonts w:hint="eastAsia" w:ascii="仿宋_GB2312" w:hAnsi="仿宋_GB2312" w:eastAsia="仿宋_GB2312" w:cs="仿宋_GB2312"/>
                <w:bCs/>
                <w:sz w:val="24"/>
              </w:rPr>
              <w:t>情况表（参考附5）</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bCs/>
                <w:sz w:val="24"/>
              </w:rPr>
              <w:t>上一年度从事的证券服务业务清单（参考附3）</w:t>
            </w:r>
            <w:r>
              <w:rPr>
                <w:rFonts w:hint="eastAsia" w:ascii="仿宋_GB2312" w:hAnsi="仿宋_GB2312" w:eastAsia="仿宋_GB2312" w:cs="仿宋_GB2312"/>
                <w:bCs/>
                <w:sz w:val="24"/>
                <w:lang w:eastAsia="zh-CN"/>
              </w:rPr>
              <w:t>；</w:t>
            </w:r>
          </w:p>
          <w:p>
            <w:pPr>
              <w:numPr>
                <w:ilvl w:val="0"/>
                <w:numId w:val="3"/>
              </w:numPr>
              <w:rPr>
                <w:rFonts w:hint="eastAsia" w:ascii="仿宋_GB2312" w:hAnsi="仿宋_GB2312" w:eastAsia="仿宋_GB2312" w:cs="仿宋_GB2312"/>
                <w:sz w:val="24"/>
              </w:rPr>
            </w:pPr>
            <w:r>
              <w:rPr>
                <w:rFonts w:hint="eastAsia" w:ascii="仿宋_GB2312" w:hAnsi="仿宋_GB2312" w:eastAsia="仿宋_GB2312" w:cs="仿宋_GB2312"/>
                <w:sz w:val="24"/>
              </w:rPr>
              <w:t>财政部、</w:t>
            </w:r>
            <w:r>
              <w:rPr>
                <w:rFonts w:hint="eastAsia" w:ascii="仿宋_GB2312" w:hAnsi="仿宋_GB2312" w:eastAsia="仿宋_GB2312" w:cs="仿宋_GB2312"/>
                <w:sz w:val="24"/>
                <w:lang w:eastAsia="zh-CN"/>
              </w:rPr>
              <w:t>中国</w:t>
            </w:r>
            <w:r>
              <w:rPr>
                <w:rFonts w:hint="eastAsia" w:ascii="仿宋_GB2312" w:hAnsi="仿宋_GB2312" w:eastAsia="仿宋_GB2312" w:cs="仿宋_GB2312"/>
                <w:sz w:val="24"/>
              </w:rPr>
              <w:t>证监会规定的其他重大事项。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5000" w:type="pct"/>
            <w:gridSpan w:val="15"/>
            <w:noWrap w:val="0"/>
            <w:vAlign w:val="top"/>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本资产评估机构声明：</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1.本资产评估机构提交的备案材料和信息真实、准确、完整，不存在虚假记载、误导性陈述或者重大遗漏。</w:t>
            </w:r>
          </w:p>
          <w:p>
            <w:pPr>
              <w:numPr>
                <w:ilvl w:val="0"/>
                <w:numId w:val="0"/>
              </w:numPr>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2.本资产评估机构在执业中不存在因贿赂行为受到刑事处罚的情形。</w:t>
            </w:r>
          </w:p>
          <w:p>
            <w:pPr>
              <w:rPr>
                <w:rFonts w:hint="eastAsia" w:ascii="仿宋_GB2312" w:hAnsi="仿宋_GB2312" w:eastAsia="仿宋_GB2312" w:cs="仿宋_GB2312"/>
                <w:sz w:val="24"/>
              </w:rPr>
            </w:pPr>
          </w:p>
          <w:p>
            <w:pPr>
              <w:ind w:firstLine="720" w:firstLineChars="30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法定代表人（执行合伙事务的合伙人）          资产评估机构</w:t>
            </w:r>
          </w:p>
          <w:p>
            <w:pPr>
              <w:ind w:firstLine="1560" w:firstLineChars="650"/>
              <w:jc w:val="left"/>
              <w:rPr>
                <w:rFonts w:hint="eastAsia" w:ascii="仿宋_GB2312" w:hAnsi="仿宋_GB2312" w:eastAsia="仿宋_GB2312" w:cs="仿宋_GB2312"/>
                <w:sz w:val="24"/>
              </w:rPr>
            </w:pPr>
            <w:r>
              <w:rPr>
                <w:rFonts w:hint="eastAsia" w:ascii="仿宋_GB2312" w:hAnsi="仿宋_GB2312" w:eastAsia="仿宋_GB2312" w:cs="仿宋_GB2312"/>
                <w:sz w:val="24"/>
              </w:rPr>
              <w:t>（签章）                                 （盖章）</w:t>
            </w:r>
          </w:p>
          <w:p>
            <w:pPr>
              <w:ind w:left="1245" w:firstLine="1"/>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1.上年末员工总数、上年末资产评估师总数、上年末净资产、上一年度资产评估业务收入、上一年度业务收入、上一年度证券服务业务收入、保险合同有效期内职业责任保险累计赔偿限额、累计职业风险基金、资产评估师与员工总数变动情况均包含分公司但不包含子公司。</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2.收入金额不含增值税。</w:t>
      </w:r>
    </w:p>
    <w:p>
      <w:pPr>
        <w:ind w:firstLine="480"/>
        <w:rPr>
          <w:rFonts w:hint="eastAsia" w:ascii="仿宋_GB2312" w:hAnsi="仿宋_GB2312" w:eastAsia="仿宋_GB2312" w:cs="仿宋_GB2312"/>
          <w:bCs/>
          <w:sz w:val="24"/>
        </w:rPr>
      </w:pPr>
      <w:r>
        <w:rPr>
          <w:rFonts w:hint="eastAsia" w:ascii="仿宋_GB2312" w:hAnsi="仿宋_GB2312" w:eastAsia="仿宋_GB2312" w:cs="仿宋_GB2312"/>
          <w:sz w:val="24"/>
        </w:rPr>
        <w:t>3.</w:t>
      </w:r>
      <w:r>
        <w:rPr>
          <w:rFonts w:hint="eastAsia" w:ascii="仿宋_GB2312" w:hAnsi="仿宋_GB2312" w:eastAsia="仿宋_GB2312" w:cs="仿宋_GB2312"/>
          <w:bCs/>
          <w:sz w:val="24"/>
        </w:rPr>
        <w:t>电话应当包含固定电话和手机号码。</w:t>
      </w:r>
    </w:p>
    <w:p>
      <w:pPr>
        <w:ind w:firstLine="480"/>
        <w:rPr>
          <w:rFonts w:hint="eastAsia"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bCs/>
          <w:sz w:val="24"/>
        </w:rPr>
        <w:t>5.分支机构包括分公司、分所等。</w:t>
      </w:r>
    </w:p>
    <w:p>
      <w:pPr>
        <w:rPr>
          <w:rFonts w:hint="eastAsia"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Noto Serif CJK JP"/>
    <w:panose1 w:val="00000000000000000000"/>
    <w:charset w:val="00"/>
    <w:family w:val="auto"/>
    <w:pitch w:val="default"/>
    <w:sig w:usb0="00000000" w:usb1="00000000" w:usb2="00000000" w:usb3="00000000" w:csb0="00040001" w:csb1="00000000"/>
  </w:font>
  <w:font w:name="华文宋体">
    <w:altName w:val="方正书宋_GBK"/>
    <w:panose1 w:val="02010600040101010101"/>
    <w:charset w:val="00"/>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hgHAIAACcEAAAOAAAAZHJz&#10;L2Uyb0RvYy54bWytU0uOEzEQ3SNxB8t70p2MZhRF6YzCjIKQImakAbF23HbSkn+ynXSHA8ANWLFh&#10;z7lyDp6d7gwCVoiNXeUq1+fVq/ltpxU5CB8aayo6HpWUCMNt3ZhtRT+8X72aUhIiMzVT1oiKHkWg&#10;t4uXL+atm4mJ3VlVC08QxIRZ6yq6i9HNiiLwndAsjKwTBkZpvWYRqt8WtWctomtVTMrypmitr523&#10;XISA1/uzkS5yfCkFjw9SBhGJqihqi/n0+dyks1jM2Wzrmds1vC+D/UMVmjUGSS+h7llkZO+bP0Lp&#10;hnsbrIwjbnVhpWy4yD2gm3H5WzdPO+ZE7gXgBHeBKfy/sPzd4dGTpq7oNSWGaYzo9PXL6duP0/fP&#10;5CrB07owg9eTg1/sXtuuotHvxWAKeE+Nd9LrdKMlAhdgfbzgK7pIOB7H08l0WsLEYRsUpCievzsf&#10;4hthNUlCRT0GmHFlh3WIZ9fBJWUzdtUolYeoDGkrenN1XeYPFwuCK5N8RaZDHyZ1dS49SbHbdH2r&#10;G1sf0am3Z6oEx1cNSlmzEB+ZBzdQPvgeH3BIZZHS9hIlO+s//e09+WNksFLSgmsVNVgGStRbg1Em&#10;Wg6CH4TNIJi9vrMg7xh75HgW8cFHNYjSW/0RS7BMOSRTAYGZ4ciGQQ3iXYTWG7FMXCyXFx1EdCyu&#10;zZPj/WgTWsEt9xHoZtATRmdgMKykgI15bP3mJLr/qmev5/1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bfx4YBwCAAAn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TVcyX7QEAANADAAAOAAAAZHJz&#10;L2Uyb0RvYy54bWytU9uO0zAQfUfiHyy/06RdFpao6WrZVRHScpF2+YCJ4yQWiccau03K1zN22lLg&#10;DfFijT3j4zNnjte309CLvSZv0JZyucil0FZhbWxbym/P21c3UvgAtoYerS7lQXt5u3n5Yj26Qq+w&#10;w77WJBjE+mJ0pexCcEWWedXpAfwCnbacbJAGCLylNqsJRkYf+myV52+yEal2hEp7z6cPc1JuEn7T&#10;aBW+NI3XQfSlZG4hrZTWKq7ZZg1FS+A6o4404B9YDGAsP3qGeoAAYkfmL6jBKEKPTVgoHDJsGqN0&#10;6oG7WeZ/dPPUgdOpFxbHu7NM/v/Bqs/7ryRMXcorKSwMPKJnPQXxHiexzFfXUaDR+YLrnhxXhokz&#10;pQy0i8Sg8O4R1XcvLN53YFt9R4Rjp6FmjqmI72cXADOaj1DV+Alrfg92ARPW1NAQMVkVwW/wuA7n&#10;EUVOig+vb16vOKE4s7x69zZPE8ygON115MMHjYOIQSmJDZCwYf/oQ+QCxakkPmVxa/o+maC3vx1w&#10;4Xyik4uOt2MnkfzcRpiq6ahPhfWBeyKcHcY/goMO6YcUI7urlJbtL0X/0bIw0YingE5BdQrAKr7I&#10;8kkxh/eBdw30ngF2jkzbMfbFBO5YwK1J3UV+M5Wj7Gyb1PTR4tGXl/tU9esjb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1u5d9AAAAACAQAADwAAAAAAAAABACAAAAA4AAAAZHJzL2Rvd25yZXYu&#10;eG1sUEsBAhQAFAAAAAgAh07iQNNVzJftAQAA0AMAAA4AAAAAAAAAAQAgAAAANQEAAGRycy9lMm9E&#10;b2MueG1sUEsFBgAAAAAGAAYAWQEAAJQ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nmXg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wm&#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eZeAaAgAAJw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E50A8"/>
    <w:multiLevelType w:val="singleLevel"/>
    <w:tmpl w:val="DC0E50A8"/>
    <w:lvl w:ilvl="0" w:tentative="0">
      <w:start w:val="1"/>
      <w:numFmt w:val="decimal"/>
      <w:lvlText w:val="%1."/>
      <w:lvlJc w:val="left"/>
      <w:pPr>
        <w:tabs>
          <w:tab w:val="left" w:pos="312"/>
        </w:tabs>
      </w:pPr>
    </w:lvl>
  </w:abstractNum>
  <w:abstractNum w:abstractNumId="1">
    <w:nsid w:val="634A658A"/>
    <w:multiLevelType w:val="multilevel"/>
    <w:tmpl w:val="634A65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7FB8556"/>
    <w:multiLevelType w:val="singleLevel"/>
    <w:tmpl w:val="77FB855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D2"/>
    <w:rsid w:val="00025DA7"/>
    <w:rsid w:val="000325A3"/>
    <w:rsid w:val="000B4327"/>
    <w:rsid w:val="000B4912"/>
    <w:rsid w:val="000F1122"/>
    <w:rsid w:val="000F2F76"/>
    <w:rsid w:val="00132287"/>
    <w:rsid w:val="001501F4"/>
    <w:rsid w:val="001729C9"/>
    <w:rsid w:val="002814A3"/>
    <w:rsid w:val="002F16DB"/>
    <w:rsid w:val="00342EC0"/>
    <w:rsid w:val="00365AC5"/>
    <w:rsid w:val="00386FC2"/>
    <w:rsid w:val="003A1D19"/>
    <w:rsid w:val="003E4057"/>
    <w:rsid w:val="004D3452"/>
    <w:rsid w:val="004E3DAC"/>
    <w:rsid w:val="00552977"/>
    <w:rsid w:val="005915E2"/>
    <w:rsid w:val="005C5E57"/>
    <w:rsid w:val="00610BAA"/>
    <w:rsid w:val="0065353F"/>
    <w:rsid w:val="00730944"/>
    <w:rsid w:val="00751F65"/>
    <w:rsid w:val="007904C9"/>
    <w:rsid w:val="007F7C50"/>
    <w:rsid w:val="00842411"/>
    <w:rsid w:val="00867932"/>
    <w:rsid w:val="00895B90"/>
    <w:rsid w:val="00951E3E"/>
    <w:rsid w:val="009D74D2"/>
    <w:rsid w:val="00A764D9"/>
    <w:rsid w:val="00AB2476"/>
    <w:rsid w:val="00AB2C7F"/>
    <w:rsid w:val="00AE30FE"/>
    <w:rsid w:val="00B140EE"/>
    <w:rsid w:val="00BC13DD"/>
    <w:rsid w:val="00BD5BD6"/>
    <w:rsid w:val="00BF3A18"/>
    <w:rsid w:val="00C4424C"/>
    <w:rsid w:val="00CA786D"/>
    <w:rsid w:val="00CB35D3"/>
    <w:rsid w:val="00CE0907"/>
    <w:rsid w:val="00CF1B98"/>
    <w:rsid w:val="00D620A7"/>
    <w:rsid w:val="00E00553"/>
    <w:rsid w:val="00E54DA6"/>
    <w:rsid w:val="00F325D6"/>
    <w:rsid w:val="00F42D7A"/>
    <w:rsid w:val="00F7388E"/>
    <w:rsid w:val="04FC0EF3"/>
    <w:rsid w:val="0B312007"/>
    <w:rsid w:val="0FDA3265"/>
    <w:rsid w:val="13DEF0EC"/>
    <w:rsid w:val="13E7270E"/>
    <w:rsid w:val="19D71B34"/>
    <w:rsid w:val="1BA9E7E3"/>
    <w:rsid w:val="1DB7BD9E"/>
    <w:rsid w:val="1F3C983F"/>
    <w:rsid w:val="2659D578"/>
    <w:rsid w:val="27FA82A5"/>
    <w:rsid w:val="2B95F591"/>
    <w:rsid w:val="2D8F7798"/>
    <w:rsid w:val="2FEFF372"/>
    <w:rsid w:val="2FFFD693"/>
    <w:rsid w:val="31DF8CB5"/>
    <w:rsid w:val="375F6B73"/>
    <w:rsid w:val="39BD5CD5"/>
    <w:rsid w:val="39BF6FBB"/>
    <w:rsid w:val="39F6EBB9"/>
    <w:rsid w:val="3B5EDA1F"/>
    <w:rsid w:val="3BAF4F35"/>
    <w:rsid w:val="3BBD8993"/>
    <w:rsid w:val="3BFB0336"/>
    <w:rsid w:val="3BFF3DA2"/>
    <w:rsid w:val="3DB98C19"/>
    <w:rsid w:val="3DFFB2F2"/>
    <w:rsid w:val="3E9EE8D2"/>
    <w:rsid w:val="3F7AA2FE"/>
    <w:rsid w:val="3F7ECC5C"/>
    <w:rsid w:val="3FF2ED88"/>
    <w:rsid w:val="3FF36845"/>
    <w:rsid w:val="3FFAE786"/>
    <w:rsid w:val="438B9BBB"/>
    <w:rsid w:val="45FEF54B"/>
    <w:rsid w:val="47F7F101"/>
    <w:rsid w:val="496728F6"/>
    <w:rsid w:val="4F6B6E6F"/>
    <w:rsid w:val="4FF48DC1"/>
    <w:rsid w:val="4FFEE631"/>
    <w:rsid w:val="54BAD6CA"/>
    <w:rsid w:val="54FD4150"/>
    <w:rsid w:val="5BDBC777"/>
    <w:rsid w:val="5BFB58FB"/>
    <w:rsid w:val="5C95E6CB"/>
    <w:rsid w:val="5CDF342A"/>
    <w:rsid w:val="5D67E3AB"/>
    <w:rsid w:val="5DF2EAE2"/>
    <w:rsid w:val="5EF3C0B6"/>
    <w:rsid w:val="5F6F23F6"/>
    <w:rsid w:val="5FB56CAC"/>
    <w:rsid w:val="5FB65509"/>
    <w:rsid w:val="5FBE7464"/>
    <w:rsid w:val="5FCC286C"/>
    <w:rsid w:val="5FE952FA"/>
    <w:rsid w:val="5FFCD03E"/>
    <w:rsid w:val="5FFD2F46"/>
    <w:rsid w:val="60AF76FB"/>
    <w:rsid w:val="62DD8FC8"/>
    <w:rsid w:val="64EF71DA"/>
    <w:rsid w:val="67F455E1"/>
    <w:rsid w:val="6ADFD432"/>
    <w:rsid w:val="6B51A0AB"/>
    <w:rsid w:val="6BEF4FD0"/>
    <w:rsid w:val="6D9D2D0D"/>
    <w:rsid w:val="6DF591E3"/>
    <w:rsid w:val="6EDBA61A"/>
    <w:rsid w:val="6EEE64F7"/>
    <w:rsid w:val="6EFBE4B5"/>
    <w:rsid w:val="6FAF342D"/>
    <w:rsid w:val="6FBDEC86"/>
    <w:rsid w:val="6FBFE57A"/>
    <w:rsid w:val="6FE7B326"/>
    <w:rsid w:val="6FF448D8"/>
    <w:rsid w:val="6FFFADD4"/>
    <w:rsid w:val="716E38A6"/>
    <w:rsid w:val="737B92A0"/>
    <w:rsid w:val="73DF9EBE"/>
    <w:rsid w:val="73F70DA4"/>
    <w:rsid w:val="73FF0E03"/>
    <w:rsid w:val="74CE82BA"/>
    <w:rsid w:val="759FEC51"/>
    <w:rsid w:val="75BF5A9F"/>
    <w:rsid w:val="76978B86"/>
    <w:rsid w:val="76FF3501"/>
    <w:rsid w:val="77391231"/>
    <w:rsid w:val="776DD1AF"/>
    <w:rsid w:val="776F7BFD"/>
    <w:rsid w:val="77A60996"/>
    <w:rsid w:val="77DFC420"/>
    <w:rsid w:val="77FB10DF"/>
    <w:rsid w:val="77FE7B3B"/>
    <w:rsid w:val="77FF4219"/>
    <w:rsid w:val="77FF7BF0"/>
    <w:rsid w:val="78FD4202"/>
    <w:rsid w:val="79F3D1E5"/>
    <w:rsid w:val="7AED5A48"/>
    <w:rsid w:val="7AF50E3D"/>
    <w:rsid w:val="7BD6CC9C"/>
    <w:rsid w:val="7BEDA612"/>
    <w:rsid w:val="7CE70B3E"/>
    <w:rsid w:val="7CF7B860"/>
    <w:rsid w:val="7CFFCE17"/>
    <w:rsid w:val="7D4764AE"/>
    <w:rsid w:val="7D785932"/>
    <w:rsid w:val="7DC79387"/>
    <w:rsid w:val="7DF91487"/>
    <w:rsid w:val="7DFFBB5F"/>
    <w:rsid w:val="7E7F74DF"/>
    <w:rsid w:val="7EA61328"/>
    <w:rsid w:val="7ED36631"/>
    <w:rsid w:val="7F5F9AC0"/>
    <w:rsid w:val="7F7DC7BD"/>
    <w:rsid w:val="7F7FBD91"/>
    <w:rsid w:val="7FAF88FC"/>
    <w:rsid w:val="7FAF9FD7"/>
    <w:rsid w:val="7FB0530A"/>
    <w:rsid w:val="7FB70CD0"/>
    <w:rsid w:val="7FBD887F"/>
    <w:rsid w:val="7FBDCCE8"/>
    <w:rsid w:val="7FCF3DC9"/>
    <w:rsid w:val="7FDF5158"/>
    <w:rsid w:val="7FFD82A0"/>
    <w:rsid w:val="7FFDFCF9"/>
    <w:rsid w:val="7FFEFCBB"/>
    <w:rsid w:val="7FFF0087"/>
    <w:rsid w:val="8FFFD8B0"/>
    <w:rsid w:val="935D617F"/>
    <w:rsid w:val="97B76C3A"/>
    <w:rsid w:val="9B7D4CC9"/>
    <w:rsid w:val="A3EE2A08"/>
    <w:rsid w:val="A5EA640A"/>
    <w:rsid w:val="A7352BA1"/>
    <w:rsid w:val="AE77ED0E"/>
    <w:rsid w:val="B24E57BF"/>
    <w:rsid w:val="B9FD92B6"/>
    <w:rsid w:val="BBEDA61F"/>
    <w:rsid w:val="BE6640FE"/>
    <w:rsid w:val="BFAB521E"/>
    <w:rsid w:val="BFB7F667"/>
    <w:rsid w:val="BFEB114D"/>
    <w:rsid w:val="BFEBF5BA"/>
    <w:rsid w:val="BFFF651C"/>
    <w:rsid w:val="C3FBEBF6"/>
    <w:rsid w:val="CCDFA888"/>
    <w:rsid w:val="CF37286D"/>
    <w:rsid w:val="D3C0A278"/>
    <w:rsid w:val="D67920E0"/>
    <w:rsid w:val="DADF9CE5"/>
    <w:rsid w:val="DB57FE8F"/>
    <w:rsid w:val="DB7792B3"/>
    <w:rsid w:val="DBBE5B11"/>
    <w:rsid w:val="DBDB0379"/>
    <w:rsid w:val="DCF2C3D2"/>
    <w:rsid w:val="DDB7AA03"/>
    <w:rsid w:val="DE776D89"/>
    <w:rsid w:val="DFF09589"/>
    <w:rsid w:val="E5F7DE24"/>
    <w:rsid w:val="E77F7FE8"/>
    <w:rsid w:val="EB7D118E"/>
    <w:rsid w:val="EBB60400"/>
    <w:rsid w:val="EBFB0521"/>
    <w:rsid w:val="EBFD10E5"/>
    <w:rsid w:val="EE1382A8"/>
    <w:rsid w:val="EF3FB1E7"/>
    <w:rsid w:val="EF7F59E3"/>
    <w:rsid w:val="EFFBE436"/>
    <w:rsid w:val="EFFDF641"/>
    <w:rsid w:val="EFFE7C85"/>
    <w:rsid w:val="F1AD52CB"/>
    <w:rsid w:val="F2DB396A"/>
    <w:rsid w:val="F357D175"/>
    <w:rsid w:val="F4FE16CB"/>
    <w:rsid w:val="F6FD92F1"/>
    <w:rsid w:val="F73CBB66"/>
    <w:rsid w:val="F7770A59"/>
    <w:rsid w:val="F77A98C6"/>
    <w:rsid w:val="F7A95C67"/>
    <w:rsid w:val="F7B52BD6"/>
    <w:rsid w:val="F7BCCF16"/>
    <w:rsid w:val="F7CA8A13"/>
    <w:rsid w:val="F7DFB8BD"/>
    <w:rsid w:val="F7EE745D"/>
    <w:rsid w:val="F7FAB1C5"/>
    <w:rsid w:val="F89F530F"/>
    <w:rsid w:val="F89F7F56"/>
    <w:rsid w:val="F95F4BCE"/>
    <w:rsid w:val="F9FCE035"/>
    <w:rsid w:val="FA6F0C45"/>
    <w:rsid w:val="FB6D30CF"/>
    <w:rsid w:val="FBA65BCF"/>
    <w:rsid w:val="FBDD07ED"/>
    <w:rsid w:val="FBDF462F"/>
    <w:rsid w:val="FD573D25"/>
    <w:rsid w:val="FD5DD6FC"/>
    <w:rsid w:val="FD9ECFE2"/>
    <w:rsid w:val="FDAE0536"/>
    <w:rsid w:val="FDFB1E39"/>
    <w:rsid w:val="FDFBDFD3"/>
    <w:rsid w:val="FE9F8A4A"/>
    <w:rsid w:val="FEB626F8"/>
    <w:rsid w:val="FEBD6185"/>
    <w:rsid w:val="FEC7A4DB"/>
    <w:rsid w:val="FEEF245E"/>
    <w:rsid w:val="FEFB5FE8"/>
    <w:rsid w:val="FEFCA2C0"/>
    <w:rsid w:val="FF1F4250"/>
    <w:rsid w:val="FF5F2F3B"/>
    <w:rsid w:val="FF5FC44C"/>
    <w:rsid w:val="FF6EF951"/>
    <w:rsid w:val="FF7F0250"/>
    <w:rsid w:val="FFA7F894"/>
    <w:rsid w:val="FFBB2250"/>
    <w:rsid w:val="FFBE9F11"/>
    <w:rsid w:val="FFDF21F8"/>
    <w:rsid w:val="FFE69843"/>
    <w:rsid w:val="FFEE1A98"/>
    <w:rsid w:val="FFF4B944"/>
    <w:rsid w:val="FFFB0496"/>
    <w:rsid w:val="FFFB5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4"/>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批注文字 字符"/>
    <w:basedOn w:val="10"/>
    <w:link w:val="2"/>
    <w:qFormat/>
    <w:uiPriority w:val="99"/>
  </w:style>
  <w:style w:type="character" w:customStyle="1" w:styleId="13">
    <w:name w:val="批注框文本 字符"/>
    <w:basedOn w:val="10"/>
    <w:link w:val="3"/>
    <w:semiHidden/>
    <w:qFormat/>
    <w:uiPriority w:val="99"/>
    <w:rPr>
      <w:sz w:val="18"/>
      <w:szCs w:val="18"/>
    </w:rPr>
  </w:style>
  <w:style w:type="character" w:customStyle="1" w:styleId="14">
    <w:name w:val="批注主题 字符"/>
    <w:basedOn w:val="12"/>
    <w:link w:val="7"/>
    <w:semiHidden/>
    <w:qFormat/>
    <w:uiPriority w:val="99"/>
    <w:rPr>
      <w:b/>
      <w:bCs/>
    </w:rPr>
  </w:style>
  <w:style w:type="paragraph" w:styleId="15">
    <w:name w:val="List Paragraph"/>
    <w:basedOn w:val="1"/>
    <w:qFormat/>
    <w:uiPriority w:val="34"/>
    <w:pPr>
      <w:ind w:firstLine="420" w:firstLineChars="200"/>
    </w:pPr>
  </w:style>
  <w:style w:type="paragraph" w:customStyle="1" w:styleId="16">
    <w:name w:val="Table caption|1"/>
    <w:basedOn w:val="1"/>
    <w:qFormat/>
    <w:uiPriority w:val="0"/>
    <w:pPr>
      <w:spacing w:after="30"/>
      <w:jc w:val="left"/>
    </w:pPr>
    <w:rPr>
      <w:rFonts w:ascii="宋体" w:hAnsi="宋体"/>
      <w:color w:val="4C4E52"/>
      <w:sz w:val="22"/>
      <w:lang w:val="zh-TW" w:eastAsia="zh-TW" w:bidi="zh-TW"/>
    </w:rPr>
  </w:style>
  <w:style w:type="paragraph" w:customStyle="1" w:styleId="17">
    <w:name w:val="Other|1"/>
    <w:basedOn w:val="1"/>
    <w:qFormat/>
    <w:uiPriority w:val="0"/>
    <w:pPr>
      <w:jc w:val="left"/>
    </w:pPr>
    <w:rPr>
      <w:rFonts w:ascii="宋体" w:hAnsi="宋体"/>
      <w:color w:val="4C4E52"/>
      <w:sz w:val="22"/>
      <w:lang w:val="zh-TW" w:eastAsia="zh-TW" w:bidi="zh-TW"/>
    </w:rPr>
  </w:style>
  <w:style w:type="paragraph" w:customStyle="1" w:styleId="18">
    <w:name w:val="修订1"/>
    <w:unhideWhenUsed/>
    <w:qFormat/>
    <w:uiPriority w:val="99"/>
    <w:rPr>
      <w:rFonts w:ascii="等线" w:hAnsi="等线" w:eastAsia="等线" w:cs="Times New Roman"/>
      <w:kern w:val="2"/>
      <w:sz w:val="21"/>
      <w:szCs w:val="22"/>
      <w:lang w:val="en-US" w:eastAsia="zh-CN" w:bidi="ar-SA"/>
    </w:rPr>
  </w:style>
  <w:style w:type="paragraph" w:customStyle="1" w:styleId="19">
    <w:name w:val="修订2"/>
    <w:unhideWhenUsed/>
    <w:qFormat/>
    <w:uiPriority w:val="99"/>
    <w:rPr>
      <w:rFonts w:ascii="等线" w:hAnsi="等线" w:eastAsia="等线" w:cs="Times New Roman"/>
      <w:kern w:val="2"/>
      <w:sz w:val="21"/>
      <w:szCs w:val="22"/>
      <w:lang w:val="en-US" w:eastAsia="zh-CN" w:bidi="ar-SA"/>
    </w:rPr>
  </w:style>
  <w:style w:type="paragraph" w:customStyle="1" w:styleId="20">
    <w:name w:val="Revisio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6972</Words>
  <Characters>7062</Characters>
  <Lines>928</Lines>
  <Paragraphs>321</Paragraphs>
  <TotalTime>2</TotalTime>
  <ScaleCrop>false</ScaleCrop>
  <LinksUpToDate>false</LinksUpToDate>
  <CharactersWithSpaces>7567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2024-09-06T02:59:00Z</dcterms:created>
  <dc:creator>唐伟</dc:creator>
  <cp:lastModifiedBy>Admin</cp:lastModifiedBy>
  <cp:lastPrinted>2024-12-27T19:31:00Z</cp:lastPrinted>
  <dcterms:modified xsi:type="dcterms:W3CDTF">2024-12-27T16:53:14Z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3C271916341DF422FD206567B9BC04FA</vt:lpwstr>
  </property>
</Properties>
</file>