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BF" w:rsidRDefault="00BD1661" w:rsidP="00BD1661">
      <w:pPr>
        <w:pStyle w:val="a7"/>
        <w:spacing w:before="0" w:line="360" w:lineRule="auto"/>
        <w:rPr>
          <w:rFonts w:ascii="黑体" w:eastAsia="黑体" w:hAnsi="黑体"/>
          <w:sz w:val="36"/>
          <w:szCs w:val="36"/>
        </w:rPr>
      </w:pPr>
      <w:r w:rsidRPr="00BD1661">
        <w:rPr>
          <w:rFonts w:ascii="黑体" w:eastAsia="黑体" w:hAnsi="黑体" w:hint="eastAsia"/>
          <w:sz w:val="36"/>
          <w:szCs w:val="36"/>
        </w:rPr>
        <w:t>《关于加强退市风险公司2022年年度报告信息披露工作的通知》的起草说明</w:t>
      </w:r>
    </w:p>
    <w:p w:rsidR="002540BF" w:rsidRDefault="002540BF">
      <w:pPr>
        <w:widowControl/>
        <w:snapToGrid w:val="0"/>
        <w:spacing w:line="400" w:lineRule="exact"/>
        <w:rPr>
          <w:rFonts w:ascii="仿宋_GB2312" w:eastAsia="仿宋_GB2312"/>
          <w:kern w:val="0"/>
          <w:sz w:val="13"/>
          <w:szCs w:val="30"/>
        </w:rPr>
      </w:pPr>
    </w:p>
    <w:p w:rsidR="002540BF" w:rsidRPr="009D6E2F" w:rsidRDefault="0088006C">
      <w:pPr>
        <w:widowControl/>
        <w:snapToGrid w:val="0"/>
        <w:spacing w:line="600" w:lineRule="exact"/>
        <w:ind w:firstLineChars="200" w:firstLine="602"/>
        <w:rPr>
          <w:rFonts w:ascii="黑体" w:eastAsia="黑体" w:hAnsi="黑体"/>
          <w:b/>
          <w:kern w:val="0"/>
          <w:sz w:val="30"/>
          <w:szCs w:val="30"/>
        </w:rPr>
      </w:pPr>
      <w:r w:rsidRPr="009D6E2F">
        <w:rPr>
          <w:rFonts w:ascii="黑体" w:eastAsia="黑体" w:hAnsi="黑体" w:hint="eastAsia"/>
          <w:b/>
          <w:kern w:val="0"/>
          <w:sz w:val="30"/>
          <w:szCs w:val="30"/>
        </w:rPr>
        <w:t>一、</w:t>
      </w:r>
      <w:r w:rsidR="004543DD" w:rsidRPr="009D6E2F">
        <w:rPr>
          <w:rFonts w:ascii="黑体" w:eastAsia="黑体" w:hAnsi="黑体" w:hint="eastAsia"/>
          <w:b/>
          <w:kern w:val="0"/>
          <w:sz w:val="30"/>
          <w:szCs w:val="30"/>
        </w:rPr>
        <w:t>制定背景</w:t>
      </w:r>
    </w:p>
    <w:p w:rsidR="002540BF" w:rsidRDefault="0088006C" w:rsidP="00A75DD4">
      <w:pPr>
        <w:widowControl/>
        <w:snapToGrid w:val="0"/>
        <w:spacing w:line="600" w:lineRule="exact"/>
        <w:ind w:firstLineChars="200" w:firstLine="600"/>
        <w:rPr>
          <w:rFonts w:ascii="仿宋_GB2312" w:eastAsia="仿宋_GB2312"/>
          <w:kern w:val="0"/>
          <w:sz w:val="30"/>
          <w:szCs w:val="30"/>
        </w:rPr>
      </w:pPr>
      <w:r>
        <w:rPr>
          <w:rFonts w:ascii="仿宋_GB2312" w:eastAsia="仿宋_GB2312" w:hint="eastAsia"/>
          <w:kern w:val="0"/>
          <w:sz w:val="30"/>
          <w:szCs w:val="30"/>
        </w:rPr>
        <w:t>“退市</w:t>
      </w:r>
      <w:r>
        <w:rPr>
          <w:rFonts w:ascii="仿宋_GB2312" w:eastAsia="仿宋_GB2312"/>
          <w:kern w:val="0"/>
          <w:sz w:val="30"/>
          <w:szCs w:val="30"/>
        </w:rPr>
        <w:t>新规</w:t>
      </w:r>
      <w:r>
        <w:rPr>
          <w:rFonts w:ascii="仿宋_GB2312" w:eastAsia="仿宋_GB2312" w:hint="eastAsia"/>
          <w:kern w:val="0"/>
          <w:sz w:val="30"/>
          <w:szCs w:val="30"/>
        </w:rPr>
        <w:t>”</w:t>
      </w:r>
      <w:r w:rsidR="005C0342">
        <w:rPr>
          <w:rFonts w:ascii="仿宋_GB2312" w:eastAsia="仿宋_GB2312" w:hint="eastAsia"/>
          <w:kern w:val="0"/>
          <w:sz w:val="30"/>
          <w:szCs w:val="30"/>
        </w:rPr>
        <w:t>发布实施以</w:t>
      </w:r>
      <w:r>
        <w:rPr>
          <w:rFonts w:ascii="仿宋_GB2312" w:eastAsia="仿宋_GB2312" w:hint="eastAsia"/>
          <w:kern w:val="0"/>
          <w:sz w:val="30"/>
          <w:szCs w:val="30"/>
        </w:rPr>
        <w:t>来</w:t>
      </w:r>
      <w:r>
        <w:rPr>
          <w:rFonts w:ascii="仿宋_GB2312" w:eastAsia="仿宋_GB2312"/>
          <w:kern w:val="0"/>
          <w:sz w:val="30"/>
          <w:szCs w:val="30"/>
        </w:rPr>
        <w:t>，</w:t>
      </w:r>
      <w:r>
        <w:rPr>
          <w:rFonts w:ascii="仿宋_GB2312" w:eastAsia="仿宋_GB2312" w:hint="eastAsia"/>
          <w:kern w:val="0"/>
          <w:sz w:val="30"/>
          <w:szCs w:val="30"/>
        </w:rPr>
        <w:t>在中国证监会统筹指导下，沪深两</w:t>
      </w:r>
      <w:r w:rsidR="005C0342">
        <w:rPr>
          <w:rFonts w:ascii="仿宋_GB2312" w:eastAsia="仿宋_GB2312" w:hint="eastAsia"/>
          <w:kern w:val="0"/>
          <w:sz w:val="30"/>
          <w:szCs w:val="30"/>
        </w:rPr>
        <w:t>所</w:t>
      </w:r>
      <w:r w:rsidR="004543DD">
        <w:rPr>
          <w:rFonts w:ascii="仿宋_GB2312" w:eastAsia="仿宋_GB2312" w:hint="eastAsia"/>
          <w:kern w:val="0"/>
          <w:sz w:val="30"/>
          <w:szCs w:val="30"/>
        </w:rPr>
        <w:t>严格执行退市规定，</w:t>
      </w:r>
      <w:r>
        <w:rPr>
          <w:rFonts w:ascii="仿宋_GB2312" w:eastAsia="仿宋_GB2312" w:hint="eastAsia"/>
          <w:kern w:val="0"/>
          <w:sz w:val="30"/>
          <w:szCs w:val="30"/>
        </w:rPr>
        <w:t>充分发挥</w:t>
      </w:r>
      <w:r w:rsidR="004543DD">
        <w:rPr>
          <w:rFonts w:ascii="仿宋_GB2312" w:eastAsia="仿宋_GB2312" w:hint="eastAsia"/>
          <w:kern w:val="0"/>
          <w:sz w:val="30"/>
          <w:szCs w:val="30"/>
        </w:rPr>
        <w:t>各方</w:t>
      </w:r>
      <w:r>
        <w:rPr>
          <w:rFonts w:ascii="仿宋_GB2312" w:eastAsia="仿宋_GB2312" w:hint="eastAsia"/>
          <w:kern w:val="0"/>
          <w:sz w:val="30"/>
          <w:szCs w:val="30"/>
        </w:rPr>
        <w:t>监管合力，一批不具备</w:t>
      </w:r>
      <w:r>
        <w:rPr>
          <w:rFonts w:ascii="仿宋_GB2312" w:eastAsia="仿宋_GB2312"/>
          <w:kern w:val="0"/>
          <w:sz w:val="30"/>
          <w:szCs w:val="30"/>
        </w:rPr>
        <w:t>持续经营能力</w:t>
      </w:r>
      <w:r w:rsidR="005C0342">
        <w:rPr>
          <w:rFonts w:ascii="仿宋_GB2312" w:eastAsia="仿宋_GB2312" w:hint="eastAsia"/>
          <w:kern w:val="0"/>
          <w:sz w:val="30"/>
          <w:szCs w:val="30"/>
        </w:rPr>
        <w:t>、不被市场认可</w:t>
      </w:r>
      <w:r>
        <w:rPr>
          <w:rFonts w:ascii="仿宋_GB2312" w:eastAsia="仿宋_GB2312" w:hint="eastAsia"/>
          <w:kern w:val="0"/>
          <w:sz w:val="30"/>
          <w:szCs w:val="30"/>
        </w:rPr>
        <w:t>或</w:t>
      </w:r>
      <w:r w:rsidR="005C0342">
        <w:rPr>
          <w:rFonts w:ascii="仿宋_GB2312" w:eastAsia="仿宋_GB2312" w:hint="eastAsia"/>
          <w:kern w:val="0"/>
          <w:sz w:val="30"/>
          <w:szCs w:val="30"/>
        </w:rPr>
        <w:t>者</w:t>
      </w:r>
      <w:r>
        <w:rPr>
          <w:rFonts w:ascii="仿宋_GB2312" w:eastAsia="仿宋_GB2312"/>
          <w:kern w:val="0"/>
          <w:sz w:val="30"/>
          <w:szCs w:val="30"/>
        </w:rPr>
        <w:t>存在</w:t>
      </w:r>
      <w:r w:rsidR="005C0342">
        <w:rPr>
          <w:rFonts w:ascii="仿宋_GB2312" w:eastAsia="仿宋_GB2312" w:hint="eastAsia"/>
          <w:kern w:val="0"/>
          <w:sz w:val="30"/>
          <w:szCs w:val="30"/>
        </w:rPr>
        <w:t>重大违法</w:t>
      </w:r>
      <w:r>
        <w:rPr>
          <w:rFonts w:ascii="仿宋_GB2312" w:eastAsia="仿宋_GB2312"/>
          <w:kern w:val="0"/>
          <w:sz w:val="30"/>
          <w:szCs w:val="30"/>
        </w:rPr>
        <w:t>行为的公司被出清，</w:t>
      </w:r>
      <w:r>
        <w:rPr>
          <w:rFonts w:ascii="仿宋_GB2312" w:eastAsia="仿宋_GB2312" w:hint="eastAsia"/>
          <w:kern w:val="0"/>
          <w:sz w:val="30"/>
          <w:szCs w:val="30"/>
        </w:rPr>
        <w:t>“有进有出、</w:t>
      </w:r>
      <w:r>
        <w:rPr>
          <w:rFonts w:ascii="仿宋_GB2312" w:eastAsia="仿宋_GB2312"/>
          <w:kern w:val="0"/>
          <w:sz w:val="30"/>
          <w:szCs w:val="30"/>
        </w:rPr>
        <w:t>优胜劣汰</w:t>
      </w:r>
      <w:r>
        <w:rPr>
          <w:rFonts w:ascii="仿宋_GB2312" w:eastAsia="仿宋_GB2312" w:hint="eastAsia"/>
          <w:kern w:val="0"/>
          <w:sz w:val="30"/>
          <w:szCs w:val="30"/>
        </w:rPr>
        <w:t>”的常态化退市机制逐步形成。为进一步加强退市风险提示，明确与退市风险事项相关的信息披露要求，</w:t>
      </w:r>
      <w:r w:rsidR="004543DD">
        <w:rPr>
          <w:rFonts w:ascii="仿宋_GB2312" w:eastAsia="仿宋_GB2312" w:hint="eastAsia"/>
          <w:kern w:val="0"/>
          <w:sz w:val="30"/>
          <w:szCs w:val="30"/>
        </w:rPr>
        <w:t>上海证券交易</w:t>
      </w:r>
      <w:r>
        <w:rPr>
          <w:rFonts w:ascii="仿宋_GB2312" w:eastAsia="仿宋_GB2312" w:hint="eastAsia"/>
          <w:kern w:val="0"/>
          <w:sz w:val="30"/>
          <w:szCs w:val="30"/>
        </w:rPr>
        <w:t>所</w:t>
      </w:r>
      <w:r w:rsidR="004543DD">
        <w:rPr>
          <w:rFonts w:ascii="仿宋_GB2312" w:eastAsia="仿宋_GB2312" w:hint="eastAsia"/>
          <w:kern w:val="0"/>
          <w:sz w:val="30"/>
          <w:szCs w:val="30"/>
        </w:rPr>
        <w:t>（以下简称本所）</w:t>
      </w:r>
      <w:r w:rsidR="00BD1661">
        <w:rPr>
          <w:rFonts w:ascii="仿宋_GB2312" w:eastAsia="仿宋_GB2312" w:hint="eastAsia"/>
          <w:kern w:val="0"/>
          <w:sz w:val="30"/>
          <w:szCs w:val="30"/>
        </w:rPr>
        <w:t>起草</w:t>
      </w:r>
      <w:r>
        <w:rPr>
          <w:rFonts w:ascii="仿宋_GB2312" w:eastAsia="仿宋_GB2312" w:hint="eastAsia"/>
          <w:kern w:val="0"/>
          <w:sz w:val="30"/>
          <w:szCs w:val="30"/>
        </w:rPr>
        <w:t>了《</w:t>
      </w:r>
      <w:r w:rsidR="00A75DD4" w:rsidRPr="00A75DD4">
        <w:rPr>
          <w:rFonts w:ascii="仿宋_GB2312" w:eastAsia="仿宋_GB2312" w:hint="eastAsia"/>
          <w:kern w:val="0"/>
          <w:sz w:val="30"/>
          <w:szCs w:val="30"/>
        </w:rPr>
        <w:t>关于加强退市风险公司2022年年度报告信息披露工作的通知</w:t>
      </w:r>
      <w:r>
        <w:rPr>
          <w:rFonts w:ascii="仿宋_GB2312" w:eastAsia="仿宋_GB2312" w:hint="eastAsia"/>
          <w:kern w:val="0"/>
          <w:sz w:val="30"/>
          <w:szCs w:val="30"/>
        </w:rPr>
        <w:t>》（以下简称《通知》）</w:t>
      </w:r>
      <w:r w:rsidR="00A75DD4">
        <w:rPr>
          <w:rFonts w:ascii="仿宋_GB2312" w:eastAsia="仿宋_GB2312" w:hint="eastAsia"/>
          <w:kern w:val="0"/>
          <w:sz w:val="30"/>
          <w:szCs w:val="30"/>
        </w:rPr>
        <w:t>，并</w:t>
      </w:r>
      <w:r w:rsidR="00A75DD4" w:rsidRPr="00A75DD4">
        <w:rPr>
          <w:rFonts w:ascii="仿宋_GB2312" w:eastAsia="仿宋_GB2312" w:hint="eastAsia"/>
          <w:kern w:val="0"/>
          <w:sz w:val="30"/>
          <w:szCs w:val="30"/>
        </w:rPr>
        <w:t>相应修订《</w:t>
      </w:r>
      <w:r w:rsidR="00064426">
        <w:rPr>
          <w:rFonts w:ascii="仿宋_GB2312" w:eastAsia="仿宋_GB2312" w:hint="eastAsia"/>
          <w:kern w:val="0"/>
          <w:sz w:val="30"/>
          <w:szCs w:val="30"/>
        </w:rPr>
        <w:t>上海证券交易所</w:t>
      </w:r>
      <w:r w:rsidR="00A75DD4" w:rsidRPr="00A75DD4">
        <w:rPr>
          <w:rFonts w:ascii="仿宋_GB2312" w:eastAsia="仿宋_GB2312" w:hint="eastAsia"/>
          <w:kern w:val="0"/>
          <w:sz w:val="30"/>
          <w:szCs w:val="30"/>
        </w:rPr>
        <w:t>上市公司自律监管指南第1号——公告格式》</w:t>
      </w:r>
      <w:r w:rsidR="00AC6A4A" w:rsidRPr="00AC6A4A">
        <w:rPr>
          <w:rFonts w:ascii="仿宋_GB2312" w:eastAsia="仿宋_GB2312" w:hint="eastAsia"/>
          <w:kern w:val="0"/>
          <w:sz w:val="30"/>
          <w:szCs w:val="30"/>
        </w:rPr>
        <w:t>《</w:t>
      </w:r>
      <w:r w:rsidR="00064426">
        <w:rPr>
          <w:rFonts w:ascii="仿宋_GB2312" w:eastAsia="仿宋_GB2312" w:hint="eastAsia"/>
          <w:kern w:val="0"/>
          <w:sz w:val="30"/>
          <w:szCs w:val="30"/>
        </w:rPr>
        <w:t>上海证券交易所</w:t>
      </w:r>
      <w:r w:rsidR="00AC6A4A" w:rsidRPr="00AC6A4A">
        <w:rPr>
          <w:rFonts w:ascii="仿宋_GB2312" w:eastAsia="仿宋_GB2312" w:hint="eastAsia"/>
          <w:kern w:val="0"/>
          <w:sz w:val="30"/>
          <w:szCs w:val="30"/>
        </w:rPr>
        <w:t>科创板上市公司自律监管指南第5号——退市信息披露》</w:t>
      </w:r>
      <w:r w:rsidR="00A75DD4" w:rsidRPr="00A75DD4">
        <w:rPr>
          <w:rFonts w:ascii="仿宋_GB2312" w:eastAsia="仿宋_GB2312" w:hint="eastAsia"/>
          <w:kern w:val="0"/>
          <w:sz w:val="30"/>
          <w:szCs w:val="30"/>
        </w:rPr>
        <w:t>中终止上市风险提示公告格式</w:t>
      </w:r>
      <w:r>
        <w:rPr>
          <w:rFonts w:ascii="仿宋_GB2312" w:eastAsia="仿宋_GB2312" w:hint="eastAsia"/>
          <w:kern w:val="0"/>
          <w:sz w:val="30"/>
          <w:szCs w:val="30"/>
        </w:rPr>
        <w:t>。</w:t>
      </w:r>
    </w:p>
    <w:p w:rsidR="002540BF" w:rsidRPr="009D6E2F" w:rsidRDefault="0088006C">
      <w:pPr>
        <w:widowControl/>
        <w:snapToGrid w:val="0"/>
        <w:spacing w:line="600" w:lineRule="exact"/>
        <w:ind w:firstLineChars="200" w:firstLine="602"/>
        <w:rPr>
          <w:rFonts w:ascii="黑体" w:eastAsia="黑体" w:hAnsi="黑体"/>
          <w:b/>
          <w:kern w:val="0"/>
          <w:sz w:val="30"/>
          <w:szCs w:val="30"/>
        </w:rPr>
      </w:pPr>
      <w:r w:rsidRPr="009D6E2F">
        <w:rPr>
          <w:rFonts w:ascii="黑体" w:eastAsia="黑体" w:hAnsi="黑体" w:hint="eastAsia"/>
          <w:b/>
          <w:kern w:val="0"/>
          <w:sz w:val="30"/>
          <w:szCs w:val="30"/>
        </w:rPr>
        <w:t>二、</w:t>
      </w:r>
      <w:r w:rsidR="004543DD" w:rsidRPr="009D6E2F">
        <w:rPr>
          <w:rFonts w:ascii="黑体" w:eastAsia="黑体" w:hAnsi="黑体" w:hint="eastAsia"/>
          <w:b/>
          <w:kern w:val="0"/>
          <w:sz w:val="30"/>
          <w:szCs w:val="30"/>
        </w:rPr>
        <w:t>制定目标与</w:t>
      </w:r>
      <w:r w:rsidRPr="009D6E2F">
        <w:rPr>
          <w:rFonts w:ascii="黑体" w:eastAsia="黑体" w:hAnsi="黑体" w:hint="eastAsia"/>
          <w:b/>
          <w:kern w:val="0"/>
          <w:sz w:val="30"/>
          <w:szCs w:val="30"/>
        </w:rPr>
        <w:t>思路</w:t>
      </w:r>
    </w:p>
    <w:p w:rsidR="002540BF" w:rsidRDefault="0088006C">
      <w:pPr>
        <w:widowControl/>
        <w:snapToGrid w:val="0"/>
        <w:spacing w:line="600" w:lineRule="exact"/>
        <w:ind w:firstLineChars="200" w:firstLine="600"/>
        <w:rPr>
          <w:rFonts w:ascii="仿宋_GB2312" w:eastAsia="仿宋_GB2312"/>
          <w:kern w:val="0"/>
          <w:sz w:val="30"/>
          <w:szCs w:val="30"/>
        </w:rPr>
      </w:pPr>
      <w:r>
        <w:rPr>
          <w:rFonts w:ascii="仿宋_GB2312" w:eastAsia="仿宋_GB2312" w:hint="eastAsia"/>
          <w:kern w:val="0"/>
          <w:sz w:val="30"/>
          <w:szCs w:val="30"/>
        </w:rPr>
        <w:t>《通知》</w:t>
      </w:r>
      <w:r w:rsidR="00CA5CB4">
        <w:rPr>
          <w:rFonts w:ascii="仿宋_GB2312" w:eastAsia="仿宋_GB2312" w:hint="eastAsia"/>
          <w:kern w:val="0"/>
          <w:sz w:val="30"/>
          <w:szCs w:val="30"/>
        </w:rPr>
        <w:t>制定的目标</w:t>
      </w:r>
      <w:r>
        <w:rPr>
          <w:rFonts w:ascii="仿宋_GB2312" w:eastAsia="仿宋_GB2312" w:hint="eastAsia"/>
          <w:kern w:val="0"/>
          <w:sz w:val="30"/>
          <w:szCs w:val="30"/>
        </w:rPr>
        <w:t>包括三个方面，一是退市关口前移、尽早明确预期；二是严防规避退市、从严提出要求；三是充分提示风险，防止突然死亡。</w:t>
      </w:r>
    </w:p>
    <w:p w:rsidR="002540BF" w:rsidRDefault="0088006C">
      <w:pPr>
        <w:widowControl/>
        <w:snapToGrid w:val="0"/>
        <w:spacing w:line="600" w:lineRule="exact"/>
        <w:ind w:firstLineChars="200" w:firstLine="600"/>
        <w:rPr>
          <w:rFonts w:ascii="仿宋_GB2312" w:eastAsia="仿宋_GB2312"/>
          <w:kern w:val="0"/>
          <w:sz w:val="30"/>
          <w:szCs w:val="30"/>
        </w:rPr>
      </w:pPr>
      <w:r>
        <w:rPr>
          <w:rFonts w:ascii="仿宋_GB2312" w:eastAsia="仿宋_GB2312" w:hint="eastAsia"/>
          <w:kern w:val="0"/>
          <w:sz w:val="30"/>
          <w:szCs w:val="30"/>
        </w:rPr>
        <w:t>《通知》的起草思路是，以信息披露监管为抓手，以年度业绩预告披露为重要起始节点，</w:t>
      </w:r>
      <w:r w:rsidR="00A75DD4">
        <w:rPr>
          <w:rFonts w:ascii="仿宋_GB2312" w:eastAsia="仿宋_GB2312" w:hint="eastAsia"/>
          <w:kern w:val="0"/>
          <w:sz w:val="30"/>
          <w:szCs w:val="30"/>
        </w:rPr>
        <w:t>增加</w:t>
      </w:r>
      <w:r w:rsidR="00A75DD4">
        <w:rPr>
          <w:rFonts w:ascii="仿宋_GB2312" w:eastAsia="仿宋_GB2312"/>
          <w:kern w:val="0"/>
          <w:sz w:val="30"/>
          <w:szCs w:val="30"/>
        </w:rPr>
        <w:t>退市风险</w:t>
      </w:r>
      <w:r w:rsidR="00A75DD4">
        <w:rPr>
          <w:rFonts w:ascii="仿宋_GB2312" w:eastAsia="仿宋_GB2312" w:hint="eastAsia"/>
          <w:kern w:val="0"/>
          <w:sz w:val="30"/>
          <w:szCs w:val="30"/>
        </w:rPr>
        <w:t>提示</w:t>
      </w:r>
      <w:r w:rsidR="00A75DD4">
        <w:rPr>
          <w:rFonts w:ascii="仿宋_GB2312" w:eastAsia="仿宋_GB2312"/>
          <w:kern w:val="0"/>
          <w:sz w:val="30"/>
          <w:szCs w:val="30"/>
        </w:rPr>
        <w:t>频率</w:t>
      </w:r>
      <w:r w:rsidR="00A75DD4">
        <w:rPr>
          <w:rFonts w:ascii="仿宋_GB2312" w:eastAsia="仿宋_GB2312" w:hint="eastAsia"/>
          <w:kern w:val="0"/>
          <w:sz w:val="30"/>
          <w:szCs w:val="30"/>
        </w:rPr>
        <w:t>，</w:t>
      </w:r>
      <w:r w:rsidR="00CA5CB4">
        <w:rPr>
          <w:rFonts w:ascii="仿宋_GB2312" w:eastAsia="仿宋_GB2312" w:hint="eastAsia"/>
          <w:kern w:val="0"/>
          <w:sz w:val="30"/>
          <w:szCs w:val="30"/>
        </w:rPr>
        <w:t>聚焦重点风险类型强化披露</w:t>
      </w:r>
      <w:r>
        <w:rPr>
          <w:rFonts w:ascii="仿宋_GB2312" w:eastAsia="仿宋_GB2312" w:hint="eastAsia"/>
          <w:kern w:val="0"/>
          <w:sz w:val="30"/>
          <w:szCs w:val="30"/>
        </w:rPr>
        <w:t>要求，增强退市风险</w:t>
      </w:r>
      <w:r w:rsidR="00CA5CB4">
        <w:rPr>
          <w:rFonts w:ascii="仿宋_GB2312" w:eastAsia="仿宋_GB2312" w:hint="eastAsia"/>
          <w:kern w:val="0"/>
          <w:sz w:val="30"/>
          <w:szCs w:val="30"/>
        </w:rPr>
        <w:t>揭</w:t>
      </w:r>
      <w:r>
        <w:rPr>
          <w:rFonts w:ascii="仿宋_GB2312" w:eastAsia="仿宋_GB2312" w:hint="eastAsia"/>
          <w:kern w:val="0"/>
          <w:sz w:val="30"/>
          <w:szCs w:val="30"/>
        </w:rPr>
        <w:t>示的针对性和有效性；同时重点强化与退市</w:t>
      </w:r>
      <w:r w:rsidR="005C0342">
        <w:rPr>
          <w:rFonts w:ascii="仿宋_GB2312" w:eastAsia="仿宋_GB2312" w:hint="eastAsia"/>
          <w:kern w:val="0"/>
          <w:sz w:val="30"/>
          <w:szCs w:val="30"/>
        </w:rPr>
        <w:t>情形</w:t>
      </w:r>
      <w:r>
        <w:rPr>
          <w:rFonts w:ascii="仿宋_GB2312" w:eastAsia="仿宋_GB2312" w:hint="eastAsia"/>
          <w:kern w:val="0"/>
          <w:sz w:val="30"/>
          <w:szCs w:val="30"/>
        </w:rPr>
        <w:t>相关的核查事项与披露要求，通过信息披露和市场约束，督促公司及其</w:t>
      </w:r>
      <w:r w:rsidR="00064426" w:rsidRPr="00064426">
        <w:rPr>
          <w:rFonts w:ascii="仿宋_GB2312" w:eastAsia="仿宋_GB2312" w:hint="eastAsia"/>
          <w:kern w:val="0"/>
          <w:sz w:val="30"/>
          <w:szCs w:val="30"/>
        </w:rPr>
        <w:t>董事、监事、高级管理人员</w:t>
      </w:r>
      <w:r w:rsidR="00064426">
        <w:rPr>
          <w:rFonts w:ascii="仿宋_GB2312" w:eastAsia="仿宋_GB2312" w:hint="eastAsia"/>
          <w:kern w:val="0"/>
          <w:sz w:val="30"/>
          <w:szCs w:val="30"/>
        </w:rPr>
        <w:t>（以</w:t>
      </w:r>
      <w:r w:rsidR="00064426">
        <w:rPr>
          <w:rFonts w:ascii="仿宋_GB2312" w:eastAsia="仿宋_GB2312" w:hint="eastAsia"/>
          <w:kern w:val="0"/>
          <w:sz w:val="30"/>
          <w:szCs w:val="30"/>
        </w:rPr>
        <w:lastRenderedPageBreak/>
        <w:t>下</w:t>
      </w:r>
      <w:r w:rsidR="00064426">
        <w:rPr>
          <w:rFonts w:ascii="仿宋_GB2312" w:eastAsia="仿宋_GB2312"/>
          <w:kern w:val="0"/>
          <w:sz w:val="30"/>
          <w:szCs w:val="30"/>
        </w:rPr>
        <w:t>简称董监高</w:t>
      </w:r>
      <w:r w:rsidR="00064426">
        <w:rPr>
          <w:rFonts w:ascii="仿宋_GB2312" w:eastAsia="仿宋_GB2312" w:hint="eastAsia"/>
          <w:kern w:val="0"/>
          <w:sz w:val="30"/>
          <w:szCs w:val="30"/>
        </w:rPr>
        <w:t>）</w:t>
      </w:r>
      <w:r>
        <w:rPr>
          <w:rFonts w:ascii="仿宋_GB2312" w:eastAsia="仿宋_GB2312" w:hint="eastAsia"/>
          <w:kern w:val="0"/>
          <w:sz w:val="30"/>
          <w:szCs w:val="30"/>
        </w:rPr>
        <w:t>、</w:t>
      </w:r>
      <w:r w:rsidR="000D6470">
        <w:rPr>
          <w:rFonts w:ascii="仿宋_GB2312" w:eastAsia="仿宋_GB2312" w:hint="eastAsia"/>
          <w:kern w:val="0"/>
          <w:sz w:val="30"/>
          <w:szCs w:val="30"/>
        </w:rPr>
        <w:t>会计师事务所</w:t>
      </w:r>
      <w:r>
        <w:rPr>
          <w:rFonts w:ascii="仿宋_GB2312" w:eastAsia="仿宋_GB2312" w:hint="eastAsia"/>
          <w:kern w:val="0"/>
          <w:sz w:val="30"/>
          <w:szCs w:val="30"/>
        </w:rPr>
        <w:t>等主体归位尽责，严格</w:t>
      </w:r>
      <w:r w:rsidR="00CA5CB4">
        <w:rPr>
          <w:rFonts w:ascii="仿宋_GB2312" w:eastAsia="仿宋_GB2312" w:hint="eastAsia"/>
          <w:kern w:val="0"/>
          <w:sz w:val="30"/>
          <w:szCs w:val="30"/>
        </w:rPr>
        <w:t>落实</w:t>
      </w:r>
      <w:r>
        <w:rPr>
          <w:rFonts w:ascii="仿宋_GB2312" w:eastAsia="仿宋_GB2312" w:hint="eastAsia"/>
          <w:kern w:val="0"/>
          <w:sz w:val="30"/>
          <w:szCs w:val="30"/>
        </w:rPr>
        <w:t>退市规则，防止不当规避退市。</w:t>
      </w:r>
    </w:p>
    <w:p w:rsidR="002540BF" w:rsidRPr="009D6E2F" w:rsidRDefault="0088006C">
      <w:pPr>
        <w:widowControl/>
        <w:snapToGrid w:val="0"/>
        <w:spacing w:line="600" w:lineRule="exact"/>
        <w:ind w:firstLineChars="200" w:firstLine="602"/>
        <w:rPr>
          <w:rFonts w:ascii="黑体" w:eastAsia="黑体" w:hAnsi="黑体"/>
          <w:b/>
          <w:kern w:val="0"/>
          <w:sz w:val="30"/>
          <w:szCs w:val="30"/>
        </w:rPr>
      </w:pPr>
      <w:r w:rsidRPr="009D6E2F">
        <w:rPr>
          <w:rFonts w:ascii="黑体" w:eastAsia="黑体" w:hAnsi="黑体" w:hint="eastAsia"/>
          <w:b/>
          <w:kern w:val="0"/>
          <w:sz w:val="30"/>
          <w:szCs w:val="30"/>
        </w:rPr>
        <w:t>三、主要内容</w:t>
      </w:r>
    </w:p>
    <w:p w:rsidR="002540BF" w:rsidRDefault="0088006C">
      <w:pPr>
        <w:widowControl/>
        <w:snapToGrid w:val="0"/>
        <w:spacing w:line="600" w:lineRule="exact"/>
        <w:ind w:firstLineChars="200" w:firstLine="600"/>
        <w:rPr>
          <w:rFonts w:ascii="仿宋_GB2312" w:eastAsia="仿宋_GB2312"/>
          <w:kern w:val="0"/>
          <w:sz w:val="30"/>
          <w:szCs w:val="30"/>
        </w:rPr>
      </w:pPr>
      <w:r>
        <w:rPr>
          <w:rFonts w:ascii="仿宋_GB2312" w:eastAsia="仿宋_GB2312" w:hint="eastAsia"/>
          <w:kern w:val="0"/>
          <w:sz w:val="30"/>
          <w:szCs w:val="30"/>
        </w:rPr>
        <w:t>《通知》的主要内容包括四个方面：</w:t>
      </w:r>
    </w:p>
    <w:p w:rsidR="002540BF" w:rsidRPr="009D6E2F" w:rsidRDefault="0088006C">
      <w:pPr>
        <w:widowControl/>
        <w:snapToGrid w:val="0"/>
        <w:spacing w:line="600" w:lineRule="exact"/>
        <w:ind w:firstLineChars="200" w:firstLine="600"/>
        <w:rPr>
          <w:rFonts w:ascii="仿宋_GB2312" w:eastAsia="仿宋_GB2312"/>
          <w:kern w:val="0"/>
          <w:sz w:val="30"/>
          <w:szCs w:val="30"/>
        </w:rPr>
      </w:pPr>
      <w:r w:rsidRPr="009D6E2F">
        <w:rPr>
          <w:rFonts w:ascii="仿宋_GB2312" w:eastAsia="仿宋_GB2312" w:hint="eastAsia"/>
          <w:kern w:val="0"/>
          <w:sz w:val="30"/>
          <w:szCs w:val="30"/>
        </w:rPr>
        <w:t>一是</w:t>
      </w:r>
      <w:r w:rsidR="00930620">
        <w:rPr>
          <w:rFonts w:ascii="仿宋_GB2312" w:eastAsia="仿宋_GB2312" w:hint="eastAsia"/>
          <w:kern w:val="0"/>
          <w:sz w:val="30"/>
          <w:szCs w:val="30"/>
        </w:rPr>
        <w:t>督促</w:t>
      </w:r>
      <w:r w:rsidRPr="009D6E2F">
        <w:rPr>
          <w:rFonts w:ascii="仿宋_GB2312" w:eastAsia="仿宋_GB2312"/>
          <w:kern w:val="0"/>
          <w:sz w:val="30"/>
          <w:szCs w:val="30"/>
        </w:rPr>
        <w:t>公司</w:t>
      </w:r>
      <w:r w:rsidR="00064426">
        <w:rPr>
          <w:rFonts w:ascii="仿宋_GB2312" w:eastAsia="仿宋_GB2312" w:hint="eastAsia"/>
          <w:kern w:val="0"/>
          <w:sz w:val="30"/>
          <w:szCs w:val="30"/>
        </w:rPr>
        <w:t>和</w:t>
      </w:r>
      <w:r w:rsidRPr="009D6E2F">
        <w:rPr>
          <w:rFonts w:ascii="仿宋_GB2312" w:eastAsia="仿宋_GB2312"/>
          <w:kern w:val="0"/>
          <w:sz w:val="30"/>
          <w:szCs w:val="30"/>
        </w:rPr>
        <w:t>会计师</w:t>
      </w:r>
      <w:r w:rsidR="001E456A" w:rsidRPr="009D6E2F">
        <w:rPr>
          <w:rFonts w:ascii="仿宋_GB2312" w:eastAsia="仿宋_GB2312" w:hint="eastAsia"/>
          <w:kern w:val="0"/>
          <w:sz w:val="30"/>
          <w:szCs w:val="30"/>
        </w:rPr>
        <w:t>事务所</w:t>
      </w:r>
      <w:r w:rsidRPr="009D6E2F">
        <w:rPr>
          <w:rFonts w:ascii="仿宋_GB2312" w:eastAsia="仿宋_GB2312" w:hint="eastAsia"/>
          <w:kern w:val="0"/>
          <w:sz w:val="30"/>
          <w:szCs w:val="30"/>
        </w:rPr>
        <w:t>高度关注</w:t>
      </w:r>
      <w:r w:rsidRPr="009D6E2F">
        <w:rPr>
          <w:rFonts w:ascii="仿宋_GB2312" w:eastAsia="仿宋_GB2312"/>
          <w:kern w:val="0"/>
          <w:sz w:val="30"/>
          <w:szCs w:val="30"/>
        </w:rPr>
        <w:t>退市风险，</w:t>
      </w:r>
      <w:r w:rsidRPr="009D6E2F">
        <w:rPr>
          <w:rFonts w:ascii="仿宋_GB2312" w:eastAsia="仿宋_GB2312" w:hint="eastAsia"/>
          <w:kern w:val="0"/>
          <w:sz w:val="30"/>
          <w:szCs w:val="30"/>
        </w:rPr>
        <w:t>依规</w:t>
      </w:r>
      <w:r w:rsidRPr="009D6E2F">
        <w:rPr>
          <w:rFonts w:ascii="仿宋_GB2312" w:eastAsia="仿宋_GB2312"/>
          <w:kern w:val="0"/>
          <w:sz w:val="30"/>
          <w:szCs w:val="30"/>
        </w:rPr>
        <w:t>做好</w:t>
      </w:r>
      <w:r w:rsidR="00064426">
        <w:rPr>
          <w:rFonts w:ascii="仿宋_GB2312" w:eastAsia="仿宋_GB2312"/>
          <w:kern w:val="0"/>
          <w:sz w:val="30"/>
          <w:szCs w:val="30"/>
        </w:rPr>
        <w:t>年度报告</w:t>
      </w:r>
      <w:r w:rsidRPr="009D6E2F">
        <w:rPr>
          <w:rFonts w:ascii="仿宋_GB2312" w:eastAsia="仿宋_GB2312"/>
          <w:kern w:val="0"/>
          <w:sz w:val="30"/>
          <w:szCs w:val="30"/>
        </w:rPr>
        <w:t>工作。</w:t>
      </w:r>
      <w:r w:rsidRPr="00C74E10">
        <w:rPr>
          <w:rFonts w:ascii="仿宋_GB2312" w:eastAsia="仿宋_GB2312" w:hint="eastAsia"/>
          <w:kern w:val="0"/>
          <w:sz w:val="30"/>
          <w:szCs w:val="30"/>
        </w:rPr>
        <w:t>《通知》明确</w:t>
      </w:r>
      <w:r w:rsidR="00A75DD4" w:rsidRPr="00C74E10">
        <w:rPr>
          <w:rFonts w:ascii="仿宋_GB2312" w:eastAsia="仿宋_GB2312" w:hint="eastAsia"/>
          <w:kern w:val="0"/>
          <w:sz w:val="30"/>
          <w:szCs w:val="30"/>
        </w:rPr>
        <w:t>已被实施财务类退市风险警示的上市公司（以下简称退市风险公司）</w:t>
      </w:r>
      <w:r w:rsidRPr="009D6E2F">
        <w:rPr>
          <w:rFonts w:ascii="仿宋_GB2312" w:eastAsia="仿宋_GB2312"/>
          <w:kern w:val="0"/>
          <w:sz w:val="30"/>
          <w:szCs w:val="30"/>
        </w:rPr>
        <w:t>应严格</w:t>
      </w:r>
      <w:r w:rsidRPr="009D6E2F">
        <w:rPr>
          <w:rFonts w:ascii="仿宋_GB2312" w:eastAsia="仿宋_GB2312" w:hint="eastAsia"/>
          <w:kern w:val="0"/>
          <w:sz w:val="30"/>
          <w:szCs w:val="30"/>
        </w:rPr>
        <w:t>依法</w:t>
      </w:r>
      <w:r w:rsidRPr="009D6E2F">
        <w:rPr>
          <w:rFonts w:ascii="仿宋_GB2312" w:eastAsia="仿宋_GB2312"/>
          <w:kern w:val="0"/>
          <w:sz w:val="30"/>
          <w:szCs w:val="30"/>
        </w:rPr>
        <w:t>依规</w:t>
      </w:r>
      <w:r w:rsidRPr="009D6E2F">
        <w:rPr>
          <w:rFonts w:ascii="仿宋_GB2312" w:eastAsia="仿宋_GB2312" w:hint="eastAsia"/>
          <w:kern w:val="0"/>
          <w:sz w:val="30"/>
          <w:szCs w:val="30"/>
        </w:rPr>
        <w:t>组织2022年年度业绩预告、年度报告的编制和披露工作，确保财务类强制退市指标涉及的主要数据真实、准确、完整。会计师</w:t>
      </w:r>
      <w:r w:rsidR="00002382" w:rsidRPr="009D6E2F">
        <w:rPr>
          <w:rFonts w:ascii="仿宋_GB2312" w:eastAsia="仿宋_GB2312" w:hint="eastAsia"/>
          <w:kern w:val="0"/>
          <w:sz w:val="30"/>
          <w:szCs w:val="30"/>
        </w:rPr>
        <w:t>事务所</w:t>
      </w:r>
      <w:r w:rsidRPr="009D6E2F">
        <w:rPr>
          <w:rFonts w:ascii="仿宋_GB2312" w:eastAsia="仿宋_GB2312"/>
          <w:kern w:val="0"/>
          <w:sz w:val="30"/>
          <w:szCs w:val="30"/>
        </w:rPr>
        <w:t>应当</w:t>
      </w:r>
      <w:r w:rsidRPr="009D6E2F">
        <w:rPr>
          <w:rFonts w:ascii="仿宋_GB2312" w:eastAsia="仿宋_GB2312" w:hint="eastAsia"/>
          <w:kern w:val="0"/>
          <w:sz w:val="30"/>
          <w:szCs w:val="30"/>
        </w:rPr>
        <w:t>提高执业</w:t>
      </w:r>
      <w:r w:rsidRPr="009D6E2F">
        <w:rPr>
          <w:rFonts w:ascii="仿宋_GB2312" w:eastAsia="仿宋_GB2312"/>
          <w:kern w:val="0"/>
          <w:sz w:val="30"/>
          <w:szCs w:val="30"/>
        </w:rPr>
        <w:t>质量，发表</w:t>
      </w:r>
      <w:r w:rsidR="000D6470" w:rsidRPr="009D6E2F">
        <w:rPr>
          <w:rFonts w:ascii="仿宋_GB2312" w:eastAsia="仿宋_GB2312" w:hint="eastAsia"/>
          <w:kern w:val="0"/>
          <w:sz w:val="30"/>
          <w:szCs w:val="30"/>
        </w:rPr>
        <w:t>恰当的</w:t>
      </w:r>
      <w:r w:rsidRPr="009D6E2F">
        <w:rPr>
          <w:rFonts w:ascii="仿宋_GB2312" w:eastAsia="仿宋_GB2312"/>
          <w:kern w:val="0"/>
          <w:sz w:val="30"/>
          <w:szCs w:val="30"/>
        </w:rPr>
        <w:t>审计</w:t>
      </w:r>
      <w:r w:rsidRPr="009D6E2F">
        <w:rPr>
          <w:rFonts w:ascii="仿宋_GB2312" w:eastAsia="仿宋_GB2312" w:hint="eastAsia"/>
          <w:kern w:val="0"/>
          <w:sz w:val="30"/>
          <w:szCs w:val="30"/>
        </w:rPr>
        <w:t>意见</w:t>
      </w:r>
      <w:r w:rsidRPr="009D6E2F">
        <w:rPr>
          <w:rFonts w:ascii="仿宋_GB2312" w:eastAsia="仿宋_GB2312"/>
          <w:kern w:val="0"/>
          <w:sz w:val="30"/>
          <w:szCs w:val="30"/>
        </w:rPr>
        <w:t>。</w:t>
      </w:r>
    </w:p>
    <w:p w:rsidR="002540BF" w:rsidRPr="009D6E2F" w:rsidRDefault="0088006C">
      <w:pPr>
        <w:widowControl/>
        <w:snapToGrid w:val="0"/>
        <w:spacing w:line="600" w:lineRule="exact"/>
        <w:ind w:firstLineChars="200" w:firstLine="600"/>
        <w:rPr>
          <w:rFonts w:ascii="仿宋_GB2312" w:eastAsia="仿宋_GB2312"/>
          <w:kern w:val="0"/>
          <w:sz w:val="30"/>
          <w:szCs w:val="30"/>
        </w:rPr>
      </w:pPr>
      <w:r w:rsidRPr="009D6E2F">
        <w:rPr>
          <w:rFonts w:ascii="仿宋_GB2312" w:eastAsia="仿宋_GB2312" w:hint="eastAsia"/>
          <w:kern w:val="0"/>
          <w:sz w:val="30"/>
          <w:szCs w:val="30"/>
        </w:rPr>
        <w:t>二是强化</w:t>
      </w:r>
      <w:r w:rsidRPr="009D6E2F">
        <w:rPr>
          <w:rFonts w:ascii="仿宋_GB2312" w:eastAsia="仿宋_GB2312"/>
          <w:kern w:val="0"/>
          <w:sz w:val="30"/>
          <w:szCs w:val="30"/>
        </w:rPr>
        <w:t>退市风险公司信息披露要求，</w:t>
      </w:r>
      <w:r w:rsidRPr="009D6E2F">
        <w:rPr>
          <w:rFonts w:ascii="仿宋_GB2312" w:eastAsia="仿宋_GB2312" w:hint="eastAsia"/>
          <w:kern w:val="0"/>
          <w:sz w:val="30"/>
          <w:szCs w:val="30"/>
        </w:rPr>
        <w:t>增加披露时点及风险</w:t>
      </w:r>
      <w:r w:rsidRPr="009D6E2F">
        <w:rPr>
          <w:rFonts w:ascii="仿宋_GB2312" w:eastAsia="仿宋_GB2312"/>
          <w:kern w:val="0"/>
          <w:sz w:val="30"/>
          <w:szCs w:val="30"/>
        </w:rPr>
        <w:t>提示</w:t>
      </w:r>
      <w:r w:rsidRPr="009D6E2F">
        <w:rPr>
          <w:rFonts w:ascii="仿宋_GB2312" w:eastAsia="仿宋_GB2312" w:hint="eastAsia"/>
          <w:kern w:val="0"/>
          <w:sz w:val="30"/>
          <w:szCs w:val="30"/>
        </w:rPr>
        <w:t>频次</w:t>
      </w:r>
      <w:r w:rsidRPr="009D6E2F">
        <w:rPr>
          <w:rFonts w:ascii="仿宋_GB2312" w:eastAsia="仿宋_GB2312"/>
          <w:kern w:val="0"/>
          <w:sz w:val="30"/>
          <w:szCs w:val="30"/>
        </w:rPr>
        <w:t>。</w:t>
      </w:r>
      <w:r w:rsidR="00DB67BE" w:rsidRPr="00C74E10">
        <w:rPr>
          <w:rFonts w:ascii="仿宋_GB2312" w:eastAsia="仿宋_GB2312" w:hint="eastAsia"/>
          <w:kern w:val="0"/>
          <w:sz w:val="30"/>
          <w:szCs w:val="30"/>
        </w:rPr>
        <w:t>现行规则下的三次风险提示公告的频次要求可能无法充分</w:t>
      </w:r>
      <w:r w:rsidR="00CA5CB4" w:rsidRPr="00C74E10">
        <w:rPr>
          <w:rFonts w:ascii="仿宋_GB2312" w:eastAsia="仿宋_GB2312" w:hint="eastAsia"/>
          <w:kern w:val="0"/>
          <w:sz w:val="30"/>
          <w:szCs w:val="30"/>
        </w:rPr>
        <w:t>提醒</w:t>
      </w:r>
      <w:r w:rsidR="00DB67BE" w:rsidRPr="00C74E10">
        <w:rPr>
          <w:rFonts w:ascii="仿宋_GB2312" w:eastAsia="仿宋_GB2312" w:hint="eastAsia"/>
          <w:kern w:val="0"/>
          <w:sz w:val="30"/>
          <w:szCs w:val="30"/>
        </w:rPr>
        <w:t>投资者关注相关公司的退市风险。</w:t>
      </w:r>
      <w:r w:rsidR="00DB67BE" w:rsidRPr="009D6E2F">
        <w:rPr>
          <w:rFonts w:ascii="仿宋_GB2312" w:eastAsia="仿宋_GB2312" w:hint="eastAsia"/>
          <w:kern w:val="0"/>
          <w:sz w:val="30"/>
          <w:szCs w:val="30"/>
        </w:rPr>
        <w:t>为此，</w:t>
      </w:r>
      <w:r w:rsidRPr="009D6E2F">
        <w:rPr>
          <w:rFonts w:ascii="仿宋_GB2312" w:eastAsia="仿宋_GB2312" w:hint="eastAsia"/>
          <w:kern w:val="0"/>
          <w:sz w:val="30"/>
          <w:szCs w:val="30"/>
        </w:rPr>
        <w:t>《通知》要求退市</w:t>
      </w:r>
      <w:r w:rsidRPr="009D6E2F">
        <w:rPr>
          <w:rFonts w:ascii="仿宋_GB2312" w:eastAsia="仿宋_GB2312"/>
          <w:kern w:val="0"/>
          <w:sz w:val="30"/>
          <w:szCs w:val="30"/>
        </w:rPr>
        <w:t>风险</w:t>
      </w:r>
      <w:r w:rsidRPr="009D6E2F">
        <w:rPr>
          <w:rFonts w:ascii="仿宋_GB2312" w:eastAsia="仿宋_GB2312" w:hint="eastAsia"/>
          <w:kern w:val="0"/>
          <w:sz w:val="30"/>
          <w:szCs w:val="30"/>
        </w:rPr>
        <w:t>公司</w:t>
      </w:r>
      <w:r w:rsidR="00DB67BE" w:rsidRPr="009D6E2F">
        <w:rPr>
          <w:rFonts w:ascii="仿宋_GB2312" w:eastAsia="仿宋_GB2312" w:hint="eastAsia"/>
          <w:kern w:val="0"/>
          <w:sz w:val="30"/>
          <w:szCs w:val="30"/>
        </w:rPr>
        <w:t>在首次风险提示公告披露后</w:t>
      </w:r>
      <w:r w:rsidR="007A7BF2" w:rsidRPr="009D6E2F">
        <w:rPr>
          <w:rFonts w:ascii="仿宋_GB2312" w:eastAsia="仿宋_GB2312" w:hint="eastAsia"/>
          <w:kern w:val="0"/>
          <w:sz w:val="30"/>
          <w:szCs w:val="30"/>
        </w:rPr>
        <w:t>至年度报告披露前</w:t>
      </w:r>
      <w:r w:rsidR="00DB67BE" w:rsidRPr="009D6E2F">
        <w:rPr>
          <w:rFonts w:ascii="仿宋_GB2312" w:eastAsia="仿宋_GB2312" w:hint="eastAsia"/>
          <w:kern w:val="0"/>
          <w:sz w:val="30"/>
          <w:szCs w:val="30"/>
        </w:rPr>
        <w:t>，每</w:t>
      </w:r>
      <w:r w:rsidR="006A2290" w:rsidRPr="009D6E2F">
        <w:rPr>
          <w:rFonts w:ascii="仿宋_GB2312" w:eastAsia="仿宋_GB2312" w:hint="eastAsia"/>
          <w:kern w:val="0"/>
          <w:sz w:val="30"/>
          <w:szCs w:val="30"/>
        </w:rPr>
        <w:t>10</w:t>
      </w:r>
      <w:r w:rsidR="00DB67BE" w:rsidRPr="009D6E2F">
        <w:rPr>
          <w:rFonts w:ascii="仿宋_GB2312" w:eastAsia="仿宋_GB2312" w:hint="eastAsia"/>
          <w:kern w:val="0"/>
          <w:sz w:val="30"/>
          <w:szCs w:val="30"/>
        </w:rPr>
        <w:t>个交易日披露一次风险提示公告</w:t>
      </w:r>
      <w:r w:rsidR="00A75DD4" w:rsidRPr="009D6E2F">
        <w:rPr>
          <w:rFonts w:ascii="仿宋_GB2312" w:eastAsia="仿宋_GB2312" w:hint="eastAsia"/>
          <w:kern w:val="0"/>
          <w:sz w:val="30"/>
          <w:szCs w:val="30"/>
        </w:rPr>
        <w:t>。</w:t>
      </w:r>
      <w:r w:rsidR="00A75DD4" w:rsidRPr="009D6E2F">
        <w:rPr>
          <w:rFonts w:ascii="仿宋_GB2312" w:eastAsia="仿宋_GB2312"/>
          <w:kern w:val="0"/>
          <w:sz w:val="30"/>
          <w:szCs w:val="30"/>
        </w:rPr>
        <w:t>涉</w:t>
      </w:r>
      <w:r w:rsidRPr="009D6E2F">
        <w:rPr>
          <w:rFonts w:ascii="仿宋_GB2312" w:eastAsia="仿宋_GB2312" w:hint="eastAsia"/>
          <w:kern w:val="0"/>
          <w:sz w:val="30"/>
          <w:szCs w:val="30"/>
        </w:rPr>
        <w:t>及</w:t>
      </w:r>
      <w:r w:rsidR="00482A33" w:rsidRPr="009D6E2F">
        <w:rPr>
          <w:rFonts w:ascii="仿宋_GB2312" w:eastAsia="仿宋_GB2312"/>
          <w:kern w:val="0"/>
          <w:sz w:val="30"/>
          <w:szCs w:val="30"/>
        </w:rPr>
        <w:t>7</w:t>
      </w:r>
      <w:r w:rsidRPr="009D6E2F">
        <w:rPr>
          <w:rFonts w:ascii="仿宋_GB2312" w:eastAsia="仿宋_GB2312" w:hint="eastAsia"/>
          <w:kern w:val="0"/>
          <w:sz w:val="30"/>
          <w:szCs w:val="30"/>
        </w:rPr>
        <w:t>类</w:t>
      </w:r>
      <w:r w:rsidRPr="009D6E2F">
        <w:rPr>
          <w:rFonts w:ascii="仿宋_GB2312" w:eastAsia="仿宋_GB2312"/>
          <w:kern w:val="0"/>
          <w:sz w:val="30"/>
          <w:szCs w:val="30"/>
        </w:rPr>
        <w:t>风险</w:t>
      </w:r>
      <w:r w:rsidRPr="009D6E2F">
        <w:rPr>
          <w:rFonts w:ascii="仿宋_GB2312" w:eastAsia="仿宋_GB2312" w:hint="eastAsia"/>
          <w:kern w:val="0"/>
          <w:sz w:val="30"/>
          <w:szCs w:val="30"/>
        </w:rPr>
        <w:t>情形</w:t>
      </w:r>
      <w:r w:rsidRPr="009D6E2F">
        <w:rPr>
          <w:rFonts w:ascii="仿宋_GB2312" w:eastAsia="仿宋_GB2312"/>
          <w:kern w:val="0"/>
          <w:sz w:val="30"/>
          <w:szCs w:val="30"/>
        </w:rPr>
        <w:t>的公司</w:t>
      </w:r>
      <w:r w:rsidR="00A75DD4" w:rsidRPr="009D6E2F">
        <w:rPr>
          <w:rFonts w:ascii="仿宋_GB2312" w:eastAsia="仿宋_GB2312" w:hint="eastAsia"/>
          <w:kern w:val="0"/>
          <w:sz w:val="30"/>
          <w:szCs w:val="30"/>
        </w:rPr>
        <w:t>还应当</w:t>
      </w:r>
      <w:r w:rsidR="00A75DD4" w:rsidRPr="009D6E2F">
        <w:rPr>
          <w:rFonts w:ascii="仿宋_GB2312" w:eastAsia="仿宋_GB2312"/>
          <w:kern w:val="0"/>
          <w:sz w:val="30"/>
          <w:szCs w:val="30"/>
        </w:rPr>
        <w:t>在风险提示公告中进行</w:t>
      </w:r>
      <w:r w:rsidR="00A75DD4" w:rsidRPr="009D6E2F">
        <w:rPr>
          <w:rFonts w:ascii="仿宋_GB2312" w:eastAsia="仿宋_GB2312" w:hint="eastAsia"/>
          <w:kern w:val="0"/>
          <w:sz w:val="30"/>
          <w:szCs w:val="30"/>
        </w:rPr>
        <w:t>重点</w:t>
      </w:r>
      <w:r w:rsidR="00A75DD4" w:rsidRPr="009D6E2F">
        <w:rPr>
          <w:rFonts w:ascii="仿宋_GB2312" w:eastAsia="仿宋_GB2312"/>
          <w:kern w:val="0"/>
          <w:sz w:val="30"/>
          <w:szCs w:val="30"/>
        </w:rPr>
        <w:t>提示。</w:t>
      </w:r>
      <w:r w:rsidR="006A2290" w:rsidRPr="009D6E2F">
        <w:rPr>
          <w:rFonts w:ascii="仿宋_GB2312" w:eastAsia="仿宋_GB2312" w:hint="eastAsia"/>
          <w:kern w:val="0"/>
          <w:sz w:val="30"/>
          <w:szCs w:val="30"/>
        </w:rPr>
        <w:t>此外，</w:t>
      </w:r>
      <w:r w:rsidRPr="009D6E2F">
        <w:rPr>
          <w:rFonts w:ascii="仿宋_GB2312" w:eastAsia="仿宋_GB2312" w:hint="eastAsia"/>
          <w:kern w:val="0"/>
          <w:sz w:val="30"/>
          <w:szCs w:val="30"/>
        </w:rPr>
        <w:t>退市</w:t>
      </w:r>
      <w:r w:rsidR="00A75DD4" w:rsidRPr="009D6E2F">
        <w:rPr>
          <w:rFonts w:ascii="仿宋_GB2312" w:eastAsia="仿宋_GB2312" w:hint="eastAsia"/>
          <w:kern w:val="0"/>
          <w:sz w:val="30"/>
          <w:szCs w:val="30"/>
        </w:rPr>
        <w:t>风险</w:t>
      </w:r>
      <w:r w:rsidRPr="009D6E2F">
        <w:rPr>
          <w:rFonts w:ascii="仿宋_GB2312" w:eastAsia="仿宋_GB2312"/>
          <w:kern w:val="0"/>
          <w:sz w:val="30"/>
          <w:szCs w:val="30"/>
        </w:rPr>
        <w:t>公司应当</w:t>
      </w:r>
      <w:r w:rsidR="007A7BF2" w:rsidRPr="009D6E2F">
        <w:rPr>
          <w:rFonts w:ascii="仿宋_GB2312" w:eastAsia="仿宋_GB2312" w:hint="eastAsia"/>
          <w:kern w:val="0"/>
          <w:sz w:val="30"/>
          <w:szCs w:val="30"/>
        </w:rPr>
        <w:t>分别</w:t>
      </w:r>
      <w:r w:rsidRPr="009D6E2F">
        <w:rPr>
          <w:rFonts w:ascii="仿宋_GB2312" w:eastAsia="仿宋_GB2312"/>
          <w:kern w:val="0"/>
          <w:sz w:val="30"/>
          <w:szCs w:val="30"/>
        </w:rPr>
        <w:t>在</w:t>
      </w:r>
      <w:r w:rsidR="00064426">
        <w:rPr>
          <w:rFonts w:ascii="仿宋_GB2312" w:eastAsia="仿宋_GB2312" w:hint="eastAsia"/>
          <w:kern w:val="0"/>
          <w:sz w:val="30"/>
          <w:szCs w:val="30"/>
        </w:rPr>
        <w:t>年度报告</w:t>
      </w:r>
      <w:r w:rsidR="00A75DD4" w:rsidRPr="009D6E2F">
        <w:rPr>
          <w:rFonts w:ascii="仿宋_GB2312" w:eastAsia="仿宋_GB2312" w:hint="eastAsia"/>
          <w:kern w:val="0"/>
          <w:sz w:val="30"/>
          <w:szCs w:val="30"/>
        </w:rPr>
        <w:t>预约披露日前</w:t>
      </w:r>
      <w:r w:rsidR="006A2290" w:rsidRPr="009D6E2F">
        <w:rPr>
          <w:rFonts w:ascii="仿宋_GB2312" w:eastAsia="仿宋_GB2312" w:hint="eastAsia"/>
          <w:kern w:val="0"/>
          <w:sz w:val="30"/>
          <w:szCs w:val="30"/>
        </w:rPr>
        <w:t>20</w:t>
      </w:r>
      <w:r w:rsidR="00A75DD4" w:rsidRPr="009D6E2F">
        <w:rPr>
          <w:rFonts w:ascii="仿宋_GB2312" w:eastAsia="仿宋_GB2312" w:hint="eastAsia"/>
          <w:kern w:val="0"/>
          <w:sz w:val="30"/>
          <w:szCs w:val="30"/>
        </w:rPr>
        <w:t>个交易日和</w:t>
      </w:r>
      <w:r w:rsidR="006A2290" w:rsidRPr="009D6E2F">
        <w:rPr>
          <w:rFonts w:ascii="仿宋_GB2312" w:eastAsia="仿宋_GB2312" w:hint="eastAsia"/>
          <w:kern w:val="0"/>
          <w:sz w:val="30"/>
          <w:szCs w:val="30"/>
        </w:rPr>
        <w:t>10</w:t>
      </w:r>
      <w:r w:rsidR="00A75DD4" w:rsidRPr="009D6E2F">
        <w:rPr>
          <w:rFonts w:ascii="仿宋_GB2312" w:eastAsia="仿宋_GB2312" w:hint="eastAsia"/>
          <w:kern w:val="0"/>
          <w:sz w:val="30"/>
          <w:szCs w:val="30"/>
        </w:rPr>
        <w:t>个交易日</w:t>
      </w:r>
      <w:r w:rsidRPr="009D6E2F">
        <w:rPr>
          <w:rFonts w:ascii="仿宋_GB2312" w:eastAsia="仿宋_GB2312" w:hint="eastAsia"/>
          <w:kern w:val="0"/>
          <w:sz w:val="30"/>
          <w:szCs w:val="30"/>
        </w:rPr>
        <w:t>披露</w:t>
      </w:r>
      <w:r w:rsidR="00064426">
        <w:rPr>
          <w:rFonts w:ascii="仿宋_GB2312" w:eastAsia="仿宋_GB2312" w:hint="eastAsia"/>
          <w:kern w:val="0"/>
          <w:sz w:val="30"/>
          <w:szCs w:val="30"/>
        </w:rPr>
        <w:t>年度报告</w:t>
      </w:r>
      <w:r w:rsidRPr="009D6E2F">
        <w:rPr>
          <w:rFonts w:ascii="仿宋_GB2312" w:eastAsia="仿宋_GB2312" w:hint="eastAsia"/>
          <w:kern w:val="0"/>
          <w:sz w:val="30"/>
          <w:szCs w:val="30"/>
        </w:rPr>
        <w:t>编制进展情况</w:t>
      </w:r>
      <w:r w:rsidR="00CC5F36" w:rsidRPr="009D6E2F">
        <w:rPr>
          <w:rFonts w:ascii="仿宋_GB2312" w:eastAsia="仿宋_GB2312" w:hint="eastAsia"/>
          <w:kern w:val="0"/>
          <w:sz w:val="30"/>
          <w:szCs w:val="30"/>
        </w:rPr>
        <w:t>。</w:t>
      </w:r>
      <w:r w:rsidR="00556F0C" w:rsidRPr="009D6E2F">
        <w:rPr>
          <w:rFonts w:ascii="仿宋_GB2312" w:eastAsia="仿宋_GB2312" w:hint="eastAsia"/>
          <w:kern w:val="0"/>
          <w:sz w:val="30"/>
          <w:szCs w:val="30"/>
        </w:rPr>
        <w:t>对于就审计意见等事项与公司存在重大分歧的，</w:t>
      </w:r>
      <w:r w:rsidR="007A7BF2" w:rsidRPr="009D6E2F">
        <w:rPr>
          <w:rFonts w:ascii="仿宋_GB2312" w:eastAsia="仿宋_GB2312" w:hint="eastAsia"/>
          <w:kern w:val="0"/>
          <w:sz w:val="30"/>
          <w:szCs w:val="30"/>
        </w:rPr>
        <w:t>会计师事务所</w:t>
      </w:r>
      <w:r w:rsidR="00F3057C" w:rsidRPr="009D6E2F">
        <w:rPr>
          <w:rFonts w:ascii="仿宋_GB2312" w:eastAsia="仿宋_GB2312" w:hint="eastAsia"/>
          <w:kern w:val="0"/>
          <w:sz w:val="30"/>
          <w:szCs w:val="30"/>
        </w:rPr>
        <w:t>可以</w:t>
      </w:r>
      <w:r w:rsidR="006A2290" w:rsidRPr="009D6E2F">
        <w:rPr>
          <w:rFonts w:ascii="仿宋_GB2312" w:eastAsia="仿宋_GB2312" w:hint="eastAsia"/>
          <w:kern w:val="0"/>
          <w:sz w:val="30"/>
          <w:szCs w:val="30"/>
        </w:rPr>
        <w:t>向本所</w:t>
      </w:r>
      <w:r w:rsidR="00A75DD4" w:rsidRPr="009D6E2F">
        <w:rPr>
          <w:rFonts w:ascii="仿宋_GB2312" w:eastAsia="仿宋_GB2312"/>
          <w:kern w:val="0"/>
          <w:sz w:val="30"/>
          <w:szCs w:val="30"/>
        </w:rPr>
        <w:t>出具专项说明，</w:t>
      </w:r>
      <w:r w:rsidR="006A2290" w:rsidRPr="009D6E2F">
        <w:rPr>
          <w:rFonts w:ascii="仿宋_GB2312" w:eastAsia="仿宋_GB2312" w:hint="eastAsia"/>
          <w:kern w:val="0"/>
          <w:sz w:val="30"/>
          <w:szCs w:val="30"/>
        </w:rPr>
        <w:t>披露</w:t>
      </w:r>
      <w:r w:rsidR="00DB67BE" w:rsidRPr="009D6E2F">
        <w:rPr>
          <w:rFonts w:ascii="仿宋_GB2312" w:eastAsia="仿宋_GB2312" w:hint="eastAsia"/>
          <w:kern w:val="0"/>
          <w:sz w:val="30"/>
          <w:szCs w:val="30"/>
        </w:rPr>
        <w:t>具体分歧及审计进展等情况</w:t>
      </w:r>
      <w:r w:rsidRPr="009D6E2F">
        <w:rPr>
          <w:rFonts w:ascii="仿宋_GB2312" w:eastAsia="仿宋_GB2312" w:hint="eastAsia"/>
          <w:kern w:val="0"/>
          <w:sz w:val="30"/>
          <w:szCs w:val="30"/>
        </w:rPr>
        <w:t>。</w:t>
      </w:r>
    </w:p>
    <w:p w:rsidR="002540BF" w:rsidRPr="009D6E2F" w:rsidRDefault="0088006C">
      <w:pPr>
        <w:widowControl/>
        <w:snapToGrid w:val="0"/>
        <w:spacing w:line="600" w:lineRule="exact"/>
        <w:ind w:firstLineChars="200" w:firstLine="600"/>
        <w:rPr>
          <w:rFonts w:ascii="仿宋_GB2312" w:eastAsia="仿宋_GB2312"/>
          <w:kern w:val="0"/>
          <w:sz w:val="30"/>
          <w:szCs w:val="30"/>
        </w:rPr>
      </w:pPr>
      <w:r w:rsidRPr="009D6E2F">
        <w:rPr>
          <w:rFonts w:ascii="仿宋_GB2312" w:eastAsia="仿宋_GB2312" w:hint="eastAsia"/>
          <w:kern w:val="0"/>
          <w:sz w:val="30"/>
          <w:szCs w:val="30"/>
        </w:rPr>
        <w:t>三是总结</w:t>
      </w:r>
      <w:r w:rsidR="00064426">
        <w:rPr>
          <w:rFonts w:ascii="仿宋_GB2312" w:eastAsia="仿宋_GB2312" w:hint="eastAsia"/>
          <w:kern w:val="0"/>
          <w:sz w:val="30"/>
          <w:szCs w:val="30"/>
        </w:rPr>
        <w:t>4</w:t>
      </w:r>
      <w:r w:rsidRPr="009D6E2F">
        <w:rPr>
          <w:rFonts w:ascii="仿宋_GB2312" w:eastAsia="仿宋_GB2312" w:hint="eastAsia"/>
          <w:kern w:val="0"/>
          <w:sz w:val="30"/>
          <w:szCs w:val="30"/>
        </w:rPr>
        <w:t>大类</w:t>
      </w:r>
      <w:r w:rsidR="00CC5F36" w:rsidRPr="009D6E2F">
        <w:rPr>
          <w:rFonts w:ascii="仿宋_GB2312" w:eastAsia="仿宋_GB2312" w:hint="eastAsia"/>
          <w:kern w:val="0"/>
          <w:sz w:val="30"/>
          <w:szCs w:val="30"/>
        </w:rPr>
        <w:t>重点关注</w:t>
      </w:r>
      <w:r w:rsidRPr="009D6E2F">
        <w:rPr>
          <w:rFonts w:ascii="仿宋_GB2312" w:eastAsia="仿宋_GB2312"/>
          <w:kern w:val="0"/>
          <w:sz w:val="30"/>
          <w:szCs w:val="30"/>
        </w:rPr>
        <w:t>事项</w:t>
      </w:r>
      <w:r w:rsidR="00CC5F36" w:rsidRPr="009D6E2F">
        <w:rPr>
          <w:rFonts w:ascii="仿宋_GB2312" w:eastAsia="仿宋_GB2312" w:hint="eastAsia"/>
          <w:kern w:val="0"/>
          <w:sz w:val="30"/>
          <w:szCs w:val="30"/>
        </w:rPr>
        <w:t>，明确监管要求</w:t>
      </w:r>
      <w:r w:rsidRPr="009D6E2F">
        <w:rPr>
          <w:rFonts w:ascii="仿宋_GB2312" w:eastAsia="仿宋_GB2312" w:hint="eastAsia"/>
          <w:kern w:val="0"/>
          <w:sz w:val="30"/>
          <w:szCs w:val="30"/>
        </w:rPr>
        <w:t>。</w:t>
      </w:r>
      <w:r w:rsidR="00CC5F36" w:rsidRPr="00C74E10">
        <w:rPr>
          <w:rFonts w:ascii="仿宋_GB2312" w:eastAsia="仿宋_GB2312" w:hint="eastAsia"/>
          <w:kern w:val="0"/>
          <w:sz w:val="30"/>
          <w:szCs w:val="30"/>
        </w:rPr>
        <w:t>营业收入扣除金额确认、非经常性损益认定、审计意见类型</w:t>
      </w:r>
      <w:r w:rsidR="00064426">
        <w:rPr>
          <w:rFonts w:ascii="仿宋_GB2312" w:eastAsia="仿宋_GB2312" w:hint="eastAsia"/>
          <w:kern w:val="0"/>
          <w:sz w:val="30"/>
          <w:szCs w:val="30"/>
        </w:rPr>
        <w:t>和</w:t>
      </w:r>
      <w:r w:rsidR="00CC5F36" w:rsidRPr="00C74E10">
        <w:rPr>
          <w:rFonts w:ascii="仿宋_GB2312" w:eastAsia="仿宋_GB2312" w:hint="eastAsia"/>
          <w:kern w:val="0"/>
          <w:sz w:val="30"/>
          <w:szCs w:val="30"/>
        </w:rPr>
        <w:t>其他不当“保壳”交易或异常财务处理等事项</w:t>
      </w:r>
      <w:r w:rsidR="009C30B8" w:rsidRPr="00C74E10">
        <w:rPr>
          <w:rFonts w:ascii="仿宋_GB2312" w:eastAsia="仿宋_GB2312" w:hint="eastAsia"/>
          <w:kern w:val="0"/>
          <w:sz w:val="30"/>
          <w:szCs w:val="30"/>
        </w:rPr>
        <w:t>，</w:t>
      </w:r>
      <w:r w:rsidR="00CC5F36" w:rsidRPr="00C74E10">
        <w:rPr>
          <w:rFonts w:ascii="仿宋_GB2312" w:eastAsia="仿宋_GB2312" w:hint="eastAsia"/>
          <w:kern w:val="0"/>
          <w:sz w:val="30"/>
          <w:szCs w:val="30"/>
        </w:rPr>
        <w:t>是</w:t>
      </w:r>
      <w:r w:rsidR="009C30B8" w:rsidRPr="009D6E2F">
        <w:rPr>
          <w:rFonts w:ascii="仿宋_GB2312" w:eastAsia="仿宋_GB2312" w:hint="eastAsia"/>
          <w:kern w:val="0"/>
          <w:sz w:val="30"/>
          <w:szCs w:val="30"/>
        </w:rPr>
        <w:t>关系</w:t>
      </w:r>
      <w:r w:rsidR="00CC5F36" w:rsidRPr="009D6E2F">
        <w:rPr>
          <w:rFonts w:ascii="仿宋_GB2312" w:eastAsia="仿宋_GB2312" w:hint="eastAsia"/>
          <w:kern w:val="0"/>
          <w:sz w:val="30"/>
          <w:szCs w:val="30"/>
        </w:rPr>
        <w:t>退市</w:t>
      </w:r>
      <w:r w:rsidR="009C30B8" w:rsidRPr="009D6E2F">
        <w:rPr>
          <w:rFonts w:ascii="仿宋_GB2312" w:eastAsia="仿宋_GB2312" w:hint="eastAsia"/>
          <w:kern w:val="0"/>
          <w:sz w:val="30"/>
          <w:szCs w:val="30"/>
        </w:rPr>
        <w:t>与否</w:t>
      </w:r>
      <w:r w:rsidR="00CC5F36" w:rsidRPr="009D6E2F">
        <w:rPr>
          <w:rFonts w:ascii="仿宋_GB2312" w:eastAsia="仿宋_GB2312" w:hint="eastAsia"/>
          <w:kern w:val="0"/>
          <w:sz w:val="30"/>
          <w:szCs w:val="30"/>
        </w:rPr>
        <w:t>的重点</w:t>
      </w:r>
      <w:r w:rsidR="009C30B8" w:rsidRPr="009D6E2F">
        <w:rPr>
          <w:rFonts w:ascii="仿宋_GB2312" w:eastAsia="仿宋_GB2312" w:hint="eastAsia"/>
          <w:kern w:val="0"/>
          <w:sz w:val="30"/>
          <w:szCs w:val="30"/>
        </w:rPr>
        <w:t>环节</w:t>
      </w:r>
      <w:r w:rsidR="00CC5F36" w:rsidRPr="009D6E2F">
        <w:rPr>
          <w:rFonts w:ascii="仿宋_GB2312" w:eastAsia="仿宋_GB2312" w:hint="eastAsia"/>
          <w:kern w:val="0"/>
          <w:sz w:val="30"/>
          <w:szCs w:val="30"/>
        </w:rPr>
        <w:t>和</w:t>
      </w:r>
      <w:r w:rsidR="009C30B8" w:rsidRPr="009D6E2F">
        <w:rPr>
          <w:rFonts w:ascii="仿宋_GB2312" w:eastAsia="仿宋_GB2312" w:hint="eastAsia"/>
          <w:kern w:val="0"/>
          <w:sz w:val="30"/>
          <w:szCs w:val="30"/>
        </w:rPr>
        <w:lastRenderedPageBreak/>
        <w:t>关键事项</w:t>
      </w:r>
      <w:r w:rsidR="00CC5F36" w:rsidRPr="009D6E2F">
        <w:rPr>
          <w:rFonts w:ascii="仿宋_GB2312" w:eastAsia="仿宋_GB2312" w:hint="eastAsia"/>
          <w:kern w:val="0"/>
          <w:sz w:val="30"/>
          <w:szCs w:val="30"/>
        </w:rPr>
        <w:t>。为此，《通知》</w:t>
      </w:r>
      <w:r w:rsidRPr="009D6E2F">
        <w:rPr>
          <w:rFonts w:ascii="仿宋_GB2312" w:eastAsia="仿宋_GB2312" w:hint="eastAsia"/>
          <w:kern w:val="0"/>
          <w:sz w:val="30"/>
          <w:szCs w:val="30"/>
        </w:rPr>
        <w:t>要求退市风险公司在</w:t>
      </w:r>
      <w:r w:rsidRPr="009D6E2F">
        <w:rPr>
          <w:rFonts w:ascii="仿宋_GB2312" w:eastAsia="仿宋_GB2312"/>
          <w:kern w:val="0"/>
          <w:sz w:val="30"/>
          <w:szCs w:val="30"/>
        </w:rPr>
        <w:t>收入确认真实</w:t>
      </w:r>
      <w:r w:rsidRPr="009D6E2F">
        <w:rPr>
          <w:rFonts w:ascii="仿宋_GB2312" w:eastAsia="仿宋_GB2312" w:hint="eastAsia"/>
          <w:kern w:val="0"/>
          <w:sz w:val="30"/>
          <w:szCs w:val="30"/>
        </w:rPr>
        <w:t>合规</w:t>
      </w:r>
      <w:r w:rsidRPr="009D6E2F">
        <w:rPr>
          <w:rFonts w:ascii="仿宋_GB2312" w:eastAsia="仿宋_GB2312"/>
          <w:kern w:val="0"/>
          <w:sz w:val="30"/>
          <w:szCs w:val="30"/>
        </w:rPr>
        <w:t>的基础上</w:t>
      </w:r>
      <w:r w:rsidRPr="009D6E2F">
        <w:rPr>
          <w:rFonts w:ascii="仿宋_GB2312" w:eastAsia="仿宋_GB2312" w:hint="eastAsia"/>
          <w:kern w:val="0"/>
          <w:sz w:val="30"/>
          <w:szCs w:val="30"/>
        </w:rPr>
        <w:t>依规进行营业收入扣除，严格按照相关规定认定非经常性损益项目，高度关注上期非标准审计意见涉及事项在本期的进展情况并配合会计师事务所的工作，同时审慎处理</w:t>
      </w:r>
      <w:r w:rsidR="000875CB" w:rsidRPr="009D6E2F">
        <w:rPr>
          <w:rFonts w:ascii="仿宋_GB2312" w:eastAsia="仿宋_GB2312" w:hint="eastAsia"/>
          <w:kern w:val="0"/>
          <w:sz w:val="30"/>
          <w:szCs w:val="30"/>
        </w:rPr>
        <w:t>“</w:t>
      </w:r>
      <w:r w:rsidRPr="009D6E2F">
        <w:rPr>
          <w:rFonts w:ascii="仿宋_GB2312" w:eastAsia="仿宋_GB2312" w:hint="eastAsia"/>
          <w:kern w:val="0"/>
          <w:sz w:val="30"/>
          <w:szCs w:val="30"/>
        </w:rPr>
        <w:t>保壳</w:t>
      </w:r>
      <w:r w:rsidR="000875CB" w:rsidRPr="009D6E2F">
        <w:rPr>
          <w:rFonts w:ascii="仿宋_GB2312" w:eastAsia="仿宋_GB2312" w:hint="eastAsia"/>
          <w:kern w:val="0"/>
          <w:sz w:val="30"/>
          <w:szCs w:val="30"/>
        </w:rPr>
        <w:t>”</w:t>
      </w:r>
      <w:r w:rsidRPr="009D6E2F">
        <w:rPr>
          <w:rFonts w:ascii="仿宋_GB2312" w:eastAsia="仿宋_GB2312" w:hint="eastAsia"/>
          <w:kern w:val="0"/>
          <w:sz w:val="30"/>
          <w:szCs w:val="30"/>
        </w:rPr>
        <w:t>交易，依规</w:t>
      </w:r>
      <w:r w:rsidRPr="009D6E2F">
        <w:rPr>
          <w:rFonts w:ascii="仿宋_GB2312" w:eastAsia="仿宋_GB2312"/>
          <w:kern w:val="0"/>
          <w:sz w:val="30"/>
          <w:szCs w:val="30"/>
        </w:rPr>
        <w:t>进行会计处理</w:t>
      </w:r>
      <w:r w:rsidRPr="009D6E2F">
        <w:rPr>
          <w:rFonts w:ascii="仿宋_GB2312" w:eastAsia="仿宋_GB2312" w:hint="eastAsia"/>
          <w:kern w:val="0"/>
          <w:sz w:val="30"/>
          <w:szCs w:val="30"/>
        </w:rPr>
        <w:t>，</w:t>
      </w:r>
      <w:r w:rsidRPr="009D6E2F">
        <w:rPr>
          <w:rFonts w:ascii="仿宋_GB2312" w:eastAsia="仿宋_GB2312"/>
          <w:kern w:val="0"/>
          <w:sz w:val="30"/>
          <w:szCs w:val="30"/>
        </w:rPr>
        <w:t>不得通过虚增收入、违规确认</w:t>
      </w:r>
      <w:r w:rsidRPr="009D6E2F">
        <w:rPr>
          <w:rFonts w:ascii="仿宋_GB2312" w:eastAsia="仿宋_GB2312" w:hint="eastAsia"/>
          <w:kern w:val="0"/>
          <w:sz w:val="30"/>
          <w:szCs w:val="30"/>
        </w:rPr>
        <w:t>收</w:t>
      </w:r>
      <w:r w:rsidRPr="009D6E2F">
        <w:rPr>
          <w:rFonts w:ascii="仿宋_GB2312" w:eastAsia="仿宋_GB2312"/>
          <w:kern w:val="0"/>
          <w:sz w:val="30"/>
          <w:szCs w:val="30"/>
        </w:rPr>
        <w:t>益等方式规避退市</w:t>
      </w:r>
      <w:r w:rsidRPr="009D6E2F">
        <w:rPr>
          <w:rFonts w:ascii="仿宋_GB2312" w:eastAsia="仿宋_GB2312" w:hint="eastAsia"/>
          <w:kern w:val="0"/>
          <w:sz w:val="30"/>
          <w:szCs w:val="30"/>
        </w:rPr>
        <w:t>。</w:t>
      </w:r>
    </w:p>
    <w:p w:rsidR="002540BF" w:rsidRDefault="0088006C">
      <w:pPr>
        <w:widowControl/>
        <w:snapToGrid w:val="0"/>
        <w:spacing w:line="600" w:lineRule="exact"/>
        <w:ind w:firstLineChars="200" w:firstLine="600"/>
        <w:rPr>
          <w:rFonts w:ascii="仿宋_GB2312" w:eastAsia="仿宋_GB2312" w:hAnsi="宋体" w:cs="宋体"/>
          <w:kern w:val="0"/>
          <w:sz w:val="30"/>
          <w:szCs w:val="30"/>
        </w:rPr>
      </w:pPr>
      <w:r w:rsidRPr="009D6E2F">
        <w:rPr>
          <w:rFonts w:ascii="仿宋_GB2312" w:eastAsia="仿宋_GB2312" w:hint="eastAsia"/>
          <w:kern w:val="0"/>
          <w:sz w:val="30"/>
          <w:szCs w:val="30"/>
        </w:rPr>
        <w:t>四是明确董</w:t>
      </w:r>
      <w:bookmarkStart w:id="0" w:name="_GoBack"/>
      <w:bookmarkEnd w:id="0"/>
      <w:r w:rsidRPr="009D6E2F">
        <w:rPr>
          <w:rFonts w:ascii="仿宋_GB2312" w:eastAsia="仿宋_GB2312" w:hint="eastAsia"/>
          <w:kern w:val="0"/>
          <w:sz w:val="30"/>
          <w:szCs w:val="30"/>
        </w:rPr>
        <w:t>监高</w:t>
      </w:r>
      <w:r w:rsidRPr="009D6E2F">
        <w:rPr>
          <w:rFonts w:ascii="仿宋_GB2312" w:eastAsia="仿宋_GB2312"/>
          <w:kern w:val="0"/>
          <w:sz w:val="30"/>
          <w:szCs w:val="30"/>
        </w:rPr>
        <w:t>及会计师</w:t>
      </w:r>
      <w:r w:rsidR="001E456A" w:rsidRPr="009D6E2F">
        <w:rPr>
          <w:rFonts w:ascii="仿宋_GB2312" w:eastAsia="仿宋_GB2312" w:hint="eastAsia"/>
          <w:kern w:val="0"/>
          <w:sz w:val="30"/>
          <w:szCs w:val="30"/>
        </w:rPr>
        <w:t>事务所</w:t>
      </w:r>
      <w:r w:rsidRPr="009D6E2F">
        <w:rPr>
          <w:rFonts w:ascii="仿宋_GB2312" w:eastAsia="仿宋_GB2312" w:hint="eastAsia"/>
          <w:kern w:val="0"/>
          <w:sz w:val="30"/>
          <w:szCs w:val="30"/>
        </w:rPr>
        <w:t>履职</w:t>
      </w:r>
      <w:r w:rsidRPr="009D6E2F">
        <w:rPr>
          <w:rFonts w:ascii="仿宋_GB2312" w:eastAsia="仿宋_GB2312"/>
          <w:kern w:val="0"/>
          <w:sz w:val="30"/>
          <w:szCs w:val="30"/>
        </w:rPr>
        <w:t>要求，</w:t>
      </w:r>
      <w:r w:rsidRPr="009D6E2F">
        <w:rPr>
          <w:rFonts w:ascii="仿宋_GB2312" w:eastAsia="仿宋_GB2312" w:hint="eastAsia"/>
          <w:kern w:val="0"/>
          <w:sz w:val="30"/>
          <w:szCs w:val="30"/>
        </w:rPr>
        <w:t>督促相关方归位尽责</w:t>
      </w:r>
      <w:r w:rsidRPr="009D6E2F">
        <w:rPr>
          <w:rFonts w:ascii="仿宋_GB2312" w:eastAsia="仿宋_GB2312"/>
          <w:kern w:val="0"/>
          <w:sz w:val="30"/>
          <w:szCs w:val="30"/>
        </w:rPr>
        <w:t>。</w:t>
      </w:r>
      <w:r w:rsidRPr="00C74E10">
        <w:rPr>
          <w:rFonts w:ascii="仿宋_GB2312" w:eastAsia="仿宋_GB2312" w:hAnsi="仿宋_GB2312" w:cs="仿宋_GB2312" w:hint="eastAsia"/>
          <w:sz w:val="30"/>
          <w:szCs w:val="30"/>
        </w:rPr>
        <w:t>针对</w:t>
      </w:r>
      <w:r w:rsidRPr="00C74E10">
        <w:rPr>
          <w:rFonts w:ascii="仿宋_GB2312" w:eastAsia="仿宋_GB2312" w:hAnsi="仿宋_GB2312" w:cs="仿宋_GB2312"/>
          <w:sz w:val="30"/>
          <w:szCs w:val="30"/>
        </w:rPr>
        <w:t>实践中</w:t>
      </w:r>
      <w:r w:rsidRPr="009D6E2F">
        <w:rPr>
          <w:rFonts w:ascii="仿宋_GB2312" w:eastAsia="仿宋_GB2312" w:hAnsi="仿宋_GB2312" w:cs="仿宋_GB2312" w:hint="eastAsia"/>
          <w:sz w:val="30"/>
          <w:szCs w:val="30"/>
        </w:rPr>
        <w:t>退市</w:t>
      </w:r>
      <w:r w:rsidRPr="009D6E2F">
        <w:rPr>
          <w:rFonts w:ascii="仿宋_GB2312" w:eastAsia="仿宋_GB2312" w:hAnsi="仿宋_GB2312" w:cs="仿宋_GB2312"/>
          <w:sz w:val="30"/>
          <w:szCs w:val="30"/>
        </w:rPr>
        <w:t>风险公司</w:t>
      </w:r>
      <w:r w:rsidRPr="009D6E2F">
        <w:rPr>
          <w:rFonts w:ascii="仿宋_GB2312" w:eastAsia="仿宋_GB2312" w:hAnsi="仿宋_GB2312" w:cs="仿宋_GB2312" w:hint="eastAsia"/>
          <w:sz w:val="30"/>
          <w:szCs w:val="30"/>
        </w:rPr>
        <w:t>部分董监高及</w:t>
      </w:r>
      <w:r w:rsidRPr="009D6E2F">
        <w:rPr>
          <w:rFonts w:ascii="仿宋_GB2312" w:eastAsia="仿宋_GB2312" w:hAnsi="仿宋_GB2312" w:cs="仿宋_GB2312"/>
          <w:sz w:val="30"/>
          <w:szCs w:val="30"/>
        </w:rPr>
        <w:t>会计师</w:t>
      </w:r>
      <w:r w:rsidR="001E456A" w:rsidRPr="009D6E2F">
        <w:rPr>
          <w:rFonts w:ascii="仿宋_GB2312" w:eastAsia="仿宋_GB2312" w:hAnsi="仿宋_GB2312" w:cs="仿宋_GB2312" w:hint="eastAsia"/>
          <w:sz w:val="30"/>
          <w:szCs w:val="30"/>
        </w:rPr>
        <w:t>事务所</w:t>
      </w:r>
      <w:r w:rsidRPr="009D6E2F">
        <w:rPr>
          <w:rFonts w:ascii="仿宋_GB2312" w:eastAsia="仿宋_GB2312" w:hAnsi="仿宋_GB2312" w:cs="仿宋_GB2312"/>
          <w:sz w:val="30"/>
          <w:szCs w:val="30"/>
        </w:rPr>
        <w:t>职责履行不到位的情况，《</w:t>
      </w:r>
      <w:r w:rsidRPr="009D6E2F">
        <w:rPr>
          <w:rFonts w:ascii="仿宋_GB2312" w:eastAsia="仿宋_GB2312" w:hAnsi="仿宋_GB2312" w:cs="仿宋_GB2312" w:hint="eastAsia"/>
          <w:sz w:val="30"/>
          <w:szCs w:val="30"/>
        </w:rPr>
        <w:t>通知</w:t>
      </w:r>
      <w:r w:rsidRPr="009D6E2F">
        <w:rPr>
          <w:rFonts w:ascii="仿宋_GB2312" w:eastAsia="仿宋_GB2312" w:hAnsi="仿宋_GB2312" w:cs="仿宋_GB2312"/>
          <w:sz w:val="30"/>
          <w:szCs w:val="30"/>
        </w:rPr>
        <w:t>》</w:t>
      </w:r>
      <w:r w:rsidRPr="009D6E2F">
        <w:rPr>
          <w:rFonts w:ascii="仿宋_GB2312" w:eastAsia="仿宋_GB2312" w:hAnsi="仿宋_GB2312" w:cs="仿宋_GB2312" w:hint="eastAsia"/>
          <w:sz w:val="30"/>
          <w:szCs w:val="30"/>
        </w:rPr>
        <w:t>细化相关责任</w:t>
      </w:r>
      <w:r w:rsidRPr="009D6E2F">
        <w:rPr>
          <w:rFonts w:ascii="仿宋_GB2312" w:eastAsia="仿宋_GB2312" w:hAnsi="仿宋_GB2312" w:cs="仿宋_GB2312"/>
          <w:sz w:val="30"/>
          <w:szCs w:val="30"/>
        </w:rPr>
        <w:t>主体尽责要求</w:t>
      </w:r>
      <w:r w:rsidRPr="009D6E2F">
        <w:rPr>
          <w:rFonts w:ascii="仿宋_GB2312" w:eastAsia="仿宋_GB2312" w:hAnsi="仿宋_GB2312" w:cs="仿宋_GB2312" w:hint="eastAsia"/>
          <w:sz w:val="30"/>
          <w:szCs w:val="30"/>
        </w:rPr>
        <w:t>，明确退市风险</w:t>
      </w:r>
      <w:r w:rsidRPr="009D6E2F">
        <w:rPr>
          <w:rFonts w:ascii="仿宋_GB2312" w:eastAsia="仿宋_GB2312" w:hint="eastAsia"/>
          <w:kern w:val="0"/>
          <w:sz w:val="30"/>
          <w:szCs w:val="30"/>
        </w:rPr>
        <w:t>公司董监高应当高度重视</w:t>
      </w:r>
      <w:r w:rsidR="00064426">
        <w:rPr>
          <w:rFonts w:ascii="仿宋_GB2312" w:eastAsia="仿宋_GB2312" w:hint="eastAsia"/>
          <w:kern w:val="0"/>
          <w:sz w:val="30"/>
          <w:szCs w:val="30"/>
        </w:rPr>
        <w:t>年度报告</w:t>
      </w:r>
      <w:r w:rsidRPr="009D6E2F">
        <w:rPr>
          <w:rFonts w:ascii="仿宋_GB2312" w:eastAsia="仿宋_GB2312" w:hint="eastAsia"/>
          <w:kern w:val="0"/>
          <w:sz w:val="30"/>
          <w:szCs w:val="30"/>
        </w:rPr>
        <w:t>编制及披露事项，</w:t>
      </w:r>
      <w:r w:rsidRPr="009D6E2F">
        <w:rPr>
          <w:rFonts w:ascii="仿宋_GB2312" w:eastAsia="仿宋_GB2312" w:hAnsi="仿宋_GB2312" w:cs="仿宋_GB2312" w:hint="eastAsia"/>
          <w:sz w:val="30"/>
          <w:szCs w:val="30"/>
        </w:rPr>
        <w:t>获取充分、全面的决策依据信息，合理使用</w:t>
      </w:r>
      <w:r w:rsidRPr="009D6E2F">
        <w:rPr>
          <w:rFonts w:ascii="仿宋_GB2312" w:eastAsia="仿宋_GB2312" w:hAnsi="仿宋_GB2312" w:cs="仿宋_GB2312"/>
          <w:sz w:val="30"/>
          <w:szCs w:val="30"/>
        </w:rPr>
        <w:t>异议权。</w:t>
      </w:r>
      <w:r w:rsidRPr="009D6E2F">
        <w:rPr>
          <w:rFonts w:ascii="仿宋_GB2312" w:eastAsia="仿宋_GB2312" w:hAnsi="宋体" w:cs="宋体" w:hint="eastAsia"/>
          <w:kern w:val="0"/>
          <w:sz w:val="30"/>
          <w:szCs w:val="30"/>
        </w:rPr>
        <w:t>审计委员会应当</w:t>
      </w:r>
      <w:r w:rsidRPr="009D6E2F">
        <w:rPr>
          <w:rFonts w:ascii="仿宋_GB2312" w:eastAsia="仿宋_GB2312" w:hAnsi="宋体" w:cs="宋体"/>
          <w:kern w:val="0"/>
          <w:sz w:val="30"/>
          <w:szCs w:val="30"/>
        </w:rPr>
        <w:t>加强与会计师</w:t>
      </w:r>
      <w:r w:rsidR="001E456A" w:rsidRPr="009D6E2F">
        <w:rPr>
          <w:rFonts w:ascii="仿宋_GB2312" w:eastAsia="仿宋_GB2312" w:hAnsi="宋体" w:cs="宋体" w:hint="eastAsia"/>
          <w:kern w:val="0"/>
          <w:sz w:val="30"/>
          <w:szCs w:val="30"/>
        </w:rPr>
        <w:t>事务所</w:t>
      </w:r>
      <w:r w:rsidRPr="009D6E2F">
        <w:rPr>
          <w:rFonts w:ascii="仿宋_GB2312" w:eastAsia="仿宋_GB2312" w:hAnsi="宋体" w:cs="宋体"/>
          <w:kern w:val="0"/>
          <w:sz w:val="30"/>
          <w:szCs w:val="30"/>
        </w:rPr>
        <w:t>的沟通，</w:t>
      </w:r>
      <w:r w:rsidRPr="009D6E2F">
        <w:rPr>
          <w:rFonts w:ascii="仿宋_GB2312" w:eastAsia="仿宋_GB2312" w:hAnsi="宋体" w:cs="宋体" w:hint="eastAsia"/>
          <w:kern w:val="0"/>
          <w:sz w:val="30"/>
          <w:szCs w:val="30"/>
        </w:rPr>
        <w:t>对其</w:t>
      </w:r>
      <w:r w:rsidRPr="009D6E2F">
        <w:rPr>
          <w:rFonts w:ascii="仿宋_GB2312" w:eastAsia="仿宋_GB2312" w:hAnsi="宋体" w:cs="宋体"/>
          <w:kern w:val="0"/>
          <w:sz w:val="30"/>
          <w:szCs w:val="30"/>
        </w:rPr>
        <w:t>审计工作</w:t>
      </w:r>
      <w:r w:rsidRPr="009D6E2F">
        <w:rPr>
          <w:rFonts w:ascii="仿宋_GB2312" w:eastAsia="仿宋_GB2312" w:hAnsi="宋体" w:cs="宋体" w:hint="eastAsia"/>
          <w:kern w:val="0"/>
          <w:sz w:val="30"/>
          <w:szCs w:val="30"/>
        </w:rPr>
        <w:t>进行持续性监督及审查。</w:t>
      </w:r>
      <w:r w:rsidR="001E456A" w:rsidRPr="009D6E2F">
        <w:rPr>
          <w:rFonts w:ascii="仿宋_GB2312" w:eastAsia="仿宋_GB2312" w:hAnsi="宋体" w:cs="宋体"/>
          <w:kern w:val="0"/>
          <w:sz w:val="30"/>
          <w:szCs w:val="30"/>
        </w:rPr>
        <w:t>会计师</w:t>
      </w:r>
      <w:r w:rsidR="001E456A" w:rsidRPr="009D6E2F">
        <w:rPr>
          <w:rFonts w:ascii="仿宋_GB2312" w:eastAsia="仿宋_GB2312" w:hAnsi="宋体" w:cs="宋体" w:hint="eastAsia"/>
          <w:kern w:val="0"/>
          <w:sz w:val="30"/>
          <w:szCs w:val="30"/>
        </w:rPr>
        <w:t>事务所应当结合退市风险公司特点，提升风险合规意识，加强审计执业质量控制，</w:t>
      </w:r>
      <w:r w:rsidRPr="009D6E2F">
        <w:rPr>
          <w:rFonts w:ascii="仿宋_GB2312" w:eastAsia="仿宋_GB2312" w:hAnsi="宋体" w:cs="宋体"/>
          <w:kern w:val="0"/>
          <w:sz w:val="30"/>
          <w:szCs w:val="30"/>
        </w:rPr>
        <w:t>依规就营业收入扣除及非经常性损益等</w:t>
      </w:r>
      <w:r w:rsidRPr="009D6E2F">
        <w:rPr>
          <w:rFonts w:ascii="仿宋_GB2312" w:eastAsia="仿宋_GB2312" w:hAnsi="宋体" w:cs="宋体" w:hint="eastAsia"/>
          <w:kern w:val="0"/>
          <w:sz w:val="30"/>
          <w:szCs w:val="30"/>
        </w:rPr>
        <w:t>事项</w:t>
      </w:r>
      <w:r w:rsidRPr="009D6E2F">
        <w:rPr>
          <w:rFonts w:ascii="仿宋_GB2312" w:eastAsia="仿宋_GB2312" w:hAnsi="宋体" w:cs="宋体"/>
          <w:kern w:val="0"/>
          <w:sz w:val="30"/>
          <w:szCs w:val="30"/>
        </w:rPr>
        <w:t>出具专项</w:t>
      </w:r>
      <w:r w:rsidRPr="009D6E2F">
        <w:rPr>
          <w:rFonts w:ascii="仿宋_GB2312" w:eastAsia="仿宋_GB2312" w:hAnsi="宋体" w:cs="宋体" w:hint="eastAsia"/>
          <w:kern w:val="0"/>
          <w:sz w:val="30"/>
          <w:szCs w:val="30"/>
        </w:rPr>
        <w:t>核查</w:t>
      </w:r>
      <w:r w:rsidRPr="009D6E2F">
        <w:rPr>
          <w:rFonts w:ascii="仿宋_GB2312" w:eastAsia="仿宋_GB2312" w:hAnsi="宋体" w:cs="宋体"/>
          <w:kern w:val="0"/>
          <w:sz w:val="30"/>
          <w:szCs w:val="30"/>
        </w:rPr>
        <w:t>意见，</w:t>
      </w:r>
      <w:r w:rsidRPr="009D6E2F">
        <w:rPr>
          <w:rFonts w:ascii="仿宋_GB2312" w:eastAsia="仿宋_GB2312" w:hAnsi="宋体" w:cs="宋体" w:hint="eastAsia"/>
          <w:kern w:val="0"/>
          <w:sz w:val="30"/>
          <w:szCs w:val="30"/>
        </w:rPr>
        <w:t>恰当判断上期非标事项对</w:t>
      </w:r>
      <w:r>
        <w:rPr>
          <w:rFonts w:ascii="仿宋_GB2312" w:eastAsia="仿宋_GB2312" w:hAnsi="宋体" w:cs="宋体" w:hint="eastAsia"/>
          <w:kern w:val="0"/>
          <w:sz w:val="30"/>
          <w:szCs w:val="30"/>
        </w:rPr>
        <w:t>本期财务报表的影响，</w:t>
      </w:r>
      <w:r w:rsidR="001E456A" w:rsidRPr="001E456A">
        <w:rPr>
          <w:rFonts w:ascii="仿宋_GB2312" w:eastAsia="仿宋_GB2312" w:hAnsi="宋体" w:cs="宋体" w:hint="eastAsia"/>
          <w:kern w:val="0"/>
          <w:sz w:val="30"/>
          <w:szCs w:val="30"/>
        </w:rPr>
        <w:t>审慎发表意见</w:t>
      </w:r>
      <w:r w:rsidR="001E456A">
        <w:rPr>
          <w:rFonts w:ascii="仿宋_GB2312" w:eastAsia="仿宋_GB2312" w:hAnsi="宋体" w:cs="宋体" w:hint="eastAsia"/>
          <w:kern w:val="0"/>
          <w:sz w:val="30"/>
          <w:szCs w:val="30"/>
        </w:rPr>
        <w:t>。</w:t>
      </w:r>
    </w:p>
    <w:p w:rsidR="000875CB" w:rsidRDefault="000875CB">
      <w:pPr>
        <w:widowControl/>
        <w:snapToGrid w:val="0"/>
        <w:spacing w:line="600" w:lineRule="exact"/>
        <w:ind w:firstLineChars="200" w:firstLine="600"/>
        <w:rPr>
          <w:rFonts w:ascii="仿宋_GB2312" w:eastAsia="仿宋_GB2312"/>
          <w:b/>
          <w:kern w:val="0"/>
          <w:sz w:val="30"/>
          <w:szCs w:val="30"/>
        </w:rPr>
      </w:pPr>
      <w:r>
        <w:rPr>
          <w:rFonts w:ascii="仿宋_GB2312" w:eastAsia="仿宋_GB2312" w:hAnsi="宋体" w:cs="宋体" w:hint="eastAsia"/>
          <w:kern w:val="0"/>
          <w:sz w:val="30"/>
          <w:szCs w:val="30"/>
        </w:rPr>
        <w:t>特此说明。</w:t>
      </w:r>
    </w:p>
    <w:p w:rsidR="00CC5F36" w:rsidRDefault="00CC5F36" w:rsidP="00CC5F36">
      <w:pPr>
        <w:tabs>
          <w:tab w:val="left" w:pos="7875"/>
        </w:tabs>
        <w:spacing w:line="560" w:lineRule="exact"/>
        <w:ind w:rightChars="500" w:right="1050"/>
        <w:jc w:val="right"/>
        <w:rPr>
          <w:rFonts w:ascii="仿宋" w:eastAsia="仿宋" w:hAnsi="仿宋"/>
          <w:color w:val="000000"/>
          <w:sz w:val="32"/>
          <w:szCs w:val="32"/>
        </w:rPr>
      </w:pPr>
    </w:p>
    <w:p w:rsidR="00CC5F36" w:rsidRDefault="00CC5F36" w:rsidP="00CC5F36">
      <w:pPr>
        <w:tabs>
          <w:tab w:val="left" w:pos="7875"/>
        </w:tabs>
        <w:spacing w:line="560" w:lineRule="exact"/>
        <w:ind w:rightChars="500" w:right="1050"/>
        <w:jc w:val="right"/>
        <w:rPr>
          <w:rFonts w:ascii="仿宋" w:eastAsia="仿宋" w:hAnsi="仿宋"/>
          <w:color w:val="000000"/>
          <w:sz w:val="32"/>
          <w:szCs w:val="32"/>
        </w:rPr>
      </w:pPr>
    </w:p>
    <w:p w:rsidR="002540BF" w:rsidRDefault="002540BF">
      <w:pPr>
        <w:spacing w:line="600" w:lineRule="exact"/>
        <w:ind w:right="420"/>
      </w:pPr>
    </w:p>
    <w:sectPr w:rsidR="002540BF" w:rsidSect="000E6F87">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993" w:rsidRDefault="00B86993">
      <w:r>
        <w:separator/>
      </w:r>
    </w:p>
  </w:endnote>
  <w:endnote w:type="continuationSeparator" w:id="0">
    <w:p w:rsidR="00B86993" w:rsidRDefault="00B86993">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0BF" w:rsidRDefault="0088006C">
    <w:pPr>
      <w:spacing w:line="400" w:lineRule="exact"/>
      <w:rPr>
        <w:rFonts w:ascii="仿宋_GB2312" w:eastAsia="仿宋_GB2312"/>
        <w:bCs/>
        <w:sz w:val="28"/>
      </w:rPr>
    </w:pPr>
    <w:r>
      <w:rPr>
        <w:rFonts w:ascii="仿宋_GB2312" w:eastAsia="仿宋_GB2312" w:hint="eastAsia"/>
        <w:bCs/>
        <w:sz w:val="28"/>
      </w:rPr>
      <w:t>－</w:t>
    </w:r>
    <w:r w:rsidR="003A1667">
      <w:rPr>
        <w:sz w:val="28"/>
      </w:rPr>
      <w:fldChar w:fldCharType="begin"/>
    </w:r>
    <w:r>
      <w:rPr>
        <w:sz w:val="28"/>
      </w:rPr>
      <w:instrText xml:space="preserve"> PAGE </w:instrText>
    </w:r>
    <w:r w:rsidR="003A1667">
      <w:rPr>
        <w:sz w:val="28"/>
      </w:rPr>
      <w:fldChar w:fldCharType="separate"/>
    </w:r>
    <w:r>
      <w:rPr>
        <w:sz w:val="28"/>
      </w:rPr>
      <w:t>12</w:t>
    </w:r>
    <w:r w:rsidR="003A1667">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0BF" w:rsidRDefault="0088006C">
    <w:pPr>
      <w:pStyle w:val="a5"/>
      <w:jc w:val="right"/>
      <w:rPr>
        <w:rFonts w:ascii="宋体" w:hAnsi="宋体"/>
        <w:sz w:val="28"/>
      </w:rPr>
    </w:pPr>
    <w:r>
      <w:rPr>
        <w:rFonts w:ascii="仿宋_GB2312" w:eastAsia="仿宋_GB2312" w:hint="eastAsia"/>
        <w:bCs/>
        <w:sz w:val="28"/>
      </w:rPr>
      <w:t>－</w:t>
    </w:r>
    <w:r w:rsidR="003A1667">
      <w:rPr>
        <w:sz w:val="28"/>
      </w:rPr>
      <w:fldChar w:fldCharType="begin"/>
    </w:r>
    <w:r>
      <w:rPr>
        <w:sz w:val="28"/>
      </w:rPr>
      <w:instrText xml:space="preserve"> PAGE </w:instrText>
    </w:r>
    <w:r w:rsidR="003A1667">
      <w:rPr>
        <w:sz w:val="28"/>
      </w:rPr>
      <w:fldChar w:fldCharType="separate"/>
    </w:r>
    <w:r w:rsidR="00E53755">
      <w:rPr>
        <w:noProof/>
        <w:sz w:val="28"/>
      </w:rPr>
      <w:t>3</w:t>
    </w:r>
    <w:r w:rsidR="003A1667">
      <w:rPr>
        <w:sz w:val="28"/>
      </w:rPr>
      <w:fldChar w:fldCharType="end"/>
    </w:r>
    <w:r>
      <w:rPr>
        <w:rFonts w:ascii="仿宋_GB2312" w:eastAsia="仿宋_GB2312" w:hint="eastAsia"/>
        <w:bCs/>
        <w:sz w:val="28"/>
      </w:rPr>
      <w:t>－</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993" w:rsidRDefault="00B86993">
      <w:r>
        <w:separator/>
      </w:r>
    </w:p>
  </w:footnote>
  <w:footnote w:type="continuationSeparator" w:id="0">
    <w:p w:rsidR="00B86993" w:rsidRDefault="00B86993">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田原">
    <w15:presenceInfo w15:providerId="AD" w15:userId="S-1-5-21-332908766-1437837475-1870571620-651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02D5"/>
    <w:rsid w:val="000008E5"/>
    <w:rsid w:val="00002382"/>
    <w:rsid w:val="0000393B"/>
    <w:rsid w:val="00004503"/>
    <w:rsid w:val="00004F60"/>
    <w:rsid w:val="00011FDA"/>
    <w:rsid w:val="00013C77"/>
    <w:rsid w:val="00042444"/>
    <w:rsid w:val="00064426"/>
    <w:rsid w:val="00066084"/>
    <w:rsid w:val="00081EC5"/>
    <w:rsid w:val="00083BD9"/>
    <w:rsid w:val="000875CB"/>
    <w:rsid w:val="00095081"/>
    <w:rsid w:val="000A7A3D"/>
    <w:rsid w:val="000B706C"/>
    <w:rsid w:val="000C114C"/>
    <w:rsid w:val="000D6470"/>
    <w:rsid w:val="000E6F87"/>
    <w:rsid w:val="000F3567"/>
    <w:rsid w:val="000F78E9"/>
    <w:rsid w:val="00101B55"/>
    <w:rsid w:val="00113991"/>
    <w:rsid w:val="00122DE8"/>
    <w:rsid w:val="001410D8"/>
    <w:rsid w:val="00151CEB"/>
    <w:rsid w:val="00151D14"/>
    <w:rsid w:val="00162F49"/>
    <w:rsid w:val="00166FCC"/>
    <w:rsid w:val="00170F3E"/>
    <w:rsid w:val="00190E85"/>
    <w:rsid w:val="0019348A"/>
    <w:rsid w:val="00196DFB"/>
    <w:rsid w:val="001C0530"/>
    <w:rsid w:val="001C5843"/>
    <w:rsid w:val="001D4F03"/>
    <w:rsid w:val="001E39D8"/>
    <w:rsid w:val="001E456A"/>
    <w:rsid w:val="002058B9"/>
    <w:rsid w:val="0021640C"/>
    <w:rsid w:val="00221284"/>
    <w:rsid w:val="00223EAB"/>
    <w:rsid w:val="002327D3"/>
    <w:rsid w:val="00232A1F"/>
    <w:rsid w:val="002524A4"/>
    <w:rsid w:val="002540BF"/>
    <w:rsid w:val="00276278"/>
    <w:rsid w:val="002A3521"/>
    <w:rsid w:val="002B12C4"/>
    <w:rsid w:val="002B3E44"/>
    <w:rsid w:val="002D0481"/>
    <w:rsid w:val="002D3948"/>
    <w:rsid w:val="002E33F0"/>
    <w:rsid w:val="002F11F6"/>
    <w:rsid w:val="002F16C5"/>
    <w:rsid w:val="00315140"/>
    <w:rsid w:val="003156D1"/>
    <w:rsid w:val="003350B8"/>
    <w:rsid w:val="00335196"/>
    <w:rsid w:val="00346183"/>
    <w:rsid w:val="00382886"/>
    <w:rsid w:val="00385438"/>
    <w:rsid w:val="00386189"/>
    <w:rsid w:val="003941FA"/>
    <w:rsid w:val="003950EE"/>
    <w:rsid w:val="003A1667"/>
    <w:rsid w:val="003B7F80"/>
    <w:rsid w:val="003D7917"/>
    <w:rsid w:val="003E586B"/>
    <w:rsid w:val="003E6C88"/>
    <w:rsid w:val="003F22F7"/>
    <w:rsid w:val="003F5A88"/>
    <w:rsid w:val="00401228"/>
    <w:rsid w:val="004353D6"/>
    <w:rsid w:val="004543DD"/>
    <w:rsid w:val="00482A33"/>
    <w:rsid w:val="004A0104"/>
    <w:rsid w:val="004A241B"/>
    <w:rsid w:val="004A6079"/>
    <w:rsid w:val="004B2418"/>
    <w:rsid w:val="004B2481"/>
    <w:rsid w:val="004B6B4A"/>
    <w:rsid w:val="004B7A3D"/>
    <w:rsid w:val="004C0B90"/>
    <w:rsid w:val="004C1519"/>
    <w:rsid w:val="004D58A0"/>
    <w:rsid w:val="004E16A4"/>
    <w:rsid w:val="004E1B50"/>
    <w:rsid w:val="004E1E7B"/>
    <w:rsid w:val="004E61A6"/>
    <w:rsid w:val="004F2D84"/>
    <w:rsid w:val="004F4096"/>
    <w:rsid w:val="004F53D1"/>
    <w:rsid w:val="004F5F01"/>
    <w:rsid w:val="00502F62"/>
    <w:rsid w:val="00533AEE"/>
    <w:rsid w:val="00550C31"/>
    <w:rsid w:val="00556F0C"/>
    <w:rsid w:val="00557C80"/>
    <w:rsid w:val="00581BA1"/>
    <w:rsid w:val="005823BC"/>
    <w:rsid w:val="00587F36"/>
    <w:rsid w:val="00593FDD"/>
    <w:rsid w:val="005A3603"/>
    <w:rsid w:val="005A3BD0"/>
    <w:rsid w:val="005A46C6"/>
    <w:rsid w:val="005A693E"/>
    <w:rsid w:val="005C0342"/>
    <w:rsid w:val="005C1D5E"/>
    <w:rsid w:val="005C745E"/>
    <w:rsid w:val="005F0350"/>
    <w:rsid w:val="006126C3"/>
    <w:rsid w:val="00614152"/>
    <w:rsid w:val="006371F5"/>
    <w:rsid w:val="00641D9D"/>
    <w:rsid w:val="00651EFA"/>
    <w:rsid w:val="00656DB7"/>
    <w:rsid w:val="00666150"/>
    <w:rsid w:val="00670C3C"/>
    <w:rsid w:val="00674FB9"/>
    <w:rsid w:val="00685C07"/>
    <w:rsid w:val="0068654E"/>
    <w:rsid w:val="006939BC"/>
    <w:rsid w:val="00695389"/>
    <w:rsid w:val="00696513"/>
    <w:rsid w:val="006A2290"/>
    <w:rsid w:val="006B301C"/>
    <w:rsid w:val="006B3FF9"/>
    <w:rsid w:val="006B5AFA"/>
    <w:rsid w:val="006C1EE0"/>
    <w:rsid w:val="006D335F"/>
    <w:rsid w:val="006D37C2"/>
    <w:rsid w:val="006D3E2A"/>
    <w:rsid w:val="006E1689"/>
    <w:rsid w:val="006F574F"/>
    <w:rsid w:val="007059E1"/>
    <w:rsid w:val="00706517"/>
    <w:rsid w:val="007109E0"/>
    <w:rsid w:val="00717056"/>
    <w:rsid w:val="00734F01"/>
    <w:rsid w:val="00740795"/>
    <w:rsid w:val="00742830"/>
    <w:rsid w:val="00743604"/>
    <w:rsid w:val="0075083D"/>
    <w:rsid w:val="00762446"/>
    <w:rsid w:val="00777658"/>
    <w:rsid w:val="007923DC"/>
    <w:rsid w:val="007A22BA"/>
    <w:rsid w:val="007A7BF2"/>
    <w:rsid w:val="007D139C"/>
    <w:rsid w:val="007F517F"/>
    <w:rsid w:val="00804215"/>
    <w:rsid w:val="008124DC"/>
    <w:rsid w:val="00826CF2"/>
    <w:rsid w:val="00830D21"/>
    <w:rsid w:val="008353A9"/>
    <w:rsid w:val="00846E34"/>
    <w:rsid w:val="00850AEF"/>
    <w:rsid w:val="008514E8"/>
    <w:rsid w:val="00851FA3"/>
    <w:rsid w:val="008539BB"/>
    <w:rsid w:val="00861E1A"/>
    <w:rsid w:val="00861F21"/>
    <w:rsid w:val="00866B6A"/>
    <w:rsid w:val="0088006C"/>
    <w:rsid w:val="008850CB"/>
    <w:rsid w:val="0088535D"/>
    <w:rsid w:val="00894AD3"/>
    <w:rsid w:val="008A4216"/>
    <w:rsid w:val="008B0249"/>
    <w:rsid w:val="008B406C"/>
    <w:rsid w:val="008B6DFE"/>
    <w:rsid w:val="008C6BDB"/>
    <w:rsid w:val="008D0CBC"/>
    <w:rsid w:val="008D1CDC"/>
    <w:rsid w:val="008D1EAA"/>
    <w:rsid w:val="008D2B12"/>
    <w:rsid w:val="008E306D"/>
    <w:rsid w:val="008F1CDB"/>
    <w:rsid w:val="00930620"/>
    <w:rsid w:val="00936ECE"/>
    <w:rsid w:val="00961898"/>
    <w:rsid w:val="00966DD5"/>
    <w:rsid w:val="009760E5"/>
    <w:rsid w:val="009A2F01"/>
    <w:rsid w:val="009A6858"/>
    <w:rsid w:val="009B425D"/>
    <w:rsid w:val="009B6628"/>
    <w:rsid w:val="009C30B8"/>
    <w:rsid w:val="009D681B"/>
    <w:rsid w:val="009D6E2F"/>
    <w:rsid w:val="009E1F7A"/>
    <w:rsid w:val="009F0EFE"/>
    <w:rsid w:val="00A03FCE"/>
    <w:rsid w:val="00A077B6"/>
    <w:rsid w:val="00A15848"/>
    <w:rsid w:val="00A2279C"/>
    <w:rsid w:val="00A25C56"/>
    <w:rsid w:val="00A42196"/>
    <w:rsid w:val="00A43872"/>
    <w:rsid w:val="00A66329"/>
    <w:rsid w:val="00A6657C"/>
    <w:rsid w:val="00A71F26"/>
    <w:rsid w:val="00A738D7"/>
    <w:rsid w:val="00A75DD4"/>
    <w:rsid w:val="00AA4BB3"/>
    <w:rsid w:val="00AB0097"/>
    <w:rsid w:val="00AB1226"/>
    <w:rsid w:val="00AB4FDA"/>
    <w:rsid w:val="00AC6A4A"/>
    <w:rsid w:val="00B07898"/>
    <w:rsid w:val="00B111CF"/>
    <w:rsid w:val="00B206B5"/>
    <w:rsid w:val="00B252FC"/>
    <w:rsid w:val="00B26322"/>
    <w:rsid w:val="00B3471E"/>
    <w:rsid w:val="00B57BE3"/>
    <w:rsid w:val="00B64ABB"/>
    <w:rsid w:val="00B67E5B"/>
    <w:rsid w:val="00B70914"/>
    <w:rsid w:val="00B85E36"/>
    <w:rsid w:val="00B86993"/>
    <w:rsid w:val="00B94BF6"/>
    <w:rsid w:val="00BD1661"/>
    <w:rsid w:val="00BE7C52"/>
    <w:rsid w:val="00BF4091"/>
    <w:rsid w:val="00BF5E2F"/>
    <w:rsid w:val="00BF7791"/>
    <w:rsid w:val="00C01C37"/>
    <w:rsid w:val="00C07A79"/>
    <w:rsid w:val="00C175DC"/>
    <w:rsid w:val="00C24330"/>
    <w:rsid w:val="00C54674"/>
    <w:rsid w:val="00C5768D"/>
    <w:rsid w:val="00C679E8"/>
    <w:rsid w:val="00C7069F"/>
    <w:rsid w:val="00C726ED"/>
    <w:rsid w:val="00C74E10"/>
    <w:rsid w:val="00C81455"/>
    <w:rsid w:val="00C843E4"/>
    <w:rsid w:val="00C84A1F"/>
    <w:rsid w:val="00C9020F"/>
    <w:rsid w:val="00C97214"/>
    <w:rsid w:val="00CA5CB4"/>
    <w:rsid w:val="00CA7F3A"/>
    <w:rsid w:val="00CC5F36"/>
    <w:rsid w:val="00CC7A35"/>
    <w:rsid w:val="00CD6EFD"/>
    <w:rsid w:val="00CF444C"/>
    <w:rsid w:val="00D05893"/>
    <w:rsid w:val="00D138CA"/>
    <w:rsid w:val="00D211F2"/>
    <w:rsid w:val="00D22191"/>
    <w:rsid w:val="00D31DEE"/>
    <w:rsid w:val="00D341F4"/>
    <w:rsid w:val="00D55EC6"/>
    <w:rsid w:val="00D63CE0"/>
    <w:rsid w:val="00D64EC3"/>
    <w:rsid w:val="00D867F3"/>
    <w:rsid w:val="00DA12E0"/>
    <w:rsid w:val="00DA6ED7"/>
    <w:rsid w:val="00DB2985"/>
    <w:rsid w:val="00DB67BE"/>
    <w:rsid w:val="00DC1A58"/>
    <w:rsid w:val="00DC31C8"/>
    <w:rsid w:val="00DC3407"/>
    <w:rsid w:val="00DD41E4"/>
    <w:rsid w:val="00DE5070"/>
    <w:rsid w:val="00DF5366"/>
    <w:rsid w:val="00E009AA"/>
    <w:rsid w:val="00E07BAE"/>
    <w:rsid w:val="00E15EB8"/>
    <w:rsid w:val="00E23120"/>
    <w:rsid w:val="00E30BBA"/>
    <w:rsid w:val="00E35E03"/>
    <w:rsid w:val="00E53755"/>
    <w:rsid w:val="00E54AA2"/>
    <w:rsid w:val="00E716A1"/>
    <w:rsid w:val="00E731A9"/>
    <w:rsid w:val="00E7489E"/>
    <w:rsid w:val="00E8302D"/>
    <w:rsid w:val="00E91DCD"/>
    <w:rsid w:val="00EB18DB"/>
    <w:rsid w:val="00EB6D67"/>
    <w:rsid w:val="00ED28F8"/>
    <w:rsid w:val="00ED3729"/>
    <w:rsid w:val="00EE092E"/>
    <w:rsid w:val="00EF2AF5"/>
    <w:rsid w:val="00F058C7"/>
    <w:rsid w:val="00F1664A"/>
    <w:rsid w:val="00F166CE"/>
    <w:rsid w:val="00F17DA1"/>
    <w:rsid w:val="00F242BB"/>
    <w:rsid w:val="00F3057C"/>
    <w:rsid w:val="00F329BC"/>
    <w:rsid w:val="00F402D5"/>
    <w:rsid w:val="00F43CF4"/>
    <w:rsid w:val="00F47668"/>
    <w:rsid w:val="00F504CE"/>
    <w:rsid w:val="00F53680"/>
    <w:rsid w:val="00F538A5"/>
    <w:rsid w:val="00F635F3"/>
    <w:rsid w:val="00F91847"/>
    <w:rsid w:val="00F94E21"/>
    <w:rsid w:val="00FA0CA6"/>
    <w:rsid w:val="00FA0CD5"/>
    <w:rsid w:val="00FA4C05"/>
    <w:rsid w:val="00FB0641"/>
    <w:rsid w:val="00FC329B"/>
    <w:rsid w:val="00FC32E4"/>
    <w:rsid w:val="00FD3872"/>
    <w:rsid w:val="00FF4526"/>
    <w:rsid w:val="359E04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F8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0E6F87"/>
    <w:pPr>
      <w:jc w:val="left"/>
    </w:pPr>
  </w:style>
  <w:style w:type="paragraph" w:styleId="a4">
    <w:name w:val="Balloon Text"/>
    <w:basedOn w:val="a"/>
    <w:link w:val="Char0"/>
    <w:uiPriority w:val="99"/>
    <w:semiHidden/>
    <w:unhideWhenUsed/>
    <w:qFormat/>
    <w:rsid w:val="000E6F87"/>
    <w:rPr>
      <w:sz w:val="18"/>
      <w:szCs w:val="18"/>
    </w:rPr>
  </w:style>
  <w:style w:type="paragraph" w:styleId="a5">
    <w:name w:val="footer"/>
    <w:basedOn w:val="a"/>
    <w:link w:val="Char1"/>
    <w:unhideWhenUsed/>
    <w:qFormat/>
    <w:rsid w:val="000E6F8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E6F87"/>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qFormat/>
    <w:rsid w:val="000E6F87"/>
    <w:pPr>
      <w:spacing w:before="240" w:after="60" w:line="312" w:lineRule="auto"/>
      <w:jc w:val="center"/>
      <w:outlineLvl w:val="1"/>
    </w:pPr>
    <w:rPr>
      <w:rFonts w:ascii="Cambria" w:hAnsi="Cambria"/>
      <w:b/>
      <w:bCs/>
      <w:kern w:val="28"/>
      <w:sz w:val="32"/>
      <w:szCs w:val="32"/>
    </w:rPr>
  </w:style>
  <w:style w:type="paragraph" w:styleId="a8">
    <w:name w:val="Normal (Web)"/>
    <w:basedOn w:val="a"/>
    <w:qFormat/>
    <w:rsid w:val="000E6F87"/>
    <w:pPr>
      <w:spacing w:beforeAutospacing="1" w:afterAutospacing="1"/>
      <w:jc w:val="left"/>
    </w:pPr>
    <w:rPr>
      <w:rFonts w:asciiTheme="minorHAnsi" w:eastAsiaTheme="minorEastAsia" w:hAnsiTheme="minorHAnsi"/>
      <w:kern w:val="0"/>
      <w:sz w:val="24"/>
    </w:rPr>
  </w:style>
  <w:style w:type="paragraph" w:styleId="a9">
    <w:name w:val="annotation subject"/>
    <w:basedOn w:val="a3"/>
    <w:next w:val="a3"/>
    <w:link w:val="Char4"/>
    <w:uiPriority w:val="99"/>
    <w:semiHidden/>
    <w:unhideWhenUsed/>
    <w:qFormat/>
    <w:rsid w:val="000E6F87"/>
    <w:rPr>
      <w:b/>
      <w:bCs/>
    </w:rPr>
  </w:style>
  <w:style w:type="character" w:styleId="aa">
    <w:name w:val="annotation reference"/>
    <w:basedOn w:val="a0"/>
    <w:uiPriority w:val="99"/>
    <w:semiHidden/>
    <w:unhideWhenUsed/>
    <w:qFormat/>
    <w:rsid w:val="000E6F87"/>
    <w:rPr>
      <w:sz w:val="21"/>
      <w:szCs w:val="21"/>
    </w:rPr>
  </w:style>
  <w:style w:type="character" w:customStyle="1" w:styleId="Char2">
    <w:name w:val="页眉 Char"/>
    <w:basedOn w:val="a0"/>
    <w:link w:val="a6"/>
    <w:uiPriority w:val="99"/>
    <w:qFormat/>
    <w:rsid w:val="000E6F87"/>
    <w:rPr>
      <w:sz w:val="18"/>
      <w:szCs w:val="18"/>
    </w:rPr>
  </w:style>
  <w:style w:type="character" w:customStyle="1" w:styleId="Char1">
    <w:name w:val="页脚 Char"/>
    <w:basedOn w:val="a0"/>
    <w:link w:val="a5"/>
    <w:qFormat/>
    <w:rsid w:val="000E6F87"/>
    <w:rPr>
      <w:sz w:val="18"/>
      <w:szCs w:val="18"/>
    </w:rPr>
  </w:style>
  <w:style w:type="character" w:customStyle="1" w:styleId="Char3">
    <w:name w:val="副标题 Char"/>
    <w:basedOn w:val="a0"/>
    <w:link w:val="a7"/>
    <w:qFormat/>
    <w:rsid w:val="000E6F87"/>
    <w:rPr>
      <w:rFonts w:ascii="Cambria" w:eastAsia="宋体" w:hAnsi="Cambria" w:cs="Times New Roman"/>
      <w:b/>
      <w:bCs/>
      <w:kern w:val="28"/>
      <w:sz w:val="32"/>
      <w:szCs w:val="32"/>
    </w:rPr>
  </w:style>
  <w:style w:type="character" w:customStyle="1" w:styleId="Char0">
    <w:name w:val="批注框文本 Char"/>
    <w:basedOn w:val="a0"/>
    <w:link w:val="a4"/>
    <w:uiPriority w:val="99"/>
    <w:semiHidden/>
    <w:qFormat/>
    <w:rsid w:val="000E6F87"/>
    <w:rPr>
      <w:rFonts w:ascii="Times New Roman" w:eastAsia="宋体" w:hAnsi="Times New Roman" w:cs="Times New Roman"/>
      <w:sz w:val="18"/>
      <w:szCs w:val="18"/>
    </w:rPr>
  </w:style>
  <w:style w:type="character" w:customStyle="1" w:styleId="Char">
    <w:name w:val="批注文字 Char"/>
    <w:basedOn w:val="a0"/>
    <w:link w:val="a3"/>
    <w:uiPriority w:val="99"/>
    <w:semiHidden/>
    <w:qFormat/>
    <w:rsid w:val="000E6F87"/>
    <w:rPr>
      <w:rFonts w:ascii="Times New Roman" w:eastAsia="宋体" w:hAnsi="Times New Roman" w:cs="Times New Roman"/>
      <w:szCs w:val="24"/>
    </w:rPr>
  </w:style>
  <w:style w:type="character" w:customStyle="1" w:styleId="Char4">
    <w:name w:val="批注主题 Char"/>
    <w:basedOn w:val="Char"/>
    <w:link w:val="a9"/>
    <w:uiPriority w:val="99"/>
    <w:semiHidden/>
    <w:qFormat/>
    <w:rsid w:val="000E6F87"/>
    <w:rPr>
      <w:rFonts w:ascii="Times New Roman" w:eastAsia="宋体" w:hAnsi="Times New Roman" w:cs="Times New Roman"/>
      <w:b/>
      <w:bCs/>
      <w:szCs w:val="24"/>
    </w:rPr>
  </w:style>
  <w:style w:type="paragraph" w:styleId="ab">
    <w:name w:val="List Paragraph"/>
    <w:basedOn w:val="a"/>
    <w:uiPriority w:val="34"/>
    <w:qFormat/>
    <w:rsid w:val="000E6F87"/>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E4C76-B040-46CF-B8AE-C3E95F908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2023-01-13T06:45:00Z</cp:lastPrinted>
  <dcterms:created xsi:type="dcterms:W3CDTF">2023-01-13T07:17:00Z</dcterms:created>
  <dcterms:modified xsi:type="dcterms:W3CDTF">2023-01-13T10:49:00Z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9841110C999642C98C1DFFC97C345D3C</vt:lpwstr>
  </property>
</Properties>
</file>