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left"/>
        <w:rPr>
          <w:rFonts w:ascii="Times New Roman" w:hAnsi="Times New Roman" w:eastAsia="方正仿宋简体" w:cs="Times New Roman"/>
          <w:sz w:val="32"/>
          <w:szCs w:val="32"/>
        </w:rPr>
      </w:pPr>
      <w:bookmarkStart w:id="0" w:name="_Toc513792041"/>
      <w:bookmarkStart w:id="1" w:name="_Toc513791788"/>
      <w:bookmarkStart w:id="2" w:name="_Toc519177306"/>
      <w:bookmarkStart w:id="3" w:name="_Toc513792074"/>
      <w:bookmarkStart w:id="354" w:name="_GoBack"/>
      <w:bookmarkEnd w:id="354"/>
      <w:r>
        <w:rPr>
          <w:rFonts w:hint="eastAsia" w:ascii="黑体" w:hAnsi="黑体" w:eastAsia="黑体"/>
          <w:bCs/>
          <w:sz w:val="32"/>
          <w:szCs w:val="32"/>
        </w:rPr>
        <w:t>附件</w:t>
      </w: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深圳证券交易所债券交易业务指南第</w:t>
      </w:r>
      <w:r>
        <w:rPr>
          <w:rFonts w:hint="eastAsia" w:ascii="Times New Roman" w:hAnsi="Times New Roman" w:eastAsia="方正小标宋简体" w:cs="Times New Roman"/>
          <w:sz w:val="40"/>
          <w:szCs w:val="40"/>
        </w:rPr>
        <w:t>4</w:t>
      </w:r>
      <w:r>
        <w:rPr>
          <w:rFonts w:ascii="Times New Roman" w:hAnsi="Times New Roman" w:eastAsia="方正小标宋简体" w:cs="Times New Roman"/>
          <w:sz w:val="40"/>
          <w:szCs w:val="40"/>
        </w:rPr>
        <w:t>号</w:t>
      </w:r>
    </w:p>
    <w:p>
      <w:pPr>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w:t>
      </w:r>
      <w:r>
        <w:rPr>
          <w:rFonts w:hint="eastAsia" w:ascii="Times New Roman" w:hAnsi="Times New Roman" w:eastAsia="方正小标宋简体" w:cs="Times New Roman"/>
          <w:sz w:val="40"/>
          <w:szCs w:val="40"/>
        </w:rPr>
        <w:t>债券交易及配套安排（202</w:t>
      </w:r>
      <w:r>
        <w:rPr>
          <w:rFonts w:hint="default" w:ascii="Times New Roman" w:hAnsi="Times New Roman" w:eastAsia="方正小标宋简体" w:cs="Times New Roman"/>
          <w:sz w:val="40"/>
          <w:szCs w:val="40"/>
          <w:lang w:val="en-US"/>
        </w:rPr>
        <w:t>3</w:t>
      </w:r>
      <w:r>
        <w:rPr>
          <w:rFonts w:hint="eastAsia" w:ascii="Times New Roman" w:hAnsi="Times New Roman" w:eastAsia="方正小标宋简体" w:cs="Times New Roman"/>
          <w:sz w:val="40"/>
          <w:szCs w:val="40"/>
        </w:rPr>
        <w:t>年</w:t>
      </w:r>
      <w:r>
        <w:rPr>
          <w:rFonts w:hint="default" w:ascii="Times New Roman" w:hAnsi="Times New Roman" w:eastAsia="方正小标宋简体" w:cs="Times New Roman"/>
          <w:sz w:val="40"/>
          <w:szCs w:val="40"/>
          <w:lang w:val="en-US"/>
        </w:rPr>
        <w:t>12</w:t>
      </w:r>
      <w:r>
        <w:rPr>
          <w:rFonts w:hint="eastAsia" w:ascii="Times New Roman" w:hAnsi="Times New Roman" w:eastAsia="方正小标宋简体" w:cs="Times New Roman"/>
          <w:sz w:val="40"/>
          <w:szCs w:val="40"/>
        </w:rPr>
        <w:t>月修订）</w:t>
      </w:r>
    </w:p>
    <w:p>
      <w:pPr>
        <w:jc w:val="center"/>
        <w:rPr>
          <w:rFonts w:ascii="Times New Roman" w:hAnsi="Times New Roman" w:eastAsia="楷体" w:cs="Times New Roman"/>
          <w:sz w:val="24"/>
          <w:szCs w:val="24"/>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宋体" w:hAnsi="宋体"/>
          <w:bCs/>
          <w:sz w:val="32"/>
          <w:szCs w:val="32"/>
        </w:rPr>
      </w:pPr>
      <w:r>
        <w:rPr>
          <w:rFonts w:hint="eastAsia" w:ascii="宋体" w:hAnsi="宋体"/>
          <w:bCs/>
          <w:sz w:val="32"/>
          <w:szCs w:val="32"/>
        </w:rPr>
        <w:t>版本及修订说明</w:t>
      </w:r>
    </w:p>
    <w:tbl>
      <w:tblPr>
        <w:tblStyle w:val="26"/>
        <w:tblW w:w="705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pPr>
              <w:rPr>
                <w:rFonts w:ascii="宋体" w:hAnsi="宋体"/>
                <w:bCs/>
                <w:sz w:val="32"/>
                <w:szCs w:val="32"/>
              </w:rPr>
            </w:pPr>
            <w:r>
              <w:rPr>
                <w:rFonts w:hint="eastAsia" w:ascii="宋体" w:hAnsi="宋体"/>
                <w:bCs/>
                <w:sz w:val="32"/>
                <w:szCs w:val="32"/>
              </w:rPr>
              <w:t>修改日期</w:t>
            </w:r>
          </w:p>
        </w:tc>
        <w:tc>
          <w:tcPr>
            <w:tcW w:w="4992" w:type="dxa"/>
          </w:tcPr>
          <w:p>
            <w:pPr>
              <w:rPr>
                <w:rFonts w:ascii="宋体" w:hAnsi="宋体"/>
                <w:bCs/>
                <w:sz w:val="32"/>
                <w:szCs w:val="32"/>
              </w:rPr>
            </w:pPr>
            <w:r>
              <w:rPr>
                <w:rFonts w:hint="eastAsia" w:ascii="宋体" w:hAnsi="宋体"/>
                <w:bCs/>
                <w:sz w:val="32"/>
                <w:szCs w:val="32"/>
              </w:rPr>
              <w:t>版本及主要修订内容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pPr>
              <w:rPr>
                <w:rFonts w:ascii="宋体" w:hAnsi="宋体"/>
                <w:bCs/>
                <w:sz w:val="32"/>
                <w:szCs w:val="32"/>
              </w:rPr>
            </w:pPr>
            <w:r>
              <w:rPr>
                <w:rFonts w:hint="eastAsia" w:ascii="宋体" w:hAnsi="宋体"/>
                <w:bCs/>
                <w:sz w:val="32"/>
                <w:szCs w:val="32"/>
              </w:rPr>
              <w:t>2022/5/12</w:t>
            </w:r>
          </w:p>
        </w:tc>
        <w:tc>
          <w:tcPr>
            <w:tcW w:w="4992" w:type="dxa"/>
          </w:tcPr>
          <w:p>
            <w:pPr>
              <w:rPr>
                <w:rFonts w:ascii="宋体" w:hAnsi="宋体"/>
                <w:bCs/>
                <w:sz w:val="32"/>
                <w:szCs w:val="32"/>
              </w:rPr>
            </w:pPr>
            <w:r>
              <w:rPr>
                <w:rFonts w:hint="eastAsia" w:ascii="宋体" w:hAnsi="宋体"/>
                <w:bCs/>
                <w:sz w:val="32"/>
                <w:szCs w:val="32"/>
              </w:rPr>
              <w:t>首次发布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pPr>
              <w:rPr>
                <w:rFonts w:ascii="宋体" w:hAnsi="宋体"/>
                <w:bCs/>
                <w:sz w:val="32"/>
                <w:szCs w:val="32"/>
              </w:rPr>
            </w:pPr>
            <w:r>
              <w:rPr>
                <w:rFonts w:hint="eastAsia" w:ascii="宋体" w:hAnsi="宋体"/>
                <w:bCs/>
                <w:sz w:val="32"/>
                <w:szCs w:val="32"/>
              </w:rPr>
              <w:t>2023</w:t>
            </w:r>
            <w:r>
              <w:rPr>
                <w:rFonts w:ascii="宋体" w:hAnsi="宋体"/>
                <w:bCs/>
                <w:sz w:val="32"/>
                <w:szCs w:val="32"/>
              </w:rPr>
              <w:t>/</w:t>
            </w:r>
            <w:r>
              <w:rPr>
                <w:rFonts w:hint="eastAsia" w:ascii="宋体" w:hAnsi="宋体"/>
                <w:bCs/>
                <w:sz w:val="32"/>
                <w:szCs w:val="32"/>
              </w:rPr>
              <w:t>1</w:t>
            </w:r>
            <w:r>
              <w:rPr>
                <w:rFonts w:ascii="宋体" w:hAnsi="宋体"/>
                <w:bCs/>
                <w:sz w:val="32"/>
                <w:szCs w:val="32"/>
              </w:rPr>
              <w:t>/</w:t>
            </w:r>
            <w:r>
              <w:rPr>
                <w:rFonts w:hint="eastAsia" w:ascii="宋体" w:hAnsi="宋体"/>
                <w:bCs/>
                <w:sz w:val="32"/>
                <w:szCs w:val="32"/>
              </w:rPr>
              <w:t>6</w:t>
            </w:r>
          </w:p>
        </w:tc>
        <w:tc>
          <w:tcPr>
            <w:tcW w:w="4992" w:type="dxa"/>
          </w:tcPr>
          <w:p>
            <w:pPr>
              <w:rPr>
                <w:rFonts w:ascii="宋体" w:hAnsi="宋体"/>
                <w:bCs/>
                <w:sz w:val="32"/>
                <w:szCs w:val="32"/>
              </w:rPr>
            </w:pPr>
            <w:r>
              <w:rPr>
                <w:rFonts w:hint="eastAsia" w:ascii="宋体" w:hAnsi="宋体"/>
                <w:bCs/>
                <w:sz w:val="32"/>
                <w:szCs w:val="32"/>
              </w:rPr>
              <w:t>增加债券参与主体、选择结算方式、交易解除及合并申报等内容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8" w:type="dxa"/>
          </w:tcPr>
          <w:p>
            <w:pPr>
              <w:rPr>
                <w:rFonts w:hint="default" w:ascii="宋体" w:hAnsi="宋体" w:eastAsiaTheme="minorEastAsia"/>
                <w:bCs/>
                <w:sz w:val="32"/>
                <w:szCs w:val="32"/>
                <w:lang w:val="en-US" w:eastAsia="zh-CN"/>
              </w:rPr>
            </w:pPr>
            <w:r>
              <w:rPr>
                <w:rFonts w:hint="default" w:ascii="宋体" w:hAnsi="宋体"/>
                <w:bCs/>
                <w:sz w:val="32"/>
                <w:szCs w:val="32"/>
                <w:highlight w:val="none"/>
                <w:lang w:val="en-US"/>
              </w:rPr>
              <w:t>2023</w:t>
            </w:r>
            <w:r>
              <w:rPr>
                <w:rFonts w:hint="eastAsia" w:ascii="宋体" w:hAnsi="宋体"/>
                <w:bCs/>
                <w:sz w:val="32"/>
                <w:szCs w:val="32"/>
                <w:highlight w:val="none"/>
                <w:lang w:val="en-US" w:eastAsia="zh-CN"/>
              </w:rPr>
              <w:t>/</w:t>
            </w:r>
            <w:r>
              <w:rPr>
                <w:rFonts w:hint="default" w:ascii="宋体" w:hAnsi="宋体"/>
                <w:bCs/>
                <w:sz w:val="32"/>
                <w:szCs w:val="32"/>
                <w:highlight w:val="none"/>
                <w:lang w:val="en-US" w:eastAsia="zh-CN"/>
              </w:rPr>
              <w:t>12/26</w:t>
            </w:r>
          </w:p>
        </w:tc>
        <w:tc>
          <w:tcPr>
            <w:tcW w:w="4992" w:type="dxa"/>
          </w:tcPr>
          <w:p>
            <w:pPr>
              <w:rPr>
                <w:rFonts w:hint="eastAsia" w:ascii="宋体" w:hAnsi="宋体" w:eastAsiaTheme="minorEastAsia"/>
                <w:bCs/>
                <w:sz w:val="32"/>
                <w:szCs w:val="32"/>
                <w:lang w:val="en-US" w:eastAsia="zh-CN"/>
              </w:rPr>
            </w:pPr>
            <w:r>
              <w:rPr>
                <w:rFonts w:hint="eastAsia" w:ascii="宋体" w:hAnsi="宋体"/>
                <w:bCs/>
                <w:sz w:val="32"/>
                <w:szCs w:val="32"/>
                <w:lang w:val="en-US" w:eastAsia="zh-CN"/>
              </w:rPr>
              <w:t>全面支持交易解除以及合并申报；增加</w:t>
            </w:r>
            <w:r>
              <w:rPr>
                <w:rFonts w:hint="eastAsia" w:ascii="宋体" w:hAnsi="宋体"/>
                <w:bCs/>
                <w:sz w:val="32"/>
                <w:szCs w:val="32"/>
                <w:lang w:eastAsia="zh-CN"/>
              </w:rPr>
              <w:t>交易对手方管理以及</w:t>
            </w:r>
            <w:r>
              <w:rPr>
                <w:rFonts w:hint="eastAsia" w:ascii="宋体" w:hAnsi="宋体"/>
                <w:bCs/>
                <w:sz w:val="32"/>
                <w:szCs w:val="32"/>
              </w:rPr>
              <w:t>点击成交报价方</w:t>
            </w:r>
            <w:r>
              <w:rPr>
                <w:rFonts w:hint="eastAsia" w:ascii="宋体" w:hAnsi="宋体"/>
                <w:bCs/>
                <w:sz w:val="32"/>
                <w:szCs w:val="32"/>
                <w:lang w:eastAsia="zh-CN"/>
              </w:rPr>
              <w:t>设置</w:t>
            </w:r>
            <w:r>
              <w:rPr>
                <w:rFonts w:hint="eastAsia" w:ascii="宋体" w:hAnsi="宋体"/>
                <w:bCs/>
                <w:sz w:val="32"/>
                <w:szCs w:val="32"/>
              </w:rPr>
              <w:t>全额成交</w:t>
            </w:r>
            <w:r>
              <w:rPr>
                <w:rFonts w:hint="eastAsia" w:ascii="宋体" w:hAnsi="宋体"/>
                <w:bCs/>
                <w:sz w:val="32"/>
                <w:szCs w:val="32"/>
                <w:lang w:eastAsia="zh-CN"/>
              </w:rPr>
              <w:t>等内容</w:t>
            </w:r>
          </w:p>
        </w:tc>
      </w:tr>
    </w:tbl>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both"/>
        <w:rPr>
          <w:rFonts w:ascii="Times New Roman" w:hAnsi="Times New Roman" w:eastAsia="方正小标宋简体" w:cs="Times New Roman"/>
          <w:sz w:val="40"/>
          <w:szCs w:val="40"/>
        </w:rPr>
      </w:pPr>
    </w:p>
    <w:p>
      <w:pPr>
        <w:jc w:val="center"/>
        <w:rPr>
          <w:rFonts w:ascii="Times New Roman" w:hAnsi="Times New Roman" w:eastAsia="方正仿宋简体" w:cs="Times New Roman"/>
          <w:b/>
          <w:sz w:val="30"/>
          <w:szCs w:val="30"/>
        </w:rPr>
      </w:pPr>
      <w:r>
        <w:rPr>
          <w:rFonts w:hint="eastAsia" w:ascii="仿宋" w:hAnsi="仿宋" w:eastAsia="仿宋" w:cs="Times New Roman"/>
          <w:sz w:val="32"/>
          <w:szCs w:val="32"/>
        </w:rPr>
        <w:t>二○二</w:t>
      </w:r>
      <w:r>
        <w:rPr>
          <w:rFonts w:hint="eastAsia" w:ascii="仿宋" w:hAnsi="仿宋" w:eastAsia="仿宋" w:cs="Times New Roman"/>
          <w:sz w:val="32"/>
          <w:szCs w:val="32"/>
          <w:lang w:eastAsia="zh-CN"/>
        </w:rPr>
        <w:t>三</w:t>
      </w:r>
      <w:r>
        <w:rPr>
          <w:rFonts w:ascii="仿宋" w:hAnsi="仿宋" w:eastAsia="仿宋" w:cs="Times New Roman"/>
          <w:sz w:val="32"/>
          <w:szCs w:val="32"/>
        </w:rPr>
        <w:t>年</w:t>
      </w:r>
      <w:r>
        <w:rPr>
          <w:rFonts w:hint="eastAsia" w:ascii="仿宋" w:hAnsi="仿宋" w:eastAsia="仿宋" w:cs="Times New Roman"/>
          <w:sz w:val="32"/>
          <w:szCs w:val="32"/>
          <w:lang w:eastAsia="zh-CN"/>
        </w:rPr>
        <w:t>十二</w:t>
      </w:r>
      <w:r>
        <w:rPr>
          <w:rFonts w:ascii="仿宋" w:hAnsi="仿宋" w:eastAsia="仿宋" w:cs="Times New Roman"/>
          <w:sz w:val="32"/>
          <w:szCs w:val="32"/>
        </w:rPr>
        <w:t>月</w:t>
      </w:r>
    </w:p>
    <w:p>
      <w:pPr>
        <w:pStyle w:val="18"/>
        <w:tabs>
          <w:tab w:val="right" w:leader="dot" w:pos="8253"/>
        </w:tabs>
        <w:spacing w:line="560" w:lineRule="exact"/>
        <w:jc w:val="center"/>
        <w:rPr>
          <w:rFonts w:hint="eastAsia" w:ascii="仿宋" w:hAnsi="仿宋" w:eastAsia="仿宋" w:cs="仿宋"/>
          <w:i w:val="0"/>
          <w:iCs w:val="0"/>
          <w:sz w:val="32"/>
          <w:szCs w:val="32"/>
        </w:rPr>
      </w:pPr>
      <w:r>
        <w:rPr>
          <w:rFonts w:hint="eastAsia" w:ascii="仿宋" w:hAnsi="仿宋" w:eastAsia="仿宋" w:cs="仿宋"/>
          <w:i w:val="0"/>
          <w:iCs w:val="0"/>
          <w:sz w:val="32"/>
          <w:szCs w:val="32"/>
        </w:rPr>
        <w:t>目   录</w:t>
      </w:r>
    </w:p>
    <w:p>
      <w:pPr>
        <w:pStyle w:val="18"/>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 w:val="0"/>
          <w:bCs w:val="0"/>
          <w:i w:val="0"/>
          <w:iCs w:val="0"/>
          <w:caps w:val="0"/>
          <w:sz w:val="32"/>
          <w:szCs w:val="32"/>
        </w:rPr>
        <w:fldChar w:fldCharType="begin"/>
      </w:r>
      <w:r>
        <w:rPr>
          <w:rFonts w:ascii="仿宋" w:hAnsi="仿宋" w:eastAsia="仿宋" w:cs="仿宋"/>
          <w:b w:val="0"/>
          <w:bCs w:val="0"/>
          <w:i w:val="0"/>
          <w:iCs w:val="0"/>
          <w:caps w:val="0"/>
          <w:sz w:val="32"/>
          <w:szCs w:val="32"/>
        </w:rPr>
        <w:instrText xml:space="preserve"> TOC \o "1-3" \h \z \u </w:instrText>
      </w:r>
      <w:r>
        <w:rPr>
          <w:rFonts w:hint="eastAsia" w:ascii="仿宋" w:hAnsi="仿宋" w:eastAsia="仿宋" w:cs="仿宋"/>
          <w:b w:val="0"/>
          <w:bCs w:val="0"/>
          <w:i w:val="0"/>
          <w:iCs w:val="0"/>
          <w:caps w:val="0"/>
          <w:sz w:val="32"/>
          <w:szCs w:val="32"/>
        </w:rPr>
        <w:fldChar w:fldCharType="separate"/>
      </w: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_Toc27326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第一章 债券</w:t>
      </w:r>
      <w:r>
        <w:rPr>
          <w:rFonts w:hint="eastAsia" w:ascii="仿宋" w:hAnsi="仿宋" w:eastAsia="仿宋" w:cs="仿宋"/>
          <w:bCs w:val="0"/>
          <w:i w:val="0"/>
          <w:iCs w:val="0"/>
          <w:kern w:val="2"/>
          <w:sz w:val="32"/>
          <w:szCs w:val="32"/>
        </w:rPr>
        <w:t>参与主体</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_Toc27326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2</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22"/>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_Toc26013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一、债券交易参与人</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_Toc26013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2</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_Toc10234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（一）申请标准</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_Toc10234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2</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_Toc17636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（二）申请流程</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_Toc17636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_Toc2902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（三）管理安排</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_Toc2902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4</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_Toc1083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（四）进场流程</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_Toc1083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6</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22"/>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_Toc2595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二、债券做市商</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_Toc2595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7</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22"/>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_Toc21717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三、境外机构投资者</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_Toc21717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7</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_Toc9967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（一）交易结算路径建立</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_Toc9967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8</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_Toc964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（二）信息报送</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_Toc964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9</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_Toc30408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（三）交易结算安排</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_Toc30408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10</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8"/>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_Toc14434 </w:instrText>
      </w:r>
      <w:r>
        <w:rPr>
          <w:rFonts w:hint="eastAsia" w:ascii="仿宋" w:hAnsi="仿宋" w:eastAsia="仿宋" w:cs="仿宋"/>
          <w:bCs/>
          <w:i w:val="0"/>
          <w:iCs w:val="0"/>
          <w:caps/>
          <w:sz w:val="32"/>
          <w:szCs w:val="32"/>
        </w:rPr>
        <w:fldChar w:fldCharType="separate"/>
      </w:r>
      <w:r>
        <w:rPr>
          <w:rFonts w:hint="eastAsia" w:ascii="仿宋" w:hAnsi="仿宋" w:eastAsia="仿宋" w:cs="仿宋"/>
          <w:bCs w:val="0"/>
          <w:i w:val="0"/>
          <w:iCs w:val="0"/>
          <w:kern w:val="2"/>
          <w:sz w:val="32"/>
          <w:szCs w:val="32"/>
        </w:rPr>
        <w:t>第二章 交易前准备工作</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_Toc14434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11</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22"/>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_Toc15896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一、投资者适当性报备</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_Toc15896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11</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22"/>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_Toc30879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二、债券交易账户信息报备</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_Toc30879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12</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22"/>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_Toc4005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三、电子接口系统开发或交易终端配置</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_Toc4005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12</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_Toc21561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（一）电子接口系统开发</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_Toc21561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12</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_Toc4410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（二）交易终端配置</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_Toc4410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12</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22"/>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_Toc751 </w:instrText>
      </w:r>
      <w:r>
        <w:rPr>
          <w:rFonts w:hint="eastAsia" w:ascii="仿宋" w:hAnsi="仿宋" w:eastAsia="仿宋" w:cs="仿宋"/>
          <w:bCs/>
          <w:i w:val="0"/>
          <w:iCs w:val="0"/>
          <w:caps/>
          <w:sz w:val="32"/>
          <w:szCs w:val="32"/>
        </w:rPr>
        <w:fldChar w:fldCharType="separate"/>
      </w:r>
      <w:r>
        <w:rPr>
          <w:rFonts w:hint="eastAsia" w:ascii="仿宋" w:hAnsi="仿宋" w:eastAsia="仿宋" w:cs="仿宋"/>
          <w:bCs/>
          <w:i w:val="0"/>
          <w:iCs w:val="0"/>
          <w:sz w:val="32"/>
          <w:szCs w:val="32"/>
          <w:lang w:eastAsia="zh-CN"/>
        </w:rPr>
        <w:t>四</w:t>
      </w:r>
      <w:r>
        <w:rPr>
          <w:rFonts w:hint="eastAsia" w:ascii="仿宋" w:hAnsi="仿宋" w:eastAsia="仿宋" w:cs="仿宋"/>
          <w:bCs/>
          <w:i w:val="0"/>
          <w:iCs w:val="0"/>
          <w:sz w:val="32"/>
          <w:szCs w:val="32"/>
        </w:rPr>
        <w:t>、</w:t>
      </w:r>
      <w:r>
        <w:rPr>
          <w:rFonts w:hint="eastAsia" w:ascii="仿宋" w:hAnsi="仿宋" w:eastAsia="仿宋" w:cs="仿宋"/>
          <w:bCs/>
          <w:i w:val="0"/>
          <w:iCs w:val="0"/>
          <w:sz w:val="32"/>
          <w:szCs w:val="32"/>
          <w:lang w:eastAsia="zh-CN"/>
        </w:rPr>
        <w:t>交易对手方管理</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_Toc751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15</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_Toc6361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lang w:eastAsia="zh-CN"/>
        </w:rPr>
        <w:t>（一）业务范围</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_Toc6361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15</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_Toc9839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lang w:eastAsia="zh-CN"/>
        </w:rPr>
        <w:t>（二）设置途径</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_Toc9839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15</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_Toc7777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lang w:eastAsia="zh-CN"/>
        </w:rPr>
        <w:t>（三）设置方式</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_Toc7777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15</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8"/>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_Toc26716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第三章 债券交易</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_Toc26716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16</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22"/>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_Toc31010 </w:instrText>
      </w:r>
      <w:r>
        <w:rPr>
          <w:rFonts w:hint="eastAsia" w:ascii="仿宋" w:hAnsi="仿宋" w:eastAsia="仿宋" w:cs="仿宋"/>
          <w:bCs/>
          <w:i w:val="0"/>
          <w:iCs w:val="0"/>
          <w:caps/>
          <w:sz w:val="32"/>
          <w:szCs w:val="32"/>
        </w:rPr>
        <w:fldChar w:fldCharType="separate"/>
      </w:r>
      <w:r>
        <w:rPr>
          <w:rFonts w:hint="eastAsia" w:ascii="仿宋" w:hAnsi="仿宋" w:eastAsia="仿宋" w:cs="仿宋"/>
          <w:bCs/>
          <w:i w:val="0"/>
          <w:iCs w:val="0"/>
          <w:sz w:val="32"/>
          <w:szCs w:val="32"/>
        </w:rPr>
        <w:t>一、债券现券交易</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_Toc31010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16</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_Toc11805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（一）匹配成交</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_Toc11805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18</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_Toc32499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（二）点击成交</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_Toc32499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19</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_Toc3084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（三）询价成交</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_Toc3084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21</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_Toc14625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（四）竞买成交</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_Toc14625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23</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_Toc31540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（五）协商成交</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_Toc31540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28</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_Toc17841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（六）交易解除</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_Toc17841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30</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22"/>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_Toc11785 </w:instrText>
      </w:r>
      <w:r>
        <w:rPr>
          <w:rFonts w:hint="eastAsia" w:ascii="仿宋" w:hAnsi="仿宋" w:eastAsia="仿宋" w:cs="仿宋"/>
          <w:bCs/>
          <w:i w:val="0"/>
          <w:iCs w:val="0"/>
          <w:caps/>
          <w:sz w:val="32"/>
          <w:szCs w:val="32"/>
        </w:rPr>
        <w:fldChar w:fldCharType="separate"/>
      </w:r>
      <w:r>
        <w:rPr>
          <w:rFonts w:hint="eastAsia" w:ascii="仿宋" w:hAnsi="仿宋" w:eastAsia="仿宋" w:cs="仿宋"/>
          <w:bCs/>
          <w:i w:val="0"/>
          <w:iCs w:val="0"/>
          <w:sz w:val="32"/>
          <w:szCs w:val="32"/>
        </w:rPr>
        <w:t>二、债券回购交易</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_Toc11785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31</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_Toc28614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（一）通用回购质押券管理</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_Toc28614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33</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_Toc946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（二）通用回购交易申报</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_Toc946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33</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22"/>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_Toc8239 </w:instrText>
      </w:r>
      <w:r>
        <w:rPr>
          <w:rFonts w:hint="eastAsia" w:ascii="仿宋" w:hAnsi="仿宋" w:eastAsia="仿宋" w:cs="仿宋"/>
          <w:bCs/>
          <w:i w:val="0"/>
          <w:iCs w:val="0"/>
          <w:caps/>
          <w:sz w:val="32"/>
          <w:szCs w:val="32"/>
        </w:rPr>
        <w:fldChar w:fldCharType="separate"/>
      </w:r>
      <w:r>
        <w:rPr>
          <w:rFonts w:hint="eastAsia" w:ascii="仿宋" w:hAnsi="仿宋" w:eastAsia="仿宋" w:cs="仿宋"/>
          <w:bCs/>
          <w:i w:val="0"/>
          <w:iCs w:val="0"/>
          <w:sz w:val="32"/>
          <w:szCs w:val="32"/>
        </w:rPr>
        <w:t>三、信用保护工具</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_Toc8239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35</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8"/>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_Toc22246 </w:instrText>
      </w:r>
      <w:r>
        <w:rPr>
          <w:rFonts w:hint="eastAsia" w:ascii="仿宋" w:hAnsi="仿宋" w:eastAsia="仿宋" w:cs="仿宋"/>
          <w:bCs/>
          <w:i w:val="0"/>
          <w:iCs w:val="0"/>
          <w:caps/>
          <w:sz w:val="32"/>
          <w:szCs w:val="32"/>
        </w:rPr>
        <w:fldChar w:fldCharType="separate"/>
      </w:r>
      <w:r>
        <w:rPr>
          <w:rFonts w:hint="eastAsia" w:ascii="仿宋" w:hAnsi="仿宋" w:eastAsia="仿宋" w:cs="仿宋"/>
          <w:bCs w:val="0"/>
          <w:i w:val="0"/>
          <w:iCs w:val="0"/>
          <w:kern w:val="2"/>
          <w:sz w:val="32"/>
          <w:szCs w:val="32"/>
        </w:rPr>
        <w:t>第四章 交易信息</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_Toc22246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35</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_Toc3942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（一）现券交易信息</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_Toc3942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35</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_Toc3177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（二）回购交易信息</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_Toc3177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38</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_Toc11400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（三）统计信息</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_Toc11400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39</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8"/>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_Toc9894 </w:instrText>
      </w:r>
      <w:r>
        <w:rPr>
          <w:rFonts w:hint="eastAsia" w:ascii="仿宋" w:hAnsi="仿宋" w:eastAsia="仿宋" w:cs="仿宋"/>
          <w:bCs/>
          <w:i w:val="0"/>
          <w:iCs w:val="0"/>
          <w:caps/>
          <w:sz w:val="32"/>
          <w:szCs w:val="32"/>
        </w:rPr>
        <w:fldChar w:fldCharType="separate"/>
      </w:r>
      <w:r>
        <w:rPr>
          <w:rFonts w:hint="eastAsia" w:ascii="仿宋" w:hAnsi="仿宋" w:eastAsia="仿宋" w:cs="仿宋"/>
          <w:bCs w:val="0"/>
          <w:i w:val="0"/>
          <w:iCs w:val="0"/>
          <w:kern w:val="2"/>
          <w:sz w:val="32"/>
          <w:szCs w:val="32"/>
        </w:rPr>
        <w:t>第五章 交易价格偏离报备</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_Toc9894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39</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_Toc2318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（一）报备情形</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_Toc2318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39</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_Toc3842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（二）报备内容</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_Toc3842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39</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_Toc22351 </w:instrText>
      </w:r>
      <w:r>
        <w:rPr>
          <w:rFonts w:hint="eastAsia" w:ascii="仿宋" w:hAnsi="仿宋" w:eastAsia="仿宋" w:cs="仿宋"/>
          <w:bCs/>
          <w:i w:val="0"/>
          <w:iCs w:val="0"/>
          <w:caps/>
          <w:sz w:val="32"/>
          <w:szCs w:val="32"/>
        </w:rPr>
        <w:fldChar w:fldCharType="separate"/>
      </w:r>
      <w:r>
        <w:rPr>
          <w:rFonts w:hint="eastAsia" w:ascii="仿宋" w:hAnsi="仿宋" w:eastAsia="仿宋" w:cs="仿宋"/>
          <w:i w:val="0"/>
          <w:iCs w:val="0"/>
          <w:sz w:val="32"/>
          <w:szCs w:val="32"/>
        </w:rPr>
        <w:t>（三）报备方式</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_Toc22351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40</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_Toc2777 </w:instrText>
      </w:r>
      <w:r>
        <w:rPr>
          <w:rFonts w:hint="eastAsia" w:ascii="仿宋" w:hAnsi="仿宋" w:eastAsia="仿宋" w:cs="仿宋"/>
          <w:bCs/>
          <w:i w:val="0"/>
          <w:iCs w:val="0"/>
          <w:caps/>
          <w:sz w:val="32"/>
          <w:szCs w:val="32"/>
        </w:rPr>
        <w:fldChar w:fldCharType="separate"/>
      </w:r>
      <w:r>
        <w:rPr>
          <w:rFonts w:hint="eastAsia" w:ascii="仿宋" w:hAnsi="仿宋" w:eastAsia="仿宋" w:cs="仿宋"/>
          <w:bCs w:val="0"/>
          <w:i w:val="0"/>
          <w:iCs w:val="0"/>
          <w:sz w:val="32"/>
          <w:szCs w:val="32"/>
        </w:rPr>
        <w:t>附件1：债券交易参与人申请模板</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_Toc2777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41</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_Toc14870 </w:instrText>
      </w:r>
      <w:r>
        <w:rPr>
          <w:rFonts w:hint="eastAsia" w:ascii="仿宋" w:hAnsi="仿宋" w:eastAsia="仿宋" w:cs="仿宋"/>
          <w:bCs/>
          <w:i w:val="0"/>
          <w:iCs w:val="0"/>
          <w:caps/>
          <w:sz w:val="32"/>
          <w:szCs w:val="32"/>
        </w:rPr>
        <w:fldChar w:fldCharType="separate"/>
      </w:r>
      <w:r>
        <w:rPr>
          <w:rFonts w:hint="eastAsia" w:ascii="仿宋" w:hAnsi="仿宋" w:eastAsia="仿宋" w:cs="仿宋"/>
          <w:bCs w:val="0"/>
          <w:i w:val="0"/>
          <w:iCs w:val="0"/>
          <w:sz w:val="32"/>
          <w:szCs w:val="32"/>
        </w:rPr>
        <w:t>附件2：境外机构投资者信息报送表</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_Toc14870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43</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_Toc16705 </w:instrText>
      </w:r>
      <w:r>
        <w:rPr>
          <w:rFonts w:hint="eastAsia" w:ascii="仿宋" w:hAnsi="仿宋" w:eastAsia="仿宋" w:cs="仿宋"/>
          <w:bCs/>
          <w:i w:val="0"/>
          <w:iCs w:val="0"/>
          <w:caps/>
          <w:sz w:val="32"/>
          <w:szCs w:val="32"/>
        </w:rPr>
        <w:fldChar w:fldCharType="separate"/>
      </w:r>
      <w:r>
        <w:rPr>
          <w:rFonts w:hint="eastAsia" w:ascii="仿宋" w:hAnsi="仿宋" w:eastAsia="仿宋" w:cs="仿宋"/>
          <w:bCs w:val="0"/>
          <w:i w:val="0"/>
          <w:iCs w:val="0"/>
          <w:sz w:val="32"/>
          <w:szCs w:val="32"/>
        </w:rPr>
        <w:t>附件3：债券交易价格偏离情况报备模板</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_Toc16705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46</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tabs>
          <w:tab w:val="right" w:leader="dot" w:pos="8590"/>
        </w:tabs>
        <w:spacing w:line="560" w:lineRule="exact"/>
        <w:rPr>
          <w:rFonts w:hint="eastAsia" w:ascii="仿宋" w:hAnsi="仿宋" w:eastAsia="仿宋" w:cs="仿宋"/>
          <w:i w:val="0"/>
          <w:iCs w:val="0"/>
          <w:sz w:val="32"/>
          <w:szCs w:val="32"/>
        </w:rPr>
      </w:pPr>
      <w:r>
        <w:rPr>
          <w:rFonts w:hint="eastAsia" w:ascii="仿宋" w:hAnsi="仿宋" w:eastAsia="仿宋" w:cs="仿宋"/>
          <w:bCs/>
          <w:i w:val="0"/>
          <w:iCs w:val="0"/>
          <w:caps/>
          <w:sz w:val="32"/>
          <w:szCs w:val="32"/>
        </w:rPr>
        <w:fldChar w:fldCharType="begin"/>
      </w:r>
      <w:r>
        <w:rPr>
          <w:rFonts w:hint="eastAsia" w:ascii="仿宋" w:hAnsi="仿宋" w:eastAsia="仿宋" w:cs="仿宋"/>
          <w:bCs/>
          <w:i w:val="0"/>
          <w:iCs w:val="0"/>
          <w:caps/>
          <w:sz w:val="32"/>
          <w:szCs w:val="32"/>
        </w:rPr>
        <w:instrText xml:space="preserve"> HYPERLINK \l _Toc21961 </w:instrText>
      </w:r>
      <w:r>
        <w:rPr>
          <w:rFonts w:hint="eastAsia" w:ascii="仿宋" w:hAnsi="仿宋" w:eastAsia="仿宋" w:cs="仿宋"/>
          <w:bCs/>
          <w:i w:val="0"/>
          <w:iCs w:val="0"/>
          <w:caps/>
          <w:sz w:val="32"/>
          <w:szCs w:val="32"/>
        </w:rPr>
        <w:fldChar w:fldCharType="separate"/>
      </w:r>
      <w:r>
        <w:rPr>
          <w:rFonts w:hint="eastAsia" w:ascii="仿宋" w:hAnsi="仿宋" w:eastAsia="仿宋" w:cs="仿宋"/>
          <w:bCs w:val="0"/>
          <w:i w:val="0"/>
          <w:iCs w:val="0"/>
          <w:sz w:val="32"/>
          <w:szCs w:val="32"/>
        </w:rPr>
        <w:t>附件4：业务专区及网站链接一览表</w:t>
      </w:r>
      <w:r>
        <w:rPr>
          <w:rFonts w:hint="eastAsia" w:ascii="仿宋" w:hAnsi="仿宋" w:eastAsia="仿宋" w:cs="仿宋"/>
          <w:i w:val="0"/>
          <w:iCs w:val="0"/>
          <w:sz w:val="32"/>
          <w:szCs w:val="32"/>
        </w:rPr>
        <w:tab/>
      </w:r>
      <w:r>
        <w:rPr>
          <w:rFonts w:hint="eastAsia" w:ascii="仿宋" w:hAnsi="仿宋" w:eastAsia="仿宋" w:cs="仿宋"/>
          <w:i w:val="0"/>
          <w:iCs w:val="0"/>
          <w:sz w:val="32"/>
          <w:szCs w:val="32"/>
        </w:rPr>
        <w:fldChar w:fldCharType="begin"/>
      </w:r>
      <w:r>
        <w:rPr>
          <w:rFonts w:hint="eastAsia" w:ascii="仿宋" w:hAnsi="仿宋" w:eastAsia="仿宋" w:cs="仿宋"/>
          <w:i w:val="0"/>
          <w:iCs w:val="0"/>
          <w:sz w:val="32"/>
          <w:szCs w:val="32"/>
        </w:rPr>
        <w:instrText xml:space="preserve"> PAGEREF _Toc21961 \h </w:instrText>
      </w:r>
      <w:r>
        <w:rPr>
          <w:rFonts w:hint="eastAsia" w:ascii="仿宋" w:hAnsi="仿宋" w:eastAsia="仿宋" w:cs="仿宋"/>
          <w:i w:val="0"/>
          <w:iCs w:val="0"/>
          <w:sz w:val="32"/>
          <w:szCs w:val="32"/>
        </w:rPr>
        <w:fldChar w:fldCharType="separate"/>
      </w:r>
      <w:r>
        <w:rPr>
          <w:rFonts w:hint="eastAsia" w:ascii="仿宋" w:hAnsi="仿宋" w:eastAsia="仿宋" w:cs="仿宋"/>
          <w:i w:val="0"/>
          <w:iCs w:val="0"/>
          <w:sz w:val="32"/>
          <w:szCs w:val="32"/>
        </w:rPr>
        <w:t>47</w:t>
      </w:r>
      <w:r>
        <w:rPr>
          <w:rFonts w:hint="eastAsia" w:ascii="仿宋" w:hAnsi="仿宋" w:eastAsia="仿宋" w:cs="仿宋"/>
          <w:i w:val="0"/>
          <w:iCs w:val="0"/>
          <w:sz w:val="32"/>
          <w:szCs w:val="32"/>
        </w:rPr>
        <w:fldChar w:fldCharType="end"/>
      </w:r>
      <w:r>
        <w:rPr>
          <w:rFonts w:hint="eastAsia" w:ascii="仿宋" w:hAnsi="仿宋" w:eastAsia="仿宋" w:cs="仿宋"/>
          <w:bCs/>
          <w:i w:val="0"/>
          <w:iCs w:val="0"/>
          <w:caps/>
          <w:sz w:val="32"/>
          <w:szCs w:val="32"/>
        </w:rPr>
        <w:fldChar w:fldCharType="end"/>
      </w:r>
    </w:p>
    <w:p>
      <w:pPr>
        <w:pStyle w:val="11"/>
        <w:widowControl w:val="0"/>
        <w:tabs>
          <w:tab w:val="right" w:leader="dot" w:pos="8580"/>
        </w:tabs>
        <w:snapToGrid/>
        <w:spacing w:line="560" w:lineRule="exact"/>
        <w:ind w:right="225" w:rightChars="107"/>
        <w:jc w:val="left"/>
        <w:rPr>
          <w:rFonts w:hint="eastAsia" w:ascii="仿宋" w:hAnsi="仿宋" w:eastAsia="仿宋" w:cs="仿宋"/>
          <w:b/>
          <w:bCs/>
          <w:i w:val="0"/>
          <w:iCs w:val="0"/>
          <w:caps/>
          <w:sz w:val="32"/>
          <w:szCs w:val="32"/>
        </w:rPr>
      </w:pPr>
      <w:r>
        <w:rPr>
          <w:rFonts w:hint="eastAsia" w:ascii="仿宋" w:hAnsi="仿宋" w:eastAsia="仿宋" w:cs="仿宋"/>
          <w:bCs/>
          <w:i w:val="0"/>
          <w:iCs w:val="0"/>
          <w:caps/>
          <w:sz w:val="32"/>
          <w:szCs w:val="32"/>
        </w:rPr>
        <w:fldChar w:fldCharType="end"/>
      </w:r>
    </w:p>
    <w:p>
      <w:pPr>
        <w:widowControl/>
        <w:tabs>
          <w:tab w:val="right" w:leader="dot" w:pos="8364"/>
        </w:tabs>
        <w:spacing w:line="560" w:lineRule="exact"/>
        <w:ind w:right="225" w:rightChars="107"/>
        <w:jc w:val="left"/>
        <w:rPr>
          <w:rFonts w:hint="eastAsia" w:ascii="仿宋" w:hAnsi="仿宋" w:eastAsia="仿宋" w:cs="仿宋"/>
          <w:i w:val="0"/>
          <w:iCs w:val="0"/>
          <w:sz w:val="32"/>
          <w:szCs w:val="32"/>
        </w:rPr>
        <w:sectPr>
          <w:footerReference r:id="rId4" w:type="default"/>
          <w:pgSz w:w="11910" w:h="16840"/>
          <w:pgMar w:top="1420" w:right="1660" w:bottom="1780" w:left="1660" w:header="852" w:footer="1583" w:gutter="0"/>
          <w:pgNumType w:start="1"/>
          <w:cols w:space="720" w:num="1"/>
          <w:docGrid w:linePitch="286" w:charSpace="0"/>
        </w:sectPr>
      </w:pPr>
    </w:p>
    <w:p>
      <w:pPr>
        <w:widowControl/>
        <w:tabs>
          <w:tab w:val="right" w:leader="dot" w:pos="8364"/>
        </w:tabs>
        <w:spacing w:line="560" w:lineRule="exact"/>
        <w:ind w:right="225" w:rightChars="107"/>
        <w:jc w:val="left"/>
        <w:rPr>
          <w:rFonts w:ascii="仿宋" w:hAnsi="仿宋" w:eastAsia="仿宋" w:cs="Times New Roman"/>
          <w:sz w:val="30"/>
          <w:szCs w:val="30"/>
        </w:rPr>
      </w:pPr>
    </w:p>
    <w:bookmarkEnd w:id="0"/>
    <w:bookmarkEnd w:id="1"/>
    <w:bookmarkEnd w:id="2"/>
    <w:bookmarkEnd w:id="3"/>
    <w:p>
      <w:pPr>
        <w:widowControl/>
        <w:spacing w:before="120" w:beforeLines="50" w:after="120" w:afterLines="50"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重要提示</w:t>
      </w:r>
    </w:p>
    <w:p>
      <w:pPr>
        <w:widowControl/>
        <w:spacing w:before="120" w:beforeLines="50" w:after="120" w:afterLines="50" w:line="560" w:lineRule="exact"/>
        <w:rPr>
          <w:rFonts w:ascii="方正小标宋简体" w:hAnsi="Times New Roman" w:eastAsia="方正小标宋简体"/>
          <w:sz w:val="44"/>
          <w:szCs w:val="44"/>
        </w:rPr>
      </w:pPr>
    </w:p>
    <w:p>
      <w:pPr>
        <w:pStyle w:val="8"/>
        <w:spacing w:after="120" w:afterLines="50" w:line="560" w:lineRule="exact"/>
        <w:ind w:firstLine="640" w:firstLineChars="200"/>
        <w:jc w:val="both"/>
        <w:rPr>
          <w:rFonts w:ascii="仿宋" w:hAnsi="仿宋" w:eastAsia="仿宋"/>
          <w:sz w:val="32"/>
          <w:szCs w:val="32"/>
        </w:rPr>
      </w:pPr>
      <w:r>
        <w:rPr>
          <w:rFonts w:hint="eastAsia" w:ascii="仿宋" w:hAnsi="仿宋" w:eastAsia="仿宋"/>
          <w:sz w:val="32"/>
          <w:szCs w:val="32"/>
        </w:rPr>
        <w:t>一、本指南仅为办理本所债券、资产支持证券及其他具有固定收益特征产品交易及转让相关业务之用，主要涉及债券参与主体、交易前准备工作、债券交易、交易信息及交易价格偏离报备等内容。如本指南与法律法规以及有关业务规则发生冲突，应当以法律法规以及有关业务规则为准。</w:t>
      </w:r>
    </w:p>
    <w:p>
      <w:pPr>
        <w:spacing w:line="560" w:lineRule="exact"/>
        <w:ind w:firstLine="640" w:firstLineChars="200"/>
        <w:rPr>
          <w:rFonts w:ascii="Times New Roman" w:hAnsi="Times New Roman" w:eastAsia="仿宋" w:cs="Times New Roman"/>
          <w:sz w:val="32"/>
          <w:szCs w:val="32"/>
        </w:rPr>
      </w:pPr>
      <w:r>
        <w:rPr>
          <w:rFonts w:hint="eastAsia" w:ascii="仿宋" w:hAnsi="仿宋" w:eastAsia="仿宋"/>
          <w:sz w:val="32"/>
          <w:szCs w:val="32"/>
        </w:rPr>
        <w:t>二、</w:t>
      </w:r>
      <w:r>
        <w:rPr>
          <w:rFonts w:hint="eastAsia" w:ascii="Times New Roman" w:hAnsi="Times New Roman" w:eastAsia="仿宋" w:cs="Times New Roman"/>
          <w:sz w:val="32"/>
          <w:szCs w:val="32"/>
        </w:rPr>
        <w:t>本指南中涉及要求投资者通过电子邮件形式提交相关文件的，应</w:t>
      </w:r>
      <w:r>
        <w:rPr>
          <w:rFonts w:hint="eastAsia" w:ascii="仿宋" w:hAnsi="仿宋" w:eastAsia="仿宋"/>
          <w:color w:val="000000" w:themeColor="text1"/>
          <w:sz w:val="32"/>
          <w:szCs w:val="32"/>
          <w14:textFill>
            <w14:solidFill>
              <w14:schemeClr w14:val="tx1"/>
            </w14:solidFill>
          </w14:textFill>
        </w:rPr>
        <w:t>当</w:t>
      </w:r>
      <w:r>
        <w:rPr>
          <w:rFonts w:hint="eastAsia" w:ascii="仿宋" w:hAnsi="仿宋" w:eastAsia="仿宋" w:cs="Times New Roman"/>
          <w:sz w:val="32"/>
          <w:szCs w:val="32"/>
        </w:rPr>
        <w:t>根据本指南要求在邮件主题中注明办理事项，</w:t>
      </w:r>
      <w:r>
        <w:rPr>
          <w:rFonts w:ascii="仿宋" w:hAnsi="仿宋" w:eastAsia="仿宋" w:cs="Times New Roman"/>
          <w:sz w:val="32"/>
          <w:szCs w:val="32"/>
        </w:rPr>
        <w:t>附件超过10M的</w:t>
      </w:r>
      <w:r>
        <w:rPr>
          <w:rFonts w:hint="eastAsia" w:ascii="仿宋" w:hAnsi="仿宋" w:eastAsia="仿宋" w:cs="Times New Roman"/>
          <w:sz w:val="32"/>
          <w:szCs w:val="32"/>
        </w:rPr>
        <w:t>需</w:t>
      </w:r>
      <w:r>
        <w:rPr>
          <w:rFonts w:ascii="仿宋" w:hAnsi="仿宋" w:eastAsia="仿宋" w:cs="Times New Roman"/>
          <w:sz w:val="32"/>
          <w:szCs w:val="32"/>
        </w:rPr>
        <w:t>以超大附件或网盘链接发送。</w:t>
      </w:r>
      <w:r>
        <w:rPr>
          <w:rFonts w:hint="eastAsia" w:ascii="仿宋" w:hAnsi="仿宋" w:eastAsia="仿宋" w:cs="Times New Roman"/>
          <w:sz w:val="32"/>
          <w:szCs w:val="32"/>
        </w:rPr>
        <w:t>如未特别说明，</w:t>
      </w:r>
      <w:r>
        <w:rPr>
          <w:rFonts w:ascii="仿宋" w:hAnsi="仿宋" w:eastAsia="仿宋" w:cs="Times New Roman"/>
          <w:sz w:val="32"/>
          <w:szCs w:val="32"/>
        </w:rPr>
        <w:t>相关文件均需</w:t>
      </w:r>
      <w:r>
        <w:rPr>
          <w:rFonts w:hint="eastAsia" w:ascii="仿宋" w:hAnsi="仿宋" w:eastAsia="仿宋" w:cs="Times New Roman"/>
          <w:sz w:val="32"/>
          <w:szCs w:val="32"/>
        </w:rPr>
        <w:t>加</w:t>
      </w:r>
      <w:r>
        <w:rPr>
          <w:rFonts w:ascii="仿宋" w:hAnsi="仿宋" w:eastAsia="仿宋" w:cs="Times New Roman"/>
          <w:sz w:val="32"/>
          <w:szCs w:val="32"/>
        </w:rPr>
        <w:t>盖</w:t>
      </w:r>
      <w:r>
        <w:rPr>
          <w:rFonts w:hint="eastAsia" w:ascii="仿宋" w:hAnsi="仿宋" w:eastAsia="仿宋" w:cs="Times New Roman"/>
          <w:sz w:val="32"/>
          <w:szCs w:val="32"/>
        </w:rPr>
        <w:t>公</w:t>
      </w:r>
      <w:r>
        <w:rPr>
          <w:rFonts w:ascii="仿宋" w:hAnsi="仿宋" w:eastAsia="仿宋" w:cs="Times New Roman"/>
          <w:sz w:val="32"/>
          <w:szCs w:val="32"/>
        </w:rPr>
        <w:t>章</w:t>
      </w:r>
      <w:r>
        <w:rPr>
          <w:rFonts w:hint="eastAsia" w:ascii="仿宋" w:hAnsi="仿宋" w:eastAsia="仿宋" w:cs="Times New Roman"/>
          <w:sz w:val="32"/>
          <w:szCs w:val="32"/>
        </w:rPr>
        <w:t>，</w:t>
      </w:r>
      <w:r>
        <w:rPr>
          <w:rFonts w:ascii="仿宋" w:hAnsi="仿宋" w:eastAsia="仿宋" w:cs="Times New Roman"/>
          <w:sz w:val="32"/>
          <w:szCs w:val="32"/>
        </w:rPr>
        <w:t>以彩色扫描件方式制作成PDF文件</w:t>
      </w:r>
      <w:r>
        <w:rPr>
          <w:rFonts w:hint="eastAsia" w:ascii="仿宋" w:hAnsi="仿宋" w:eastAsia="仿宋" w:cs="Times New Roman"/>
          <w:sz w:val="32"/>
          <w:szCs w:val="32"/>
        </w:rPr>
        <w:t>。投资者</w:t>
      </w:r>
      <w:r>
        <w:rPr>
          <w:rFonts w:ascii="仿宋" w:hAnsi="仿宋" w:eastAsia="仿宋" w:cs="Times New Roman"/>
          <w:sz w:val="32"/>
          <w:szCs w:val="32"/>
        </w:rPr>
        <w:t>应当保证</w:t>
      </w:r>
      <w:r>
        <w:rPr>
          <w:rFonts w:hint="eastAsia" w:ascii="仿宋" w:hAnsi="仿宋" w:eastAsia="仿宋" w:cs="Times New Roman"/>
          <w:sz w:val="32"/>
          <w:szCs w:val="32"/>
        </w:rPr>
        <w:t>所</w:t>
      </w:r>
      <w:r>
        <w:rPr>
          <w:rFonts w:ascii="仿宋" w:hAnsi="仿宋" w:eastAsia="仿宋" w:cs="Times New Roman"/>
          <w:sz w:val="32"/>
          <w:szCs w:val="32"/>
        </w:rPr>
        <w:t>提交的文件真实、准确、完整，不存在虚假记载、误导性陈述或者重大遗漏，并确保提交的电子文件与原件一致。</w:t>
      </w:r>
    </w:p>
    <w:p>
      <w:pPr>
        <w:pStyle w:val="8"/>
        <w:spacing w:after="120" w:afterLines="50" w:line="560" w:lineRule="exact"/>
        <w:ind w:firstLine="640" w:firstLineChars="200"/>
        <w:jc w:val="both"/>
        <w:rPr>
          <w:rFonts w:ascii="仿宋" w:hAnsi="仿宋" w:eastAsia="仿宋"/>
          <w:sz w:val="32"/>
          <w:szCs w:val="32"/>
        </w:rPr>
      </w:pPr>
      <w:r>
        <w:rPr>
          <w:rFonts w:hint="eastAsia" w:ascii="仿宋" w:hAnsi="仿宋" w:eastAsia="仿宋"/>
          <w:sz w:val="32"/>
          <w:szCs w:val="32"/>
        </w:rPr>
        <w:t>三、本所将根据业务需要不定期对本指南作出修订，并保留对本指南的最终解释权。</w:t>
      </w:r>
    </w:p>
    <w:p>
      <w:pPr>
        <w:spacing w:line="560" w:lineRule="exact"/>
        <w:rPr>
          <w:rFonts w:ascii="Times New Roman" w:hAnsi="Times New Roman" w:eastAsia="仿宋" w:cs="Times New Roman"/>
          <w:sz w:val="32"/>
          <w:szCs w:val="32"/>
        </w:rPr>
      </w:pPr>
    </w:p>
    <w:p>
      <w:pPr>
        <w:widowControl/>
        <w:jc w:val="left"/>
        <w:rPr>
          <w:rFonts w:ascii="Times New Roman" w:hAnsi="Times New Roman" w:eastAsia="黑体" w:cs="Times New Roman"/>
          <w:sz w:val="32"/>
          <w:szCs w:val="32"/>
        </w:rPr>
      </w:pPr>
      <w:bookmarkStart w:id="4" w:name="_Toc70416537"/>
      <w:bookmarkStart w:id="5" w:name="_Toc513792075"/>
      <w:bookmarkStart w:id="6" w:name="_Toc70416341"/>
      <w:bookmarkStart w:id="7" w:name="_Toc519177307"/>
      <w:bookmarkStart w:id="8" w:name="_Toc70585978"/>
      <w:bookmarkStart w:id="9" w:name="_Toc70416308"/>
      <w:bookmarkStart w:id="10" w:name="_Toc513792042"/>
      <w:bookmarkStart w:id="11" w:name="_Toc5193294"/>
      <w:bookmarkStart w:id="12" w:name="_Toc513791789"/>
      <w:r>
        <w:rPr>
          <w:rFonts w:ascii="Times New Roman" w:hAnsi="Times New Roman" w:eastAsia="黑体" w:cs="Times New Roman"/>
          <w:b/>
          <w:bCs/>
          <w:sz w:val="32"/>
          <w:szCs w:val="32"/>
        </w:rPr>
        <w:br w:type="page"/>
      </w:r>
    </w:p>
    <w:p>
      <w:pPr>
        <w:pStyle w:val="2"/>
        <w:keepNext w:val="0"/>
        <w:keepLines w:val="0"/>
        <w:spacing w:before="240" w:beforeLines="100" w:after="120" w:afterLines="50" w:line="560" w:lineRule="exact"/>
        <w:jc w:val="center"/>
        <w:rPr>
          <w:rFonts w:ascii="仿宋" w:hAnsi="仿宋" w:eastAsia="仿宋" w:cs="Times New Roman"/>
          <w:sz w:val="32"/>
          <w:szCs w:val="32"/>
        </w:rPr>
      </w:pPr>
      <w:bookmarkStart w:id="13" w:name="_Toc8625"/>
      <w:bookmarkStart w:id="14" w:name="_Toc27326"/>
      <w:bookmarkStart w:id="15" w:name="_Toc123809359"/>
      <w:bookmarkStart w:id="16" w:name="_Toc6211"/>
      <w:bookmarkStart w:id="17" w:name="_Toc7977"/>
      <w:bookmarkStart w:id="18" w:name="_Toc17264"/>
      <w:bookmarkStart w:id="19" w:name="_Toc26957"/>
      <w:r>
        <w:rPr>
          <w:rFonts w:hint="eastAsia" w:ascii="仿宋" w:hAnsi="仿宋" w:eastAsia="仿宋" w:cs="Times New Roman"/>
          <w:sz w:val="32"/>
          <w:szCs w:val="32"/>
        </w:rPr>
        <w:t>第一章 债券</w:t>
      </w:r>
      <w:r>
        <w:rPr>
          <w:rFonts w:hint="eastAsia" w:ascii="Times New Roman" w:hAnsi="Times New Roman" w:eastAsia="仿宋" w:cs="Times New Roman"/>
          <w:bCs w:val="0"/>
          <w:kern w:val="2"/>
          <w:sz w:val="32"/>
          <w:szCs w:val="32"/>
        </w:rPr>
        <w:t>参与主体</w:t>
      </w:r>
      <w:bookmarkEnd w:id="13"/>
      <w:bookmarkEnd w:id="14"/>
      <w:bookmarkEnd w:id="15"/>
      <w:bookmarkEnd w:id="16"/>
      <w:bookmarkEnd w:id="17"/>
      <w:bookmarkEnd w:id="18"/>
      <w:bookmarkEnd w:id="19"/>
    </w:p>
    <w:p>
      <w:pPr>
        <w:pStyle w:val="3"/>
        <w:keepNext w:val="0"/>
        <w:keepLines w:val="0"/>
        <w:spacing w:before="0" w:after="0" w:line="560" w:lineRule="exact"/>
        <w:ind w:firstLine="640" w:firstLineChars="200"/>
        <w:rPr>
          <w:rFonts w:ascii="黑体" w:hAnsi="黑体" w:eastAsia="黑体"/>
          <w:b w:val="0"/>
        </w:rPr>
      </w:pPr>
      <w:bookmarkStart w:id="20" w:name="_Toc122379691"/>
      <w:bookmarkStart w:id="21" w:name="_Toc6826"/>
      <w:bookmarkStart w:id="22" w:name="_Toc795"/>
      <w:bookmarkStart w:id="23" w:name="_Toc26013"/>
      <w:bookmarkStart w:id="24" w:name="_Toc2660"/>
      <w:bookmarkStart w:id="25" w:name="_Toc12657"/>
      <w:bookmarkStart w:id="26" w:name="_Toc17641"/>
      <w:bookmarkStart w:id="27" w:name="_Toc123809360"/>
      <w:r>
        <w:rPr>
          <w:rFonts w:ascii="黑体" w:hAnsi="黑体" w:eastAsia="黑体"/>
          <w:b w:val="0"/>
        </w:rPr>
        <w:t>一、</w:t>
      </w:r>
      <w:r>
        <w:rPr>
          <w:rFonts w:hint="eastAsia" w:ascii="黑体" w:hAnsi="黑体" w:eastAsia="黑体"/>
          <w:b w:val="0"/>
        </w:rPr>
        <w:t>债券交易参与人</w:t>
      </w:r>
      <w:bookmarkEnd w:id="20"/>
      <w:bookmarkEnd w:id="21"/>
      <w:bookmarkEnd w:id="22"/>
      <w:bookmarkEnd w:id="23"/>
      <w:bookmarkEnd w:id="24"/>
      <w:bookmarkEnd w:id="25"/>
      <w:bookmarkEnd w:id="26"/>
      <w:bookmarkEnd w:id="27"/>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 w:hAnsi="仿宋" w:eastAsia="仿宋"/>
          <w:bCs/>
          <w:sz w:val="32"/>
          <w:szCs w:val="32"/>
        </w:rPr>
      </w:pPr>
      <w:r>
        <w:rPr>
          <w:rFonts w:hint="eastAsia" w:ascii="Times New Roman" w:hAnsi="Times New Roman" w:eastAsia="仿宋" w:cs="Times New Roman"/>
          <w:sz w:val="32"/>
          <w:szCs w:val="32"/>
        </w:rPr>
        <w:t>根据《深圳证券交易所债券交易规则》（以下简称《债券交易规则》）以及《深圳证券交易所债券交易业务指引第1号——债券交易参与人管理》（以下简称《债券参与人指引》）规定，债券交易参与人可以通过设立或者租用债券专用交易单元等方式参与本所债券交易，</w:t>
      </w:r>
      <w:r>
        <w:rPr>
          <w:rFonts w:hint="eastAsia" w:ascii="仿宋" w:hAnsi="仿宋" w:eastAsia="仿宋"/>
          <w:sz w:val="32"/>
          <w:szCs w:val="32"/>
        </w:rPr>
        <w:t>未成为债券交易参与人的债券投资者可以作为经纪客户委托本所会员参与债券交易。</w:t>
      </w:r>
    </w:p>
    <w:p>
      <w:pPr>
        <w:pStyle w:val="4"/>
        <w:keepNext w:val="0"/>
        <w:keepLines w:val="0"/>
        <w:spacing w:before="0" w:after="0" w:line="560" w:lineRule="exact"/>
        <w:ind w:firstLine="640" w:firstLineChars="200"/>
        <w:rPr>
          <w:rFonts w:ascii="楷体" w:hAnsi="楷体" w:eastAsia="楷体" w:cs="Times New Roman"/>
          <w:b w:val="0"/>
        </w:rPr>
      </w:pPr>
      <w:bookmarkStart w:id="28" w:name="_Toc837"/>
      <w:bookmarkStart w:id="29" w:name="_Toc122379692"/>
      <w:bookmarkStart w:id="30" w:name="_Toc10234"/>
      <w:bookmarkStart w:id="31" w:name="_Toc17320"/>
      <w:bookmarkStart w:id="32" w:name="_Toc11827"/>
      <w:bookmarkStart w:id="33" w:name="_Toc10173"/>
      <w:bookmarkStart w:id="34" w:name="_Toc11281"/>
      <w:bookmarkStart w:id="35" w:name="_Toc123809361"/>
      <w:r>
        <w:rPr>
          <w:rFonts w:hint="eastAsia" w:ascii="楷体" w:hAnsi="楷体" w:eastAsia="楷体" w:cs="Times New Roman"/>
          <w:b w:val="0"/>
        </w:rPr>
        <w:t>（一）申请标准</w:t>
      </w:r>
      <w:bookmarkEnd w:id="28"/>
      <w:bookmarkEnd w:id="29"/>
      <w:bookmarkEnd w:id="30"/>
      <w:bookmarkEnd w:id="31"/>
      <w:bookmarkEnd w:id="32"/>
      <w:bookmarkEnd w:id="33"/>
      <w:bookmarkEnd w:id="34"/>
      <w:bookmarkEnd w:id="35"/>
    </w:p>
    <w:p>
      <w:pPr>
        <w:spacing w:line="560" w:lineRule="exact"/>
        <w:ind w:firstLine="640" w:firstLineChars="200"/>
        <w:rPr>
          <w:rFonts w:ascii="Times New Roman" w:hAnsi="Times New Roman" w:eastAsia="仿宋" w:cs="Times New Roman"/>
          <w:b/>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．新增债券交易参与人申请标准</w:t>
      </w:r>
    </w:p>
    <w:p>
      <w:pPr>
        <w:spacing w:line="560" w:lineRule="exact"/>
        <w:ind w:firstLine="646" w:firstLineChars="202"/>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根据《债券交易规则》以及《</w:t>
      </w:r>
      <w:r>
        <w:rPr>
          <w:rFonts w:hint="eastAsia" w:ascii="Times New Roman" w:hAnsi="Times New Roman" w:eastAsia="仿宋" w:cs="Times New Roman"/>
          <w:sz w:val="32"/>
          <w:szCs w:val="32"/>
        </w:rPr>
        <w:t>债券参与人指引</w:t>
      </w:r>
      <w:r>
        <w:rPr>
          <w:rFonts w:hint="eastAsia" w:ascii="仿宋" w:hAnsi="仿宋" w:eastAsia="仿宋"/>
          <w:color w:val="000000" w:themeColor="text1"/>
          <w:sz w:val="32"/>
          <w:szCs w:val="32"/>
          <w14:textFill>
            <w14:solidFill>
              <w14:schemeClr w14:val="tx1"/>
            </w14:solidFill>
          </w14:textFill>
        </w:rPr>
        <w:t>》规定，</w:t>
      </w:r>
      <w:r>
        <w:rPr>
          <w:rFonts w:hint="eastAsia" w:ascii="仿宋" w:hAnsi="仿宋" w:eastAsia="仿宋" w:cs="仿宋"/>
          <w:color w:val="000000" w:themeColor="text1"/>
          <w:kern w:val="0"/>
          <w:sz w:val="32"/>
          <w:szCs w:val="32"/>
          <w14:textFill>
            <w14:solidFill>
              <w14:schemeClr w14:val="tx1"/>
            </w14:solidFill>
          </w14:textFill>
        </w:rPr>
        <w:t>本所会员直接成为债券交易参与人，符合以下条件的非会员机构可以申请成为债券交易参与人。</w:t>
      </w:r>
    </w:p>
    <w:p>
      <w:pPr>
        <w:widowControl/>
        <w:snapToGrid w:val="0"/>
        <w:spacing w:line="560" w:lineRule="exact"/>
        <w:ind w:firstLine="480"/>
        <w:jc w:val="center"/>
        <w:rPr>
          <w:rFonts w:ascii="仿宋" w:hAnsi="仿宋" w:eastAsia="仿宋" w:cs="Times New Roman"/>
          <w:color w:val="000000"/>
          <w:sz w:val="24"/>
          <w:szCs w:val="24"/>
        </w:rPr>
      </w:pPr>
      <w:r>
        <w:rPr>
          <w:rFonts w:hint="eastAsia" w:ascii="仿宋" w:hAnsi="仿宋" w:eastAsia="仿宋"/>
          <w:sz w:val="24"/>
          <w:szCs w:val="24"/>
        </w:rPr>
        <w:t>表</w:t>
      </w:r>
      <w:r>
        <w:rPr>
          <w:rFonts w:ascii="仿宋" w:hAnsi="仿宋" w:eastAsia="仿宋"/>
          <w:sz w:val="24"/>
          <w:szCs w:val="24"/>
        </w:rPr>
        <w:t>1-非会员机构申请成为债券交易参与人需满足的条件</w:t>
      </w:r>
    </w:p>
    <w:tbl>
      <w:tblPr>
        <w:tblStyle w:val="26"/>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055"/>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shd w:val="clear" w:color="auto" w:fill="auto"/>
            <w:noWrap/>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条件要求</w:t>
            </w:r>
          </w:p>
        </w:tc>
        <w:tc>
          <w:tcPr>
            <w:tcW w:w="7199" w:type="dxa"/>
            <w:shd w:val="clear" w:color="auto" w:fill="auto"/>
            <w:noWrap/>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具体规定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restart"/>
            <w:shd w:val="clear" w:color="auto" w:fill="auto"/>
            <w:noWrap/>
            <w:vAlign w:val="center"/>
          </w:tcPr>
          <w:p>
            <w:pPr>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定性条件</w:t>
            </w:r>
          </w:p>
          <w:p>
            <w:pPr>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《债券参与人指引》第四条</w:t>
            </w: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1.具备较强资本、资金实力与持续经营能力或者具有参与债券交易的相应功能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continue"/>
            <w:shd w:val="clear" w:color="auto" w:fill="auto"/>
            <w:noWrap/>
            <w:vAlign w:val="center"/>
          </w:tcPr>
          <w:p>
            <w:pPr>
              <w:widowControl/>
              <w:jc w:val="left"/>
              <w:rPr>
                <w:rFonts w:ascii="仿宋" w:hAnsi="仿宋" w:eastAsia="仿宋" w:cs="宋体"/>
                <w:b/>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2.具有独立的交易团队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continue"/>
            <w:shd w:val="clear" w:color="auto" w:fill="auto"/>
            <w:noWrap/>
            <w:vAlign w:val="center"/>
          </w:tcPr>
          <w:p>
            <w:pPr>
              <w:widowControl/>
              <w:jc w:val="left"/>
              <w:rPr>
                <w:rFonts w:ascii="仿宋" w:hAnsi="仿宋" w:eastAsia="仿宋" w:cs="宋体"/>
                <w:b/>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3.具有完善的交易业务管理制度和风险控制制度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continue"/>
            <w:shd w:val="clear" w:color="auto" w:fill="auto"/>
            <w:noWrap/>
            <w:vAlign w:val="center"/>
          </w:tcPr>
          <w:p>
            <w:pPr>
              <w:widowControl/>
              <w:jc w:val="left"/>
              <w:rPr>
                <w:rFonts w:ascii="仿宋" w:hAnsi="仿宋" w:eastAsia="仿宋" w:cs="宋体"/>
                <w:b/>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4.具有能够支持开展债券交易的相关技术系统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continue"/>
            <w:shd w:val="clear" w:color="auto" w:fill="auto"/>
            <w:noWrap/>
            <w:vAlign w:val="center"/>
          </w:tcPr>
          <w:p>
            <w:pPr>
              <w:widowControl/>
              <w:jc w:val="left"/>
              <w:rPr>
                <w:rFonts w:ascii="仿宋" w:hAnsi="仿宋" w:eastAsia="仿宋" w:cs="宋体"/>
                <w:b/>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5.债券投资交易量较大，具有较强的债券交易需求；</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即年度全市场债券交易量应当达到</w:t>
            </w:r>
            <w:r>
              <w:rPr>
                <w:rFonts w:ascii="仿宋" w:hAnsi="仿宋" w:eastAsia="仿宋" w:cs="宋体"/>
                <w:color w:val="000000" w:themeColor="text1"/>
                <w:kern w:val="0"/>
                <w:sz w:val="28"/>
                <w:szCs w:val="28"/>
                <w14:textFill>
                  <w14:solidFill>
                    <w14:schemeClr w14:val="tx1"/>
                  </w14:solidFill>
                </w14:textFill>
              </w:rPr>
              <w:t>1,000亿元</w:t>
            </w:r>
            <w:r>
              <w:rPr>
                <w:rFonts w:hint="eastAsia" w:ascii="仿宋" w:hAnsi="仿宋" w:eastAsia="仿宋" w:cs="宋体"/>
                <w:color w:val="000000" w:themeColor="text1"/>
                <w:kern w:val="0"/>
                <w:sz w:val="28"/>
                <w:szCs w:val="28"/>
                <w14:textFill>
                  <w14:solidFill>
                    <w14:schemeClr w14:val="tx1"/>
                  </w14:solidFill>
                </w14:textFill>
              </w:rPr>
              <w:t>及</w:t>
            </w:r>
            <w:r>
              <w:rPr>
                <w:rFonts w:ascii="仿宋" w:hAnsi="仿宋" w:eastAsia="仿宋" w:cs="宋体"/>
                <w:color w:val="000000" w:themeColor="text1"/>
                <w:kern w:val="0"/>
                <w:sz w:val="28"/>
                <w:szCs w:val="28"/>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2" w:type="dxa"/>
            <w:gridSpan w:val="2"/>
            <w:vMerge w:val="continue"/>
            <w:shd w:val="clear" w:color="auto" w:fill="auto"/>
            <w:noWrap/>
            <w:vAlign w:val="center"/>
          </w:tcPr>
          <w:p>
            <w:pPr>
              <w:widowControl/>
              <w:jc w:val="left"/>
              <w:rPr>
                <w:rFonts w:ascii="仿宋" w:hAnsi="仿宋" w:eastAsia="仿宋" w:cs="宋体"/>
                <w:b/>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6.近</w:t>
            </w:r>
            <w:r>
              <w:rPr>
                <w:rFonts w:ascii="仿宋" w:hAnsi="仿宋" w:eastAsia="仿宋" w:cs="宋体"/>
                <w:color w:val="000000" w:themeColor="text1"/>
                <w:kern w:val="0"/>
                <w:sz w:val="28"/>
                <w:szCs w:val="28"/>
                <w14:textFill>
                  <w14:solidFill>
                    <w14:schemeClr w14:val="tx1"/>
                  </w14:solidFill>
                </w14:textFill>
              </w:rPr>
              <w:t>2年无债券交易结算重大违法违规行为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7" w:type="dxa"/>
            <w:vMerge w:val="restart"/>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定量条件</w:t>
            </w:r>
          </w:p>
        </w:tc>
        <w:tc>
          <w:tcPr>
            <w:tcW w:w="2055" w:type="dxa"/>
            <w:vMerge w:val="restart"/>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较强资本、资金实力</w:t>
            </w:r>
          </w:p>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《债券参与人指引》第五条</w:t>
            </w: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银行：最近一个会计年度年末净资产不低于</w:t>
            </w:r>
            <w:r>
              <w:rPr>
                <w:rFonts w:ascii="仿宋" w:hAnsi="仿宋" w:eastAsia="仿宋" w:cs="宋体"/>
                <w:color w:val="000000" w:themeColor="text1"/>
                <w:kern w:val="0"/>
                <w:sz w:val="28"/>
                <w:szCs w:val="28"/>
                <w14:textFill>
                  <w14:solidFill>
                    <w14:schemeClr w14:val="tx1"/>
                  </w14:solidFill>
                </w14:textFill>
              </w:rPr>
              <w:t>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87" w:type="dxa"/>
            <w:vMerge w:val="continue"/>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2055" w:type="dxa"/>
            <w:vMerge w:val="continue"/>
            <w:shd w:val="clear" w:color="auto" w:fill="auto"/>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资产管理机构：公募资管资格、或者最近一个会计年度年末管理规模不低于</w:t>
            </w:r>
            <w:r>
              <w:rPr>
                <w:rFonts w:ascii="仿宋" w:hAnsi="仿宋" w:eastAsia="仿宋" w:cs="宋体"/>
                <w:color w:val="000000" w:themeColor="text1"/>
                <w:kern w:val="0"/>
                <w:sz w:val="28"/>
                <w:szCs w:val="28"/>
                <w14:textFill>
                  <w14:solidFill>
                    <w14:schemeClr w14:val="tx1"/>
                  </w14:solidFill>
                </w14:textFill>
              </w:rPr>
              <w:t>500亿</w:t>
            </w:r>
            <w:r>
              <w:rPr>
                <w:rFonts w:hint="eastAsia" w:ascii="仿宋" w:hAnsi="仿宋" w:eastAsia="仿宋" w:cs="宋体"/>
                <w:color w:val="000000" w:themeColor="text1"/>
                <w:kern w:val="0"/>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87" w:type="dxa"/>
            <w:vMerge w:val="continue"/>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2055" w:type="dxa"/>
            <w:vMerge w:val="continue"/>
            <w:shd w:val="clear" w:color="auto" w:fill="auto"/>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7199" w:type="dxa"/>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其他机构：最近一个会计年度年末净资产不低于</w:t>
            </w:r>
            <w:r>
              <w:rPr>
                <w:rFonts w:ascii="仿宋" w:hAnsi="仿宋" w:eastAsia="仿宋" w:cs="宋体"/>
                <w:color w:val="000000" w:themeColor="text1"/>
                <w:kern w:val="0"/>
                <w:sz w:val="28"/>
                <w:szCs w:val="28"/>
                <w14:textFill>
                  <w14:solidFill>
                    <w14:schemeClr w14:val="tx1"/>
                  </w14:solidFill>
                </w14:textFill>
              </w:rPr>
              <w:t>50亿元</w:t>
            </w:r>
          </w:p>
        </w:tc>
      </w:tr>
    </w:tbl>
    <w:p>
      <w:pPr>
        <w:pStyle w:val="53"/>
        <w:spacing w:line="560" w:lineRule="exact"/>
        <w:ind w:firstLine="640"/>
        <w:rPr>
          <w:rFonts w:eastAsia="仿宋"/>
          <w:kern w:val="2"/>
          <w:sz w:val="32"/>
          <w:szCs w:val="32"/>
        </w:rPr>
      </w:pPr>
      <w:r>
        <w:rPr>
          <w:rFonts w:hint="eastAsia" w:eastAsia="仿宋"/>
          <w:kern w:val="2"/>
          <w:sz w:val="32"/>
          <w:szCs w:val="32"/>
        </w:rPr>
        <w:t>本所可以根据市场发展情况调整非会员机构申请成为债券交易参与人的定量条件标准。</w:t>
      </w:r>
    </w:p>
    <w:p>
      <w:pPr>
        <w:spacing w:line="560" w:lineRule="exact"/>
        <w:ind w:firstLine="640" w:firstLineChars="200"/>
        <w:rPr>
          <w:rFonts w:ascii="Times New Roman" w:hAnsi="Times New Roman" w:eastAsia="仿宋" w:cs="Times New Roman"/>
          <w:b/>
        </w:rPr>
      </w:pPr>
      <w:r>
        <w:rPr>
          <w:rFonts w:hint="eastAsia" w:ascii="Times New Roman" w:hAnsi="Times New Roman" w:eastAsia="仿宋" w:cs="Times New Roman"/>
          <w:sz w:val="32"/>
          <w:szCs w:val="32"/>
        </w:rPr>
        <w:t>2．存量机构衔接安排</w:t>
      </w:r>
    </w:p>
    <w:p>
      <w:pPr>
        <w:pStyle w:val="53"/>
        <w:spacing w:line="560" w:lineRule="exact"/>
        <w:ind w:firstLine="640"/>
        <w:rPr>
          <w:rFonts w:eastAsia="仿宋"/>
          <w:kern w:val="2"/>
          <w:sz w:val="32"/>
          <w:szCs w:val="32"/>
        </w:rPr>
      </w:pPr>
      <w:r>
        <w:rPr>
          <w:rFonts w:hint="eastAsia" w:eastAsia="仿宋"/>
          <w:kern w:val="2"/>
          <w:sz w:val="32"/>
          <w:szCs w:val="32"/>
        </w:rPr>
        <w:t>为实现存量已进场机构身份平稳衔接，根据《关于债券交易参与人相关安排的通知》要求，《债券参与人指引》施行前已进场的银行机构、以及交易结算路径处于正常开通状态的存量其他交易参与人</w:t>
      </w:r>
      <w:r>
        <w:rPr>
          <w:rStyle w:val="33"/>
          <w:rFonts w:eastAsia="仿宋"/>
          <w:kern w:val="2"/>
          <w:sz w:val="32"/>
          <w:szCs w:val="32"/>
        </w:rPr>
        <w:footnoteReference w:id="0"/>
      </w:r>
      <w:r>
        <w:rPr>
          <w:rFonts w:hint="eastAsia" w:eastAsia="仿宋"/>
          <w:kern w:val="2"/>
          <w:sz w:val="32"/>
          <w:szCs w:val="32"/>
        </w:rPr>
        <w:t>（期货公司除外）直接成为债券交易参与人，无需另行申请。存量机构直接成为债券交易参与人的，原有身份和进场方式不受影响，可以继续通过原有方式参与本所债券交易。</w:t>
      </w:r>
    </w:p>
    <w:p>
      <w:pPr>
        <w:pStyle w:val="4"/>
        <w:keepNext w:val="0"/>
        <w:keepLines w:val="0"/>
        <w:spacing w:before="0" w:after="0" w:line="560" w:lineRule="exact"/>
        <w:ind w:firstLine="640" w:firstLineChars="200"/>
        <w:rPr>
          <w:rFonts w:ascii="楷体" w:hAnsi="楷体" w:eastAsia="楷体"/>
          <w:b w:val="0"/>
        </w:rPr>
      </w:pPr>
      <w:bookmarkStart w:id="36" w:name="_Toc10307"/>
      <w:bookmarkStart w:id="37" w:name="_Toc7901"/>
      <w:bookmarkStart w:id="38" w:name="_Toc17636"/>
      <w:bookmarkStart w:id="39" w:name="_Toc123809362"/>
      <w:bookmarkStart w:id="40" w:name="_Toc11895"/>
      <w:bookmarkStart w:id="41" w:name="_Toc1529"/>
      <w:bookmarkStart w:id="42" w:name="_Toc7636"/>
      <w:r>
        <w:rPr>
          <w:rFonts w:hint="eastAsia" w:ascii="楷体" w:hAnsi="楷体" w:eastAsia="楷体" w:cs="Times New Roman"/>
          <w:b w:val="0"/>
        </w:rPr>
        <w:t>（二）申请流程</w:t>
      </w:r>
      <w:bookmarkEnd w:id="36"/>
      <w:bookmarkEnd w:id="37"/>
      <w:bookmarkEnd w:id="38"/>
      <w:bookmarkEnd w:id="39"/>
      <w:bookmarkEnd w:id="40"/>
      <w:bookmarkEnd w:id="41"/>
      <w:bookmarkEnd w:id="42"/>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符合条件的非会员机构申请成为债券交易参与人的，应当通过以下方式提交申请材料，并根据《深圳证券交易所进场业务指南》完成机构进场相关准备工作。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．提交预沟通材料</w:t>
      </w:r>
    </w:p>
    <w:p>
      <w:pPr>
        <w:spacing w:line="560" w:lineRule="exact"/>
        <w:ind w:firstLine="640" w:firstLineChars="200"/>
        <w:rPr>
          <w:rFonts w:ascii="仿宋" w:hAnsi="仿宋" w:eastAsia="仿宋" w:cs="Times New Roman"/>
          <w:color w:val="000000"/>
          <w:sz w:val="32"/>
          <w:szCs w:val="32"/>
        </w:rPr>
      </w:pPr>
      <w:r>
        <w:rPr>
          <w:rFonts w:hint="eastAsia" w:ascii="Times New Roman" w:hAnsi="Times New Roman" w:eastAsia="仿宋" w:cs="Times New Roman"/>
          <w:sz w:val="32"/>
          <w:szCs w:val="32"/>
        </w:rPr>
        <w:t>申请机构应当</w:t>
      </w:r>
      <w:r>
        <w:rPr>
          <w:rFonts w:hint="eastAsia" w:ascii="仿宋" w:hAnsi="仿宋" w:eastAsia="仿宋" w:cs="Times New Roman"/>
          <w:color w:val="000000"/>
          <w:sz w:val="32"/>
          <w:szCs w:val="32"/>
        </w:rPr>
        <w:t>向本所公共邮箱（</w:t>
      </w:r>
      <w:r>
        <w:fldChar w:fldCharType="begin"/>
      </w:r>
      <w:r>
        <w:instrText xml:space="preserve"> HYPERLINK "mailto:szsebond@szse.cn" </w:instrText>
      </w:r>
      <w:r>
        <w:fldChar w:fldCharType="separate"/>
      </w:r>
      <w:r>
        <w:rPr>
          <w:rStyle w:val="31"/>
          <w:rFonts w:ascii="Times New Roman" w:hAnsi="Times New Roman" w:eastAsia="仿宋" w:cs="Times New Roman"/>
          <w:sz w:val="32"/>
          <w:szCs w:val="32"/>
        </w:rPr>
        <w:t>szsebond@szse.cn</w:t>
      </w:r>
      <w:r>
        <w:rPr>
          <w:rStyle w:val="31"/>
          <w:rFonts w:ascii="Times New Roman" w:hAnsi="Times New Roman" w:eastAsia="仿宋" w:cs="Times New Roman"/>
          <w:sz w:val="32"/>
          <w:szCs w:val="32"/>
        </w:rPr>
        <w:fldChar w:fldCharType="end"/>
      </w:r>
      <w:r>
        <w:rPr>
          <w:rFonts w:hint="eastAsia" w:ascii="仿宋" w:hAnsi="仿宋" w:eastAsia="仿宋" w:cs="Times New Roman"/>
          <w:color w:val="000000"/>
          <w:sz w:val="32"/>
          <w:szCs w:val="32"/>
        </w:rPr>
        <w:t>）提交《深圳证券交易所债券交易参与人申请书》（以下简称《申请书》，附件</w:t>
      </w:r>
      <w:r>
        <w:rPr>
          <w:rFonts w:ascii="Times New Roman" w:hAnsi="Times New Roman" w:eastAsia="仿宋" w:cs="Times New Roman"/>
          <w:color w:val="000000"/>
          <w:sz w:val="32"/>
          <w:szCs w:val="32"/>
        </w:rPr>
        <w:t>1</w:t>
      </w:r>
      <w:r>
        <w:rPr>
          <w:rFonts w:hint="eastAsia" w:ascii="仿宋" w:hAnsi="仿宋" w:eastAsia="仿宋" w:cs="Times New Roman"/>
          <w:color w:val="000000"/>
          <w:sz w:val="32"/>
          <w:szCs w:val="32"/>
        </w:rPr>
        <w:t>）等材料，进行申请事项预沟通。</w:t>
      </w:r>
      <w:r>
        <w:rPr>
          <w:rFonts w:hint="eastAsia" w:ascii="仿宋" w:hAnsi="仿宋" w:eastAsia="仿宋" w:cs="Times New Roman"/>
          <w:sz w:val="32"/>
          <w:szCs w:val="32"/>
        </w:rPr>
        <w:t>邮件主题格式统一为</w:t>
      </w:r>
      <w:r>
        <w:rPr>
          <w:rFonts w:ascii="仿宋" w:hAnsi="仿宋" w:eastAsia="仿宋" w:cs="Times New Roman"/>
          <w:sz w:val="32"/>
          <w:szCs w:val="32"/>
        </w:rPr>
        <w:t>“</w:t>
      </w:r>
      <w:r>
        <w:rPr>
          <w:rFonts w:hint="eastAsia" w:ascii="Times New Roman" w:hAnsi="Times New Roman" w:eastAsia="仿宋" w:cs="Times New Roman"/>
          <w:sz w:val="32"/>
          <w:szCs w:val="32"/>
        </w:rPr>
        <w:t>债券交易参与人</w:t>
      </w:r>
      <w:r>
        <w:rPr>
          <w:rFonts w:hint="eastAsia" w:ascii="仿宋" w:hAnsi="仿宋" w:eastAsia="仿宋" w:cs="Times New Roman"/>
          <w:sz w:val="32"/>
          <w:szCs w:val="32"/>
        </w:rPr>
        <w:t>申请预沟通+机构全称</w:t>
      </w:r>
      <w:r>
        <w:rPr>
          <w:rFonts w:ascii="仿宋" w:hAnsi="仿宋" w:eastAsia="仿宋" w:cs="Times New Roman"/>
          <w:sz w:val="32"/>
          <w:szCs w:val="32"/>
        </w:rPr>
        <w:t>”</w:t>
      </w:r>
      <w:r>
        <w:rPr>
          <w:rFonts w:hint="eastAsia" w:ascii="仿宋" w:hAnsi="仿宋" w:eastAsia="仿宋" w:cs="Times New Roman"/>
          <w:sz w:val="32"/>
          <w:szCs w:val="32"/>
        </w:rPr>
        <w:t>，预沟通材料可以暂不用印。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2．提交正式申请材料</w:t>
      </w:r>
    </w:p>
    <w:p>
      <w:pPr>
        <w:wordWrap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经预沟通确认材料齐备后，申请机构应当登录本所会员业务专区（以下简称会员专区）（</w:t>
      </w:r>
      <w:r>
        <w:fldChar w:fldCharType="begin"/>
      </w:r>
      <w:r>
        <w:instrText xml:space="preserve"> HYPERLINK "https://biz.szse.cn/mbr/index.html" </w:instrText>
      </w:r>
      <w:r>
        <w:fldChar w:fldCharType="separate"/>
      </w:r>
      <w:r>
        <w:rPr>
          <w:rStyle w:val="31"/>
          <w:rFonts w:ascii="Times New Roman" w:hAnsi="Times New Roman" w:eastAsia="仿宋" w:cs="Times New Roman"/>
          <w:sz w:val="32"/>
          <w:szCs w:val="32"/>
        </w:rPr>
        <w:t>https://biz.szse.cn/mbr/index.html</w:t>
      </w:r>
      <w:r>
        <w:rPr>
          <w:rStyle w:val="31"/>
          <w:rFonts w:ascii="Times New Roman" w:hAnsi="Times New Roman" w:eastAsia="仿宋" w:cs="Times New Roman"/>
          <w:sz w:val="32"/>
          <w:szCs w:val="32"/>
        </w:rPr>
        <w:fldChar w:fldCharType="end"/>
      </w:r>
      <w:r>
        <w:rPr>
          <w:rStyle w:val="31"/>
          <w:rFonts w:hint="eastAsia" w:ascii="Times New Roman" w:hAnsi="Times New Roman" w:eastAsia="仿宋" w:cs="Times New Roman"/>
          <w:sz w:val="32"/>
          <w:szCs w:val="32"/>
        </w:rPr>
        <w:t>）</w:t>
      </w:r>
      <w:r>
        <w:rPr>
          <w:rFonts w:hint="eastAsia" w:ascii="仿宋" w:hAnsi="仿宋" w:eastAsia="仿宋" w:cs="Times New Roman"/>
          <w:color w:val="000000"/>
          <w:sz w:val="32"/>
          <w:szCs w:val="32"/>
        </w:rPr>
        <w:t>，通过“业务办理/非会员交易参与人资格注册”界面正式提交债券交易参与人申请材料，并根据专区申请界面要求上传《申请书》以及本所要求的其他文件。登录会员专区需使用会员专区数字证书（</w:t>
      </w:r>
      <w:r>
        <w:rPr>
          <w:rFonts w:ascii="Times New Roman" w:hAnsi="Times New Roman" w:eastAsia="仿宋" w:cs="Times New Roman"/>
          <w:color w:val="000000"/>
          <w:sz w:val="32"/>
          <w:szCs w:val="32"/>
        </w:rPr>
        <w:t>M</w:t>
      </w:r>
      <w:r>
        <w:rPr>
          <w:rFonts w:hint="eastAsia" w:ascii="仿宋" w:hAnsi="仿宋" w:eastAsia="仿宋" w:cs="Times New Roman"/>
          <w:color w:val="000000"/>
          <w:sz w:val="32"/>
          <w:szCs w:val="32"/>
        </w:rPr>
        <w:t>类数字证书）。</w:t>
      </w:r>
    </w:p>
    <w:p>
      <w:pPr>
        <w:spacing w:line="560" w:lineRule="exact"/>
        <w:ind w:firstLine="707" w:firstLineChars="221"/>
        <w:rPr>
          <w:rFonts w:ascii="仿宋" w:hAnsi="仿宋" w:eastAsia="仿宋"/>
          <w:color w:val="000000"/>
          <w:sz w:val="32"/>
          <w:szCs w:val="32"/>
        </w:rPr>
      </w:pPr>
      <w:r>
        <w:rPr>
          <w:rFonts w:hint="eastAsia" w:ascii="仿宋" w:hAnsi="仿宋" w:eastAsia="仿宋"/>
          <w:sz w:val="32"/>
          <w:szCs w:val="32"/>
        </w:rPr>
        <w:t>申请机构符合上述规定条件的，本所自申请材料齐备之日起10个交易日以内接受其成为债券交易参与人，并签发债券交易参与人申请的复函。本所将在官网</w:t>
      </w:r>
      <w:r>
        <w:rPr>
          <w:rStyle w:val="33"/>
          <w:rFonts w:hint="eastAsia" w:ascii="仿宋" w:hAnsi="仿宋" w:eastAsia="仿宋"/>
          <w:sz w:val="32"/>
          <w:szCs w:val="32"/>
        </w:rPr>
        <w:footnoteReference w:id="1"/>
      </w:r>
      <w:r>
        <w:rPr>
          <w:rFonts w:hint="eastAsia" w:ascii="仿宋" w:hAnsi="仿宋" w:eastAsia="仿宋"/>
          <w:sz w:val="32"/>
          <w:szCs w:val="32"/>
        </w:rPr>
        <w:t>披露债券交易参与人名单。</w:t>
      </w:r>
    </w:p>
    <w:p>
      <w:pPr>
        <w:pStyle w:val="4"/>
        <w:keepNext w:val="0"/>
        <w:keepLines w:val="0"/>
        <w:spacing w:before="0" w:after="0" w:line="560" w:lineRule="exact"/>
        <w:ind w:firstLine="640" w:firstLineChars="200"/>
        <w:rPr>
          <w:rFonts w:ascii="楷体" w:hAnsi="楷体" w:eastAsia="楷体"/>
          <w:b w:val="0"/>
        </w:rPr>
      </w:pPr>
      <w:bookmarkStart w:id="43" w:name="_Toc3730"/>
      <w:bookmarkStart w:id="44" w:name="_Toc5077"/>
      <w:bookmarkStart w:id="45" w:name="_Toc12724"/>
      <w:bookmarkStart w:id="46" w:name="_Toc1367"/>
      <w:bookmarkStart w:id="47" w:name="_Toc6283"/>
      <w:bookmarkStart w:id="48" w:name="_Toc123809363"/>
      <w:bookmarkStart w:id="49" w:name="_Toc2902"/>
      <w:r>
        <w:rPr>
          <w:rFonts w:hint="eastAsia" w:ascii="楷体" w:hAnsi="楷体" w:eastAsia="楷体" w:cs="Times New Roman"/>
          <w:b w:val="0"/>
        </w:rPr>
        <w:t>（三）管理安排</w:t>
      </w:r>
      <w:bookmarkEnd w:id="43"/>
      <w:bookmarkEnd w:id="44"/>
      <w:bookmarkEnd w:id="45"/>
      <w:bookmarkEnd w:id="46"/>
      <w:bookmarkEnd w:id="47"/>
      <w:bookmarkEnd w:id="48"/>
      <w:bookmarkEnd w:id="49"/>
    </w:p>
    <w:p>
      <w:pPr>
        <w:spacing w:line="560" w:lineRule="exact"/>
        <w:ind w:firstLine="707" w:firstLineChars="221"/>
        <w:rPr>
          <w:rFonts w:ascii="Times New Roman" w:hAnsi="Times New Roman" w:eastAsia="仿宋" w:cs="Times New Roman"/>
          <w:sz w:val="32"/>
          <w:szCs w:val="32"/>
        </w:rPr>
      </w:pPr>
      <w:r>
        <w:rPr>
          <w:rFonts w:hint="eastAsia" w:ascii="Times New Roman" w:hAnsi="Times New Roman" w:eastAsia="仿宋" w:cs="Times New Roman"/>
          <w:sz w:val="32"/>
          <w:szCs w:val="32"/>
        </w:rPr>
        <w:t>本所债券交易参与人应当遵守法律法规以及本所《债券交易规则》《债券参与人指引》《深圳证券交易所会员管理规则》（以下简称《会员管理规则》）等相关规定。</w:t>
      </w:r>
    </w:p>
    <w:p>
      <w:pPr>
        <w:pStyle w:val="53"/>
        <w:spacing w:line="560" w:lineRule="exact"/>
        <w:ind w:firstLine="640"/>
        <w:rPr>
          <w:rFonts w:eastAsia="仿宋"/>
          <w:b/>
        </w:rPr>
      </w:pPr>
      <w:r>
        <w:rPr>
          <w:rFonts w:eastAsia="仿宋"/>
          <w:sz w:val="32"/>
          <w:szCs w:val="32"/>
        </w:rPr>
        <w:t>1</w:t>
      </w:r>
      <w:r>
        <w:rPr>
          <w:rFonts w:hint="eastAsia" w:eastAsia="仿宋"/>
          <w:sz w:val="32"/>
          <w:szCs w:val="32"/>
        </w:rPr>
        <w:t>．债券专用交易单元管理</w:t>
      </w:r>
    </w:p>
    <w:p>
      <w:pPr>
        <w:pStyle w:val="53"/>
        <w:spacing w:line="560" w:lineRule="exact"/>
        <w:ind w:firstLine="640"/>
        <w:rPr>
          <w:rFonts w:eastAsia="仿宋"/>
          <w:kern w:val="2"/>
          <w:sz w:val="32"/>
          <w:szCs w:val="32"/>
        </w:rPr>
      </w:pPr>
      <w:r>
        <w:rPr>
          <w:rFonts w:hint="eastAsia" w:eastAsia="仿宋"/>
          <w:kern w:val="2"/>
          <w:sz w:val="32"/>
          <w:szCs w:val="32"/>
        </w:rPr>
        <w:t>债券交易参与人可以设立或者租用债券专用交易单元参与本所债券交易。债券专用交易单元可以用于参与债券、资产支持证券以及其他具有固定收益特征产品的交易、转让以及转股、换股、回售等其他服务事项，以及参与以债券和资产支持证券作为投资标的的基金的认购、申购、赎回与交易，不得用于股票、存托凭证的买入。</w:t>
      </w:r>
    </w:p>
    <w:p>
      <w:pPr>
        <w:pStyle w:val="53"/>
        <w:spacing w:line="560" w:lineRule="exact"/>
        <w:ind w:firstLine="640"/>
        <w:rPr>
          <w:rFonts w:eastAsia="仿宋"/>
          <w:sz w:val="32"/>
          <w:szCs w:val="32"/>
        </w:rPr>
      </w:pPr>
      <w:r>
        <w:rPr>
          <w:rFonts w:hint="eastAsia" w:eastAsia="仿宋"/>
          <w:sz w:val="32"/>
          <w:szCs w:val="32"/>
        </w:rPr>
        <w:t>2．债券交易业务等联络人</w:t>
      </w:r>
    </w:p>
    <w:p>
      <w:pPr>
        <w:pStyle w:val="53"/>
        <w:spacing w:line="560" w:lineRule="exact"/>
        <w:ind w:firstLine="640"/>
        <w:rPr>
          <w:rFonts w:eastAsia="仿宋"/>
          <w:sz w:val="32"/>
          <w:szCs w:val="32"/>
        </w:rPr>
      </w:pPr>
      <w:r>
        <w:rPr>
          <w:rFonts w:hint="eastAsia" w:eastAsia="仿宋"/>
          <w:kern w:val="2"/>
          <w:sz w:val="32"/>
          <w:szCs w:val="32"/>
        </w:rPr>
        <w:t>债券交易参与人应当设置债券交易业务联络人，并向本所提交债券交易业务联络人任职情况以及联络方式等信息。直接成为本所债券交易参与人的会员以及非会员机构，其债券交易业务联络人默认为其会籍联络人。如需变更，可以登录会员专区“业务办理</w:t>
      </w:r>
      <w:r>
        <w:rPr>
          <w:rFonts w:eastAsia="仿宋"/>
          <w:kern w:val="2"/>
          <w:sz w:val="32"/>
          <w:szCs w:val="32"/>
        </w:rPr>
        <w:t>/</w:t>
      </w:r>
      <w:r>
        <w:rPr>
          <w:rFonts w:hint="eastAsia" w:eastAsia="仿宋"/>
          <w:kern w:val="2"/>
          <w:sz w:val="32"/>
          <w:szCs w:val="32"/>
        </w:rPr>
        <w:t>会籍业务</w:t>
      </w:r>
      <w:r>
        <w:rPr>
          <w:rFonts w:eastAsia="仿宋"/>
          <w:kern w:val="2"/>
          <w:sz w:val="32"/>
          <w:szCs w:val="32"/>
        </w:rPr>
        <w:t>/</w:t>
      </w:r>
      <w:r>
        <w:rPr>
          <w:rFonts w:hint="eastAsia" w:eastAsia="仿宋"/>
          <w:kern w:val="2"/>
          <w:sz w:val="32"/>
          <w:szCs w:val="32"/>
        </w:rPr>
        <w:t>会员资料变更”修改债券交易业务联络人信息。</w:t>
      </w:r>
    </w:p>
    <w:p>
      <w:pPr>
        <w:widowControl/>
        <w:adjustRightInd w:val="0"/>
        <w:snapToGrid w:val="0"/>
        <w:spacing w:line="560" w:lineRule="exact"/>
        <w:ind w:firstLine="640" w:firstLineChars="200"/>
        <w:rPr>
          <w:rFonts w:ascii="仿宋" w:hAnsi="仿宋" w:eastAsia="仿宋"/>
          <w:sz w:val="32"/>
          <w:szCs w:val="32"/>
        </w:rPr>
      </w:pPr>
      <w:r>
        <w:rPr>
          <w:rFonts w:hint="eastAsia" w:ascii="Times New Roman" w:hAnsi="Times New Roman" w:eastAsia="仿宋" w:cs="Times New Roman"/>
          <w:sz w:val="32"/>
          <w:szCs w:val="32"/>
        </w:rPr>
        <w:t>债券交易业务联络人应当根据授权，履行《债券参与人指引》规定的联络职责。</w:t>
      </w:r>
      <w:r>
        <w:rPr>
          <w:rFonts w:hint="eastAsia" w:ascii="仿宋" w:hAnsi="仿宋" w:eastAsia="仿宋"/>
          <w:sz w:val="32"/>
          <w:szCs w:val="32"/>
        </w:rPr>
        <w:t>债券交易业务联络人发生无法履行职责或</w:t>
      </w:r>
      <w:r>
        <w:rPr>
          <w:rFonts w:hint="eastAsia" w:ascii="Times New Roman" w:hAnsi="Times New Roman" w:eastAsia="仿宋" w:cs="Times New Roman"/>
          <w:sz w:val="32"/>
          <w:szCs w:val="32"/>
        </w:rPr>
        <w:t>者</w:t>
      </w:r>
      <w:r>
        <w:rPr>
          <w:rFonts w:hint="eastAsia" w:ascii="仿宋" w:hAnsi="仿宋" w:eastAsia="仿宋"/>
          <w:sz w:val="32"/>
          <w:szCs w:val="32"/>
        </w:rPr>
        <w:t>履行职责时出现重大过错并产生严重后果等情形的，本所可以要求债券交易参与人更换联络人。</w:t>
      </w:r>
    </w:p>
    <w:p>
      <w:pPr>
        <w:widowControl/>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债券交易参与人应当同时根据《会员管理规则》有关规定，建立并维护技术联络人等联络人，协调与本所相关的交易以及相关系统的建设、改造以及测试工作。</w:t>
      </w:r>
    </w:p>
    <w:p>
      <w:pPr>
        <w:pStyle w:val="53"/>
        <w:spacing w:line="560" w:lineRule="exact"/>
        <w:ind w:firstLine="640"/>
        <w:rPr>
          <w:rFonts w:eastAsia="仿宋"/>
          <w:sz w:val="32"/>
          <w:szCs w:val="32"/>
        </w:rPr>
      </w:pPr>
      <w:r>
        <w:rPr>
          <w:rFonts w:hint="eastAsia" w:eastAsia="仿宋"/>
          <w:sz w:val="32"/>
          <w:szCs w:val="32"/>
        </w:rPr>
        <w:t>3．异常情形报告</w:t>
      </w:r>
    </w:p>
    <w:p>
      <w:pPr>
        <w:widowControl/>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债券交易参与人出现异常情形的，应当及时根据具体异常情形向本所负责业务、技术、机构管理人员电话报告，并就相关异常情形形成书面报告，通过会员专区“公文及报表上传</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公文上传”界面提交。</w:t>
      </w:r>
    </w:p>
    <w:p>
      <w:pPr>
        <w:spacing w:line="560" w:lineRule="exact"/>
        <w:jc w:val="center"/>
        <w:rPr>
          <w:rFonts w:ascii="仿宋" w:hAnsi="仿宋" w:eastAsia="仿宋"/>
          <w:sz w:val="24"/>
          <w:szCs w:val="24"/>
        </w:rPr>
      </w:pPr>
      <w:r>
        <w:rPr>
          <w:rFonts w:hint="eastAsia" w:ascii="仿宋" w:hAnsi="仿宋" w:eastAsia="仿宋"/>
          <w:sz w:val="24"/>
          <w:szCs w:val="24"/>
        </w:rPr>
        <w:t>表</w:t>
      </w:r>
      <w:r>
        <w:rPr>
          <w:rFonts w:ascii="仿宋" w:hAnsi="仿宋" w:eastAsia="仿宋"/>
          <w:sz w:val="24"/>
          <w:szCs w:val="24"/>
        </w:rPr>
        <w:t>2-异常情形报告联系人</w:t>
      </w:r>
    </w:p>
    <w:tbl>
      <w:tblPr>
        <w:tblStyle w:val="26"/>
        <w:tblW w:w="7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39" w:type="dxa"/>
          </w:tcPr>
          <w:p>
            <w:pPr>
              <w:widowControl/>
              <w:spacing w:line="500" w:lineRule="exact"/>
              <w:jc w:val="center"/>
              <w:rPr>
                <w:rFonts w:ascii="仿宋" w:hAnsi="仿宋" w:eastAsia="仿宋" w:cs="Times New Roman"/>
                <w:b/>
                <w:sz w:val="28"/>
                <w:szCs w:val="28"/>
              </w:rPr>
            </w:pPr>
            <w:r>
              <w:rPr>
                <w:rFonts w:hint="eastAsia" w:ascii="仿宋" w:hAnsi="仿宋" w:eastAsia="仿宋" w:cs="Times New Roman"/>
                <w:b/>
                <w:sz w:val="28"/>
                <w:szCs w:val="28"/>
              </w:rPr>
              <w:t>异常情形类型</w:t>
            </w:r>
          </w:p>
        </w:tc>
        <w:tc>
          <w:tcPr>
            <w:tcW w:w="3589" w:type="dxa"/>
            <w:vAlign w:val="center"/>
          </w:tcPr>
          <w:p>
            <w:pPr>
              <w:widowControl/>
              <w:spacing w:line="500" w:lineRule="exact"/>
              <w:jc w:val="center"/>
              <w:rPr>
                <w:rFonts w:ascii="仿宋" w:hAnsi="仿宋" w:eastAsia="仿宋" w:cs="Times New Roman"/>
                <w:b/>
                <w:sz w:val="28"/>
                <w:szCs w:val="28"/>
              </w:rPr>
            </w:pPr>
            <w:r>
              <w:rPr>
                <w:rFonts w:ascii="仿宋" w:hAnsi="仿宋" w:eastAsia="仿宋" w:cs="Times New Roman"/>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39" w:type="dxa"/>
          </w:tcPr>
          <w:p>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业务异常（重大业务风险等）</w:t>
            </w:r>
          </w:p>
        </w:tc>
        <w:tc>
          <w:tcPr>
            <w:tcW w:w="3589" w:type="dxa"/>
            <w:vAlign w:val="center"/>
          </w:tcPr>
          <w:p>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0755-88666173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39" w:type="dxa"/>
          </w:tcPr>
          <w:p>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技术异常（交易系统等）</w:t>
            </w:r>
          </w:p>
        </w:tc>
        <w:tc>
          <w:tcPr>
            <w:tcW w:w="3589" w:type="dxa"/>
            <w:vAlign w:val="center"/>
          </w:tcPr>
          <w:p>
            <w:pPr>
              <w:widowControl/>
              <w:spacing w:line="500" w:lineRule="exact"/>
              <w:jc w:val="center"/>
              <w:rPr>
                <w:rFonts w:ascii="仿宋" w:hAnsi="仿宋" w:eastAsia="仿宋" w:cs="Times New Roman"/>
                <w:sz w:val="28"/>
                <w:szCs w:val="28"/>
              </w:rPr>
            </w:pPr>
            <w:r>
              <w:rPr>
                <w:rFonts w:ascii="仿宋" w:hAnsi="仿宋" w:eastAsia="仿宋" w:cs="Times New Roman"/>
                <w:sz w:val="28"/>
                <w:szCs w:val="28"/>
              </w:rPr>
              <w:t>0755-</w:t>
            </w:r>
            <w:r>
              <w:rPr>
                <w:rFonts w:hint="eastAsia" w:ascii="仿宋" w:hAnsi="仿宋" w:eastAsia="仿宋" w:cs="Times New Roman"/>
                <w:sz w:val="28"/>
                <w:szCs w:val="28"/>
              </w:rPr>
              <w:t>82083510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39" w:type="dxa"/>
          </w:tcPr>
          <w:p>
            <w:pPr>
              <w:widowControl/>
              <w:spacing w:line="500" w:lineRule="exact"/>
              <w:jc w:val="center"/>
              <w:rPr>
                <w:rFonts w:ascii="仿宋" w:hAnsi="仿宋" w:eastAsia="仿宋" w:cs="Times New Roman"/>
                <w:sz w:val="28"/>
                <w:szCs w:val="28"/>
              </w:rPr>
            </w:pPr>
            <w:r>
              <w:rPr>
                <w:rFonts w:hint="eastAsia" w:ascii="仿宋" w:hAnsi="仿宋" w:eastAsia="仿宋" w:cs="Times New Roman"/>
                <w:sz w:val="28"/>
                <w:szCs w:val="28"/>
              </w:rPr>
              <w:t>机构管理（机构进入风险处置等）</w:t>
            </w:r>
          </w:p>
        </w:tc>
        <w:tc>
          <w:tcPr>
            <w:tcW w:w="3589" w:type="dxa"/>
            <w:vAlign w:val="center"/>
          </w:tcPr>
          <w:p>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0755-88668408</w:t>
            </w:r>
          </w:p>
        </w:tc>
      </w:tr>
    </w:tbl>
    <w:p>
      <w:pPr>
        <w:spacing w:line="560" w:lineRule="exact"/>
        <w:ind w:firstLine="640" w:firstLineChars="200"/>
        <w:rPr>
          <w:rFonts w:ascii="Times New Roman" w:hAnsi="Times New Roman" w:eastAsia="仿宋" w:cs="Times New Roman"/>
          <w:b/>
        </w:rPr>
      </w:pPr>
      <w:r>
        <w:rPr>
          <w:rFonts w:hint="eastAsia" w:ascii="Times New Roman" w:hAnsi="Times New Roman" w:eastAsia="仿宋" w:cs="Times New Roman"/>
          <w:sz w:val="32"/>
          <w:szCs w:val="32"/>
        </w:rPr>
        <w:t>4．债券交易参与人身份终止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不再符合本所债券交易参与人条件的、主动申请不再作为债券交易参与人的、超过12个月不参与本所债券交易且无合理理由的以及本所规定的其他情形下，本所可以终止其作为债券交易参与人。</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不再符合本所债券交易参与人条件的，相关机构应当及时提交书面报告至本所公共邮箱（</w:t>
      </w:r>
      <w:r>
        <w:fldChar w:fldCharType="begin"/>
      </w:r>
      <w:r>
        <w:instrText xml:space="preserve"> HYPERLINK "mailto:szsebond@szse.cn" </w:instrText>
      </w:r>
      <w:r>
        <w:fldChar w:fldCharType="separate"/>
      </w:r>
      <w:r>
        <w:rPr>
          <w:rStyle w:val="31"/>
          <w:rFonts w:ascii="Times New Roman" w:hAnsi="Times New Roman" w:eastAsia="仿宋" w:cs="Times New Roman"/>
          <w:sz w:val="32"/>
          <w:szCs w:val="32"/>
        </w:rPr>
        <w:t>szsebond@szse.cn</w:t>
      </w:r>
      <w:r>
        <w:rPr>
          <w:rStyle w:val="31"/>
          <w:rFonts w:ascii="Times New Roman" w:hAnsi="Times New Roman" w:eastAsia="仿宋" w:cs="Times New Roman"/>
          <w:sz w:val="32"/>
          <w:szCs w:val="32"/>
        </w:rPr>
        <w:fldChar w:fldCharType="end"/>
      </w:r>
      <w:r>
        <w:rPr>
          <w:rFonts w:hint="eastAsia" w:ascii="Times New Roman" w:hAnsi="Times New Roman" w:eastAsia="仿宋" w:cs="Times New Roman"/>
          <w:sz w:val="32"/>
          <w:szCs w:val="32"/>
        </w:rPr>
        <w:t>）</w:t>
      </w:r>
      <w:r>
        <w:rPr>
          <w:rFonts w:hint="eastAsia" w:ascii="仿宋" w:hAnsi="仿宋" w:eastAsia="仿宋"/>
          <w:sz w:val="32"/>
        </w:rPr>
        <w:t>。确需终止或</w:t>
      </w:r>
      <w:r>
        <w:rPr>
          <w:rFonts w:hint="eastAsia" w:ascii="Times New Roman" w:hAnsi="Times New Roman" w:eastAsia="仿宋" w:cs="Times New Roman"/>
          <w:sz w:val="32"/>
          <w:szCs w:val="32"/>
        </w:rPr>
        <w:t>者</w:t>
      </w:r>
      <w:r>
        <w:rPr>
          <w:rFonts w:hint="eastAsia" w:ascii="仿宋" w:hAnsi="仿宋" w:eastAsia="仿宋"/>
          <w:color w:val="000000" w:themeColor="text1"/>
          <w:sz w:val="32"/>
          <w:szCs w:val="32"/>
          <w14:textFill>
            <w14:solidFill>
              <w14:schemeClr w14:val="tx1"/>
            </w14:solidFill>
          </w14:textFill>
        </w:rPr>
        <w:t>主动申请终止债券交易参与人身份的机构</w:t>
      </w:r>
      <w:r>
        <w:rPr>
          <w:rFonts w:hint="eastAsia" w:ascii="仿宋" w:hAnsi="仿宋" w:eastAsia="仿宋"/>
          <w:sz w:val="32"/>
        </w:rPr>
        <w:t>，</w:t>
      </w:r>
      <w:r>
        <w:rPr>
          <w:rFonts w:hint="eastAsia" w:ascii="仿宋" w:hAnsi="仿宋" w:eastAsia="仿宋"/>
          <w:sz w:val="32"/>
          <w:szCs w:val="32"/>
        </w:rPr>
        <w:t>相关机构</w:t>
      </w:r>
      <w:r>
        <w:rPr>
          <w:rFonts w:hint="eastAsia" w:ascii="仿宋" w:hAnsi="仿宋" w:eastAsia="仿宋"/>
          <w:sz w:val="32"/>
        </w:rPr>
        <w:t>应</w:t>
      </w:r>
      <w:r>
        <w:rPr>
          <w:rFonts w:hint="eastAsia" w:ascii="仿宋" w:hAnsi="仿宋" w:eastAsia="仿宋"/>
          <w:color w:val="000000" w:themeColor="text1"/>
          <w:sz w:val="32"/>
          <w:szCs w:val="32"/>
          <w14:textFill>
            <w14:solidFill>
              <w14:schemeClr w14:val="tx1"/>
            </w14:solidFill>
          </w14:textFill>
        </w:rPr>
        <w:t>当在明确无相关在途合约后，</w:t>
      </w:r>
      <w:r>
        <w:rPr>
          <w:rFonts w:hint="eastAsia" w:ascii="仿宋" w:hAnsi="仿宋" w:eastAsia="仿宋"/>
          <w:sz w:val="32"/>
        </w:rPr>
        <w:t>通过会员专区上传</w:t>
      </w:r>
      <w:r>
        <w:rPr>
          <w:rFonts w:hint="eastAsia" w:ascii="仿宋" w:hAnsi="仿宋" w:eastAsia="仿宋"/>
          <w:color w:val="000000" w:themeColor="text1"/>
          <w:sz w:val="32"/>
          <w:szCs w:val="32"/>
          <w14:textFill>
            <w14:solidFill>
              <w14:schemeClr w14:val="tx1"/>
            </w14:solidFill>
          </w14:textFill>
        </w:rPr>
        <w:t>终止债券交易参与人身份的</w:t>
      </w:r>
      <w:r>
        <w:rPr>
          <w:rFonts w:hint="eastAsia" w:ascii="仿宋" w:hAnsi="仿宋" w:eastAsia="仿宋"/>
          <w:sz w:val="32"/>
        </w:rPr>
        <w:t>书面申请材料</w:t>
      </w:r>
      <w:r>
        <w:rPr>
          <w:rFonts w:hint="eastAsia" w:ascii="仿宋" w:hAnsi="仿宋" w:eastAsia="仿宋"/>
          <w:color w:val="000000" w:themeColor="text1"/>
          <w:sz w:val="32"/>
          <w:szCs w:val="32"/>
          <w14:textFill>
            <w14:solidFill>
              <w14:schemeClr w14:val="tx1"/>
            </w14:solidFill>
          </w14:textFill>
        </w:rPr>
        <w:t>。</w:t>
      </w:r>
    </w:p>
    <w:p>
      <w:pPr>
        <w:pStyle w:val="4"/>
        <w:keepNext w:val="0"/>
        <w:keepLines w:val="0"/>
        <w:spacing w:before="0" w:after="0" w:line="560" w:lineRule="exact"/>
        <w:ind w:firstLine="640" w:firstLineChars="200"/>
        <w:rPr>
          <w:rFonts w:ascii="楷体" w:hAnsi="楷体" w:eastAsia="楷体"/>
          <w:b w:val="0"/>
        </w:rPr>
      </w:pPr>
      <w:bookmarkStart w:id="50" w:name="_Toc19352"/>
      <w:bookmarkStart w:id="51" w:name="_Toc1083"/>
      <w:bookmarkStart w:id="52" w:name="_Toc27830"/>
      <w:bookmarkStart w:id="53" w:name="_Toc26802"/>
      <w:bookmarkStart w:id="54" w:name="_Toc123809364"/>
      <w:bookmarkStart w:id="55" w:name="_Toc5213"/>
      <w:bookmarkStart w:id="56" w:name="_Toc26969"/>
      <w:r>
        <w:rPr>
          <w:rFonts w:hint="eastAsia" w:ascii="楷体" w:hAnsi="楷体" w:eastAsia="楷体" w:cs="Times New Roman"/>
          <w:b w:val="0"/>
        </w:rPr>
        <w:t>（四）进场流程</w:t>
      </w:r>
      <w:bookmarkEnd w:id="50"/>
      <w:bookmarkEnd w:id="51"/>
      <w:bookmarkEnd w:id="52"/>
      <w:bookmarkEnd w:id="53"/>
      <w:bookmarkEnd w:id="54"/>
      <w:bookmarkEnd w:id="55"/>
      <w:bookmarkEnd w:id="56"/>
    </w:p>
    <w:p>
      <w:pPr>
        <w:spacing w:line="560" w:lineRule="exact"/>
        <w:ind w:firstLine="707" w:firstLineChars="221"/>
        <w:rPr>
          <w:rFonts w:ascii="仿宋" w:hAnsi="仿宋" w:eastAsia="仿宋"/>
          <w:sz w:val="32"/>
          <w:szCs w:val="32"/>
        </w:rPr>
      </w:pPr>
      <w:r>
        <w:rPr>
          <w:rFonts w:hint="eastAsia" w:ascii="仿宋" w:hAnsi="仿宋" w:eastAsia="仿宋"/>
          <w:sz w:val="32"/>
          <w:szCs w:val="32"/>
        </w:rPr>
        <w:t>新申请成为债券交易参与人的机构，需完成交易结算路径联通、专线铺设、通过电子接口或</w:t>
      </w:r>
      <w:r>
        <w:rPr>
          <w:rFonts w:hint="eastAsia" w:ascii="Times New Roman" w:hAnsi="Times New Roman" w:eastAsia="仿宋" w:cs="Times New Roman"/>
          <w:sz w:val="32"/>
          <w:szCs w:val="32"/>
        </w:rPr>
        <w:t>者</w:t>
      </w:r>
      <w:r>
        <w:rPr>
          <w:rFonts w:hint="eastAsia" w:ascii="仿宋" w:hAnsi="仿宋" w:eastAsia="仿宋"/>
          <w:sz w:val="32"/>
          <w:szCs w:val="32"/>
        </w:rPr>
        <w:t>交易终端参与交易的技术准备工作等。存量机构直接成为债券交易参与人的，原有身份和交易结算路径不受影响，可以继续通过原有方式参与本所债券交易，也可以作为债券交易参与人向本所申请设立或</w:t>
      </w:r>
      <w:r>
        <w:rPr>
          <w:rFonts w:hint="eastAsia" w:ascii="Times New Roman" w:hAnsi="Times New Roman" w:eastAsia="仿宋" w:cs="Times New Roman"/>
          <w:sz w:val="32"/>
          <w:szCs w:val="32"/>
        </w:rPr>
        <w:t>者</w:t>
      </w:r>
      <w:r>
        <w:rPr>
          <w:rFonts w:hint="eastAsia" w:ascii="仿宋" w:hAnsi="仿宋" w:eastAsia="仿宋"/>
          <w:sz w:val="32"/>
          <w:szCs w:val="32"/>
        </w:rPr>
        <w:t>租用债券专用交易单元。</w:t>
      </w:r>
    </w:p>
    <w:p>
      <w:pPr>
        <w:spacing w:line="560" w:lineRule="exact"/>
        <w:ind w:firstLine="707" w:firstLineChars="221"/>
        <w:rPr>
          <w:rFonts w:ascii="Times New Roman" w:hAnsi="Times New Roman" w:eastAsia="仿宋" w:cs="Times New Roman"/>
          <w:b/>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．交易结算路径联通</w:t>
      </w:r>
    </w:p>
    <w:p>
      <w:pPr>
        <w:spacing w:line="560" w:lineRule="exact"/>
        <w:ind w:firstLine="707" w:firstLineChars="221"/>
        <w:rPr>
          <w:rFonts w:ascii="Times New Roman" w:hAnsi="Times New Roman" w:eastAsia="仿宋" w:cs="Times New Roman"/>
          <w:sz w:val="32"/>
          <w:szCs w:val="32"/>
        </w:rPr>
      </w:pPr>
      <w:r>
        <w:rPr>
          <w:rFonts w:hint="eastAsia" w:ascii="Times New Roman" w:hAnsi="Times New Roman" w:eastAsia="仿宋" w:cs="Times New Roman"/>
          <w:sz w:val="32"/>
          <w:szCs w:val="32"/>
        </w:rPr>
        <w:t>新申请成为债券交易参与人的机构应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根据《深圳证券交易所进场业务指南》等</w:t>
      </w:r>
      <w:r>
        <w:rPr>
          <w:rStyle w:val="33"/>
          <w:rFonts w:ascii="Times New Roman" w:hAnsi="Times New Roman" w:eastAsia="仿宋"/>
          <w:sz w:val="32"/>
          <w:szCs w:val="32"/>
        </w:rPr>
        <w:footnoteReference w:id="2"/>
      </w:r>
      <w:r>
        <w:rPr>
          <w:rFonts w:hint="eastAsia" w:ascii="Times New Roman" w:hAnsi="Times New Roman" w:eastAsia="仿宋" w:cs="Times New Roman"/>
          <w:sz w:val="32"/>
          <w:szCs w:val="32"/>
        </w:rPr>
        <w:t>相关要求完成交易单元开设或租用，交易单元与托管单元、结算账户之间的联通等相关工作。</w:t>
      </w:r>
    </w:p>
    <w:p>
      <w:pPr>
        <w:spacing w:line="560" w:lineRule="exact"/>
        <w:ind w:firstLine="707" w:firstLineChars="221"/>
        <w:rPr>
          <w:rFonts w:ascii="Times New Roman" w:hAnsi="Times New Roman" w:eastAsia="仿宋" w:cs="Times New Roman"/>
          <w:sz w:val="32"/>
          <w:szCs w:val="32"/>
        </w:rPr>
      </w:pPr>
      <w:r>
        <w:rPr>
          <w:rFonts w:hint="eastAsia" w:ascii="Times New Roman" w:hAnsi="Times New Roman" w:eastAsia="仿宋" w:cs="Times New Roman"/>
          <w:sz w:val="32"/>
          <w:szCs w:val="32"/>
        </w:rPr>
        <w:t>交易路径方面，债券交易参与人可以通过会员专区“业务办理</w:t>
      </w:r>
      <w:r>
        <w:rPr>
          <w:rFonts w:hint="eastAsia" w:ascii="仿宋" w:hAnsi="仿宋" w:eastAsia="仿宋" w:cs="Times New Roman"/>
          <w:color w:val="000000"/>
          <w:sz w:val="32"/>
          <w:szCs w:val="32"/>
        </w:rPr>
        <w:t>/</w:t>
      </w:r>
      <w:r>
        <w:rPr>
          <w:rFonts w:hint="eastAsia" w:ascii="Times New Roman" w:hAnsi="Times New Roman" w:eastAsia="仿宋" w:cs="Times New Roman"/>
          <w:sz w:val="32"/>
          <w:szCs w:val="32"/>
        </w:rPr>
        <w:t>交易单元业务</w:t>
      </w:r>
      <w:r>
        <w:rPr>
          <w:rFonts w:hint="eastAsia" w:ascii="仿宋" w:hAnsi="仿宋" w:eastAsia="仿宋" w:cs="Times New Roman"/>
          <w:color w:val="000000"/>
          <w:sz w:val="32"/>
          <w:szCs w:val="32"/>
        </w:rPr>
        <w:t>/</w:t>
      </w:r>
      <w:r>
        <w:rPr>
          <w:rFonts w:hint="eastAsia" w:ascii="Times New Roman" w:hAnsi="Times New Roman" w:eastAsia="仿宋" w:cs="Times New Roman"/>
          <w:sz w:val="32"/>
          <w:szCs w:val="32"/>
        </w:rPr>
        <w:t>自用交易单元开通”办理交易单元开立，或者通过会员专区“业务办理</w:t>
      </w:r>
      <w:r>
        <w:rPr>
          <w:rFonts w:hint="eastAsia" w:ascii="仿宋" w:hAnsi="仿宋" w:eastAsia="仿宋" w:cs="Times New Roman"/>
          <w:color w:val="000000"/>
          <w:sz w:val="32"/>
          <w:szCs w:val="32"/>
        </w:rPr>
        <w:t>/</w:t>
      </w:r>
      <w:r>
        <w:rPr>
          <w:rFonts w:hint="eastAsia" w:ascii="Times New Roman" w:hAnsi="Times New Roman" w:eastAsia="仿宋" w:cs="Times New Roman"/>
          <w:sz w:val="32"/>
          <w:szCs w:val="32"/>
        </w:rPr>
        <w:t>业务办理查询”向已签署租用协议的会员机构租借交易单元。</w:t>
      </w:r>
    </w:p>
    <w:p>
      <w:pPr>
        <w:spacing w:line="560" w:lineRule="exact"/>
        <w:ind w:firstLine="707" w:firstLineChars="221"/>
        <w:rPr>
          <w:rFonts w:ascii="Times New Roman" w:hAnsi="Times New Roman" w:eastAsia="仿宋" w:cs="Times New Roman"/>
          <w:sz w:val="32"/>
          <w:szCs w:val="32"/>
        </w:rPr>
      </w:pPr>
      <w:r>
        <w:rPr>
          <w:rFonts w:hint="eastAsia" w:ascii="Times New Roman" w:hAnsi="Times New Roman" w:eastAsia="仿宋" w:cs="Times New Roman"/>
          <w:sz w:val="32"/>
          <w:szCs w:val="32"/>
        </w:rPr>
        <w:t>结算路径方面，中国证券登记结算有限公司（以下简称中国结算）深圳分公司根据交易单元开设、租用流程中债券交易参与人以及托管人提供的相关信息，确定该交易单元的交收责任，并维护相应的结算路径，即交易单元与托管单元、结算账户之间的对应关系。</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2．专线铺设</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新申请成为债券交易参与人的机构中未铺设专线的，应当向深圳证券通信有限公司（以下简称深证通）申请进行专线铺设。</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3．电子接口或者交易终端接入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债券交易参与人可以通过电子接口或者交易终端等向本所交易主机发送债券交易申报指令。</w:t>
      </w:r>
    </w:p>
    <w:p>
      <w:pPr>
        <w:spacing w:line="560" w:lineRule="exact"/>
        <w:ind w:firstLine="707" w:firstLineChars="221"/>
        <w:rPr>
          <w:rFonts w:ascii="仿宋" w:hAnsi="仿宋" w:eastAsia="仿宋" w:cs="Times New Roman"/>
          <w:color w:val="000000"/>
          <w:sz w:val="32"/>
          <w:szCs w:val="32"/>
        </w:rPr>
      </w:pPr>
      <w:r>
        <w:rPr>
          <w:rFonts w:hint="eastAsia" w:ascii="Times New Roman" w:hAnsi="Times New Roman" w:eastAsia="仿宋" w:cs="Times New Roman"/>
          <w:sz w:val="32"/>
          <w:szCs w:val="32"/>
        </w:rPr>
        <w:t>通过电子接口参与交易的，应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向本所以及深证通申请开通网关、获取网关数字证书等，并完成交易系统搭建；通过交易终端参与交易的，应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向本所以及深证通申请交易终端一级管理员以及交易终端数字证书，并根据</w:t>
      </w:r>
      <w:r>
        <w:rPr>
          <w:rFonts w:hint="eastAsia" w:ascii="仿宋" w:hAnsi="仿宋" w:eastAsia="仿宋" w:cs="Times New Roman"/>
          <w:color w:val="000000"/>
          <w:sz w:val="32"/>
          <w:szCs w:val="32"/>
        </w:rPr>
        <w:t>《深圳证券交易所交易终端用户手册》（以下简称《用户手册》）</w:t>
      </w:r>
      <w:r>
        <w:rPr>
          <w:rFonts w:hint="eastAsia" w:ascii="Times New Roman" w:hAnsi="Times New Roman" w:eastAsia="仿宋" w:cs="Times New Roman"/>
          <w:sz w:val="32"/>
          <w:szCs w:val="32"/>
        </w:rPr>
        <w:t>完成交易终端配置。</w:t>
      </w:r>
      <w:r>
        <w:rPr>
          <w:rFonts w:hint="eastAsia" w:ascii="仿宋" w:hAnsi="仿宋" w:eastAsia="仿宋" w:cs="Times New Roman"/>
          <w:color w:val="000000"/>
          <w:sz w:val="32"/>
          <w:szCs w:val="32"/>
        </w:rPr>
        <w:t>《用户手册》可以通过交易终端“帮助”栏目进行查询。</w:t>
      </w:r>
    </w:p>
    <w:p>
      <w:pPr>
        <w:pStyle w:val="3"/>
        <w:keepNext w:val="0"/>
        <w:keepLines w:val="0"/>
        <w:spacing w:before="0" w:after="0" w:line="560" w:lineRule="exact"/>
        <w:ind w:firstLine="640" w:firstLineChars="200"/>
        <w:rPr>
          <w:rFonts w:ascii="黑体" w:hAnsi="黑体" w:eastAsia="黑体"/>
          <w:b w:val="0"/>
        </w:rPr>
      </w:pPr>
      <w:bookmarkStart w:id="57" w:name="_Toc8217"/>
      <w:bookmarkStart w:id="58" w:name="_Toc24504"/>
      <w:bookmarkStart w:id="59" w:name="_Toc3575"/>
      <w:bookmarkStart w:id="60" w:name="_Toc123809365"/>
      <w:bookmarkStart w:id="61" w:name="_Toc2595"/>
      <w:bookmarkStart w:id="62" w:name="_Toc20174"/>
      <w:bookmarkStart w:id="63" w:name="_Toc6946"/>
      <w:bookmarkStart w:id="64" w:name="_Toc122379696"/>
      <w:r>
        <w:rPr>
          <w:rFonts w:hint="eastAsia" w:ascii="黑体" w:hAnsi="黑体" w:eastAsia="黑体"/>
          <w:b w:val="0"/>
        </w:rPr>
        <w:t>二、债券做市商</w:t>
      </w:r>
      <w:bookmarkEnd w:id="57"/>
      <w:bookmarkEnd w:id="58"/>
      <w:bookmarkEnd w:id="59"/>
      <w:bookmarkEnd w:id="60"/>
      <w:bookmarkEnd w:id="61"/>
      <w:bookmarkEnd w:id="62"/>
      <w:bookmarkEnd w:id="63"/>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 w:hAnsi="仿宋" w:eastAsia="仿宋" w:cs="方正仿宋简体"/>
          <w:kern w:val="0"/>
          <w:sz w:val="32"/>
          <w:szCs w:val="32"/>
        </w:rPr>
      </w:pPr>
      <w:r>
        <w:rPr>
          <w:rFonts w:hint="eastAsia" w:ascii="Times New Roman" w:hAnsi="Times New Roman" w:eastAsia="仿宋"/>
          <w:sz w:val="32"/>
          <w:szCs w:val="32"/>
        </w:rPr>
        <w:t>根据</w:t>
      </w:r>
      <w:r>
        <w:rPr>
          <w:rFonts w:hint="eastAsia" w:ascii="Times New Roman" w:hAnsi="Times New Roman" w:eastAsia="仿宋" w:cs="Times New Roman"/>
          <w:sz w:val="32"/>
          <w:szCs w:val="32"/>
        </w:rPr>
        <w:t>《债券交易规则》以及《深圳证券交易所债券交易业务指引第3号—债券做市》规定，符合条件的债券交易参与人可以申请成为</w:t>
      </w:r>
      <w:r>
        <w:rPr>
          <w:rFonts w:hint="eastAsia" w:ascii="仿宋" w:hAnsi="仿宋" w:eastAsia="仿宋" w:cs="方正仿宋简体"/>
          <w:kern w:val="0"/>
          <w:sz w:val="32"/>
          <w:szCs w:val="32"/>
        </w:rPr>
        <w:t>债券做市商，在本所债券市场为债券提供流动性、开展债券做市业务。做市业务具体安排</w:t>
      </w:r>
      <w:r>
        <w:rPr>
          <w:rFonts w:hint="eastAsia" w:ascii="Times New Roman" w:hAnsi="Times New Roman" w:eastAsia="仿宋" w:cs="Times New Roman"/>
          <w:sz w:val="32"/>
          <w:szCs w:val="32"/>
        </w:rPr>
        <w:t>详见《深圳证券交易所债券交易业务指南第7号—债券做市》。</w:t>
      </w:r>
    </w:p>
    <w:p>
      <w:pPr>
        <w:pStyle w:val="3"/>
        <w:keepNext w:val="0"/>
        <w:keepLines w:val="0"/>
        <w:spacing w:before="0" w:after="0" w:line="560" w:lineRule="exact"/>
        <w:ind w:firstLine="640" w:firstLineChars="200"/>
        <w:rPr>
          <w:rFonts w:ascii="黑体" w:hAnsi="黑体" w:eastAsia="黑体"/>
          <w:b w:val="0"/>
        </w:rPr>
      </w:pPr>
      <w:bookmarkStart w:id="65" w:name="_Toc9213"/>
      <w:bookmarkStart w:id="66" w:name="_Toc1713"/>
      <w:bookmarkStart w:id="67" w:name="_Toc123809366"/>
      <w:bookmarkStart w:id="68" w:name="_Toc21717"/>
      <w:bookmarkStart w:id="69" w:name="_Toc4818"/>
      <w:bookmarkStart w:id="70" w:name="_Toc25439"/>
      <w:bookmarkStart w:id="71" w:name="_Toc26172"/>
      <w:r>
        <w:rPr>
          <w:rFonts w:hint="eastAsia" w:ascii="黑体" w:hAnsi="黑体" w:eastAsia="黑体"/>
          <w:b w:val="0"/>
        </w:rPr>
        <w:t>三</w:t>
      </w:r>
      <w:r>
        <w:rPr>
          <w:rFonts w:ascii="黑体" w:hAnsi="黑体" w:eastAsia="黑体"/>
          <w:b w:val="0"/>
        </w:rPr>
        <w:t>、</w:t>
      </w:r>
      <w:r>
        <w:rPr>
          <w:rFonts w:hint="eastAsia" w:ascii="黑体" w:hAnsi="黑体" w:eastAsia="黑体"/>
          <w:b w:val="0"/>
        </w:rPr>
        <w:t>境外机构投资者</w:t>
      </w:r>
      <w:bookmarkEnd w:id="64"/>
      <w:bookmarkEnd w:id="65"/>
      <w:bookmarkEnd w:id="66"/>
      <w:bookmarkEnd w:id="67"/>
      <w:bookmarkEnd w:id="68"/>
      <w:bookmarkEnd w:id="69"/>
      <w:bookmarkEnd w:id="70"/>
      <w:bookmarkEnd w:id="71"/>
    </w:p>
    <w:p>
      <w:pPr>
        <w:autoSpaceDE w:val="0"/>
        <w:autoSpaceDN w:val="0"/>
        <w:adjustRightInd w:val="0"/>
        <w:snapToGrid w:val="0"/>
        <w:spacing w:line="560" w:lineRule="exact"/>
        <w:ind w:firstLine="640" w:firstLineChars="200"/>
        <w:rPr>
          <w:rFonts w:ascii="Times New Roman" w:hAnsi="Times New Roman" w:eastAsia="仿宋"/>
          <w:b/>
        </w:rPr>
      </w:pPr>
      <w:r>
        <w:rPr>
          <w:rFonts w:hint="eastAsia" w:ascii="Times New Roman" w:hAnsi="Times New Roman" w:eastAsia="仿宋"/>
          <w:sz w:val="32"/>
          <w:szCs w:val="32"/>
        </w:rPr>
        <w:t>根据《深圳证券交易所</w:t>
      </w:r>
      <w:r>
        <w:rPr>
          <w:rFonts w:ascii="Times New Roman" w:hAnsi="Times New Roman" w:eastAsia="仿宋"/>
          <w:sz w:val="32"/>
          <w:szCs w:val="32"/>
        </w:rPr>
        <w:t xml:space="preserve"> </w:t>
      </w:r>
      <w:r>
        <w:rPr>
          <w:rFonts w:hint="eastAsia" w:ascii="Times New Roman" w:hAnsi="Times New Roman" w:eastAsia="仿宋"/>
          <w:sz w:val="32"/>
          <w:szCs w:val="32"/>
        </w:rPr>
        <w:t>中国证券登记结算有限责任公司境外机构投资者债券交易及登记结算业务实施细则》（以下简称《实施细则》）第二条、第十三条规定，已获准进入银行间债券市场的境外机构投资者可以持中国人民银行或者中国人民银行上海总部出具的有关备案证明文件等材料申请开立证券账户后参与本所债券市场，具体安排如下：</w:t>
      </w:r>
    </w:p>
    <w:p>
      <w:pPr>
        <w:pStyle w:val="4"/>
        <w:keepNext w:val="0"/>
        <w:keepLines w:val="0"/>
        <w:spacing w:before="0" w:after="0" w:line="560" w:lineRule="exact"/>
        <w:ind w:firstLine="640" w:firstLineChars="200"/>
        <w:rPr>
          <w:rFonts w:ascii="楷体" w:hAnsi="楷体" w:eastAsia="楷体" w:cs="Times New Roman"/>
          <w:b w:val="0"/>
        </w:rPr>
      </w:pPr>
      <w:bookmarkStart w:id="72" w:name="_Toc32440"/>
      <w:bookmarkStart w:id="73" w:name="_Toc9967"/>
      <w:bookmarkStart w:id="74" w:name="_Toc29940"/>
      <w:bookmarkStart w:id="75" w:name="_Toc21530"/>
      <w:bookmarkStart w:id="76" w:name="_Toc7221"/>
      <w:bookmarkStart w:id="77" w:name="_Toc15857"/>
      <w:bookmarkStart w:id="78" w:name="_Toc123809367"/>
      <w:bookmarkStart w:id="79" w:name="_Toc122379697"/>
      <w:r>
        <w:rPr>
          <w:rFonts w:ascii="楷体" w:hAnsi="楷体" w:eastAsia="楷体" w:cs="Times New Roman"/>
          <w:b w:val="0"/>
        </w:rPr>
        <w:t>（</w:t>
      </w:r>
      <w:r>
        <w:rPr>
          <w:rFonts w:hint="eastAsia" w:ascii="楷体" w:hAnsi="楷体" w:eastAsia="楷体" w:cs="Times New Roman"/>
          <w:b w:val="0"/>
        </w:rPr>
        <w:t>一</w:t>
      </w:r>
      <w:r>
        <w:rPr>
          <w:rFonts w:ascii="楷体" w:hAnsi="楷体" w:eastAsia="楷体" w:cs="Times New Roman"/>
          <w:b w:val="0"/>
        </w:rPr>
        <w:t>）</w:t>
      </w:r>
      <w:r>
        <w:rPr>
          <w:rFonts w:hint="eastAsia" w:ascii="楷体" w:hAnsi="楷体" w:eastAsia="楷体" w:cs="Times New Roman"/>
          <w:b w:val="0"/>
        </w:rPr>
        <w:t>交易结算路径建立</w:t>
      </w:r>
      <w:bookmarkEnd w:id="72"/>
      <w:bookmarkEnd w:id="73"/>
      <w:bookmarkEnd w:id="74"/>
      <w:bookmarkEnd w:id="75"/>
      <w:bookmarkEnd w:id="76"/>
      <w:bookmarkEnd w:id="77"/>
      <w:bookmarkEnd w:id="78"/>
      <w:bookmarkEnd w:id="79"/>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委托以及协议签署</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境外机构投资者可以作为经纪客户委托具有本所会员资格的境内证券公司参与债券交易、委托具备合格境外机构投资者托管行资质的境内商业银行作为托管人、委托具有中国结算结算参与人资格的境内证券公司办理结算业务。</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具备本所会员资格的境内证券公司名单详见本所官网</w:t>
      </w:r>
      <w:r>
        <w:rPr>
          <w:rStyle w:val="33"/>
          <w:rFonts w:ascii="Times New Roman" w:hAnsi="Times New Roman" w:eastAsia="仿宋"/>
          <w:sz w:val="32"/>
          <w:szCs w:val="32"/>
        </w:rPr>
        <w:footnoteReference w:id="3"/>
      </w:r>
      <w:r>
        <w:rPr>
          <w:rFonts w:hint="eastAsia" w:ascii="Times New Roman" w:hAnsi="Times New Roman" w:eastAsia="仿宋" w:cs="Times New Roman"/>
          <w:sz w:val="32"/>
          <w:szCs w:val="32"/>
        </w:rPr>
        <w:t>，具备合格境外机构投资者托管行资质的境内商业银行详见中国证监会官网披露的合格境外机构投资者托管行名录，具备中国结算结算参与人资格的境内证券公司名单详见中国结算官网</w:t>
      </w:r>
      <w:r>
        <w:rPr>
          <w:rStyle w:val="33"/>
          <w:rFonts w:ascii="Times New Roman" w:hAnsi="Times New Roman" w:eastAsia="仿宋"/>
          <w:sz w:val="32"/>
          <w:szCs w:val="32"/>
        </w:rPr>
        <w:footnoteReference w:id="4"/>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账户开立</w:t>
      </w:r>
    </w:p>
    <w:p>
      <w:pPr>
        <w:spacing w:line="56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境外机构投资者应当持获准进入中国银行间债券市场的备案表向中国结算申请开立深市证券账户。境外机构投资者尚未获准进入银行间债券市场的，应当根据自身机构性质向中国人民银行或其上海总部申请备案。境外机构投资者申请开立直接投资证券账户的具体申请安排详见《中国证券登记结算有限责任公司特殊机构及产品证券账户业务指南》。</w:t>
      </w:r>
    </w:p>
    <w:p>
      <w:pPr>
        <w:spacing w:line="560" w:lineRule="exact"/>
        <w:ind w:firstLine="640" w:firstLineChars="200"/>
        <w:rPr>
          <w:rFonts w:hint="eastAsia" w:ascii="Times New Roman" w:hAnsi="Times New Roman" w:eastAsia="仿宋" w:cs="Times New Roman"/>
          <w:sz w:val="32"/>
          <w:szCs w:val="32"/>
        </w:rPr>
      </w:pPr>
    </w:p>
    <w:p>
      <w:pPr>
        <w:pStyle w:val="4"/>
        <w:keepNext w:val="0"/>
        <w:keepLines w:val="0"/>
        <w:spacing w:before="0" w:after="0" w:line="560" w:lineRule="exact"/>
        <w:ind w:firstLine="640" w:firstLineChars="200"/>
        <w:rPr>
          <w:rFonts w:ascii="楷体" w:hAnsi="楷体" w:eastAsia="楷体" w:cs="Times New Roman"/>
          <w:b w:val="0"/>
        </w:rPr>
      </w:pPr>
      <w:bookmarkStart w:id="80" w:name="_Toc122379698"/>
      <w:bookmarkStart w:id="81" w:name="_Toc964"/>
      <w:bookmarkStart w:id="82" w:name="_Toc10016"/>
      <w:bookmarkStart w:id="83" w:name="_Toc29798"/>
      <w:bookmarkStart w:id="84" w:name="_Toc6603"/>
      <w:bookmarkStart w:id="85" w:name="_Toc123809368"/>
      <w:bookmarkStart w:id="86" w:name="_Toc7514"/>
      <w:bookmarkStart w:id="87" w:name="_Toc7002"/>
      <w:r>
        <w:rPr>
          <w:rFonts w:ascii="楷体" w:hAnsi="楷体" w:eastAsia="楷体" w:cs="Times New Roman"/>
          <w:b w:val="0"/>
        </w:rPr>
        <w:t>（</w:t>
      </w:r>
      <w:r>
        <w:rPr>
          <w:rFonts w:hint="eastAsia" w:ascii="楷体" w:hAnsi="楷体" w:eastAsia="楷体" w:cs="Times New Roman"/>
          <w:b w:val="0"/>
        </w:rPr>
        <w:t>二</w:t>
      </w:r>
      <w:r>
        <w:rPr>
          <w:rFonts w:ascii="楷体" w:hAnsi="楷体" w:eastAsia="楷体" w:cs="Times New Roman"/>
          <w:b w:val="0"/>
        </w:rPr>
        <w:t>）</w:t>
      </w:r>
      <w:r>
        <w:rPr>
          <w:rFonts w:hint="eastAsia" w:ascii="楷体" w:hAnsi="楷体" w:eastAsia="楷体" w:cs="Times New Roman"/>
          <w:b w:val="0"/>
        </w:rPr>
        <w:t>信息报送</w:t>
      </w:r>
      <w:bookmarkEnd w:id="80"/>
      <w:bookmarkEnd w:id="81"/>
      <w:bookmarkEnd w:id="82"/>
      <w:bookmarkEnd w:id="83"/>
      <w:bookmarkEnd w:id="84"/>
      <w:bookmarkEnd w:id="85"/>
      <w:bookmarkEnd w:id="86"/>
      <w:bookmarkEnd w:id="87"/>
    </w:p>
    <w:p>
      <w:pPr>
        <w:spacing w:line="560" w:lineRule="exact"/>
        <w:ind w:firstLine="640" w:firstLineChars="200"/>
        <w:rPr>
          <w:rFonts w:ascii="仿宋" w:hAnsi="仿宋" w:eastAsia="仿宋" w:cs="华文细黑"/>
          <w:color w:val="000000"/>
          <w:sz w:val="32"/>
          <w:szCs w:val="32"/>
        </w:rPr>
      </w:pPr>
      <w:r>
        <w:rPr>
          <w:rFonts w:hint="eastAsia" w:ascii="仿宋" w:hAnsi="仿宋" w:eastAsia="仿宋"/>
          <w:sz w:val="32"/>
          <w:szCs w:val="32"/>
        </w:rPr>
        <w:t>根据《实施细则》</w:t>
      </w:r>
      <w:r>
        <w:rPr>
          <w:rFonts w:hint="eastAsia" w:ascii="仿宋" w:hAnsi="仿宋" w:eastAsia="仿宋" w:cs="华文细黑"/>
          <w:color w:val="000000"/>
          <w:sz w:val="32"/>
          <w:szCs w:val="32"/>
        </w:rPr>
        <w:t>规定，境外机构投资者应当向本所进行基本信息、重点情形报送。</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基本信息报送</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境外机构投资者应当与境内托管人签署信息报送相关委托书。托管人应当向本所报送境外机构投资者基本信息、托管人基本信息以及交易参与人基本信息，报送材料均应加盖机构公章或由主要负责人签字：</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（1）境外机构投资者信息报送表（附件2）；</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（2）中国人民银行或中国人民银行上海总部向境外机构投资者出具的备案证明文件复印件；</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（3）境外机构投资者委托托管人进行信息报送的委托书复印件。委托书为外文的，需提供中文翻译件；</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（4）境外机构投资者的证券账户卡复印件；</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（5）托管人营业执照复印件；</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（6）本所要求的其他材料。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重点情形报送</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境外机构投资者存在下列情形之一的，其托管人应当在该事实发生之日或者客户通知之日起</w:t>
      </w:r>
      <w:r>
        <w:rPr>
          <w:rFonts w:ascii="Times New Roman" w:hAnsi="Times New Roman" w:eastAsia="仿宋" w:cs="Times New Roman"/>
          <w:sz w:val="32"/>
          <w:szCs w:val="32"/>
        </w:rPr>
        <w:t>5个</w:t>
      </w:r>
      <w:r>
        <w:rPr>
          <w:rFonts w:hint="eastAsia" w:ascii="Times New Roman" w:hAnsi="Times New Roman" w:eastAsia="仿宋" w:cs="Times New Roman"/>
          <w:sz w:val="32"/>
          <w:szCs w:val="32"/>
        </w:rPr>
        <w:t>交易日内将有关情况报送本所：</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（1）指定或者变更托管人；</w:t>
      </w:r>
      <w:r>
        <w:rPr>
          <w:rFonts w:ascii="Times New Roman" w:hAnsi="Times New Roman" w:eastAsia="仿宋" w:cs="Times New Roman"/>
          <w:sz w:val="32"/>
          <w:szCs w:val="32"/>
        </w:rPr>
        <w:t xml:space="preserve">  </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（2）开立、注销证券账户，指定或者变更交易参与人、结算参与人；</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（3）变更机构名称、注册地、业务联系人等基本信息；</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（4）解散、宣告破产或者被其他机构合并；</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（5）涉及境内外重大诉讼或者其他重大事件；</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（6）受到自律监管措施或者纪律处分；</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（7）受到中国证监会、中国人民银行或者国家外汇管理局等境内行政监管机构处罚或者在境外受到重大处罚；</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（8）中国证监会、中国人民银行或者国家外汇管理局等行政监管机构以及本所、中国结算规定的其他情形。</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信息报送渠道</w:t>
      </w:r>
    </w:p>
    <w:p>
      <w:pPr>
        <w:autoSpaceDE w:val="0"/>
        <w:autoSpaceDN w:val="0"/>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仿宋" w:cs="Times New Roman"/>
          <w:sz w:val="32"/>
          <w:szCs w:val="32"/>
        </w:rPr>
        <w:t>托管人可以通过</w:t>
      </w:r>
      <w:r>
        <w:rPr>
          <w:rFonts w:hint="eastAsia" w:ascii="仿宋" w:hAnsi="仿宋" w:eastAsia="仿宋"/>
          <w:sz w:val="32"/>
          <w:szCs w:val="32"/>
        </w:rPr>
        <w:t>（</w:t>
      </w:r>
      <w:r>
        <w:fldChar w:fldCharType="begin"/>
      </w:r>
      <w:r>
        <w:instrText xml:space="preserve"> HYPERLINK "mailto:szsebond@szse.cn" </w:instrText>
      </w:r>
      <w:r>
        <w:fldChar w:fldCharType="separate"/>
      </w:r>
      <w:r>
        <w:rPr>
          <w:rStyle w:val="31"/>
          <w:rFonts w:ascii="Times New Roman" w:hAnsi="Times New Roman" w:eastAsia="仿宋" w:cs="Times New Roman"/>
          <w:sz w:val="32"/>
          <w:szCs w:val="32"/>
        </w:rPr>
        <w:t>szsebond@szse.cn</w:t>
      </w:r>
      <w:r>
        <w:rPr>
          <w:rStyle w:val="31"/>
          <w:rFonts w:ascii="Times New Roman" w:hAnsi="Times New Roman" w:eastAsia="仿宋" w:cs="Times New Roman"/>
          <w:sz w:val="32"/>
          <w:szCs w:val="32"/>
        </w:rPr>
        <w:fldChar w:fldCharType="end"/>
      </w:r>
      <w:r>
        <w:rPr>
          <w:rFonts w:hint="eastAsia" w:ascii="Times New Roman" w:hAnsi="Times New Roman" w:eastAsia="仿宋" w:cs="Times New Roman"/>
          <w:sz w:val="32"/>
          <w:szCs w:val="32"/>
        </w:rPr>
        <w:t>）向本所报送上述材料的扫描件，邮件标题注明“境外机构投资者信息报送”。</w:t>
      </w:r>
    </w:p>
    <w:p>
      <w:pPr>
        <w:pStyle w:val="4"/>
        <w:keepNext w:val="0"/>
        <w:keepLines w:val="0"/>
        <w:spacing w:before="0" w:after="0" w:line="560" w:lineRule="exact"/>
        <w:ind w:firstLine="640" w:firstLineChars="200"/>
        <w:rPr>
          <w:rFonts w:ascii="楷体" w:hAnsi="楷体" w:eastAsia="楷体" w:cs="Times New Roman"/>
          <w:b w:val="0"/>
        </w:rPr>
      </w:pPr>
      <w:bookmarkStart w:id="88" w:name="_Toc1100"/>
      <w:bookmarkStart w:id="89" w:name="_Toc30408"/>
      <w:bookmarkStart w:id="90" w:name="_Toc123809369"/>
      <w:bookmarkStart w:id="91" w:name="_Toc3771"/>
      <w:bookmarkStart w:id="92" w:name="_Toc1188"/>
      <w:bookmarkStart w:id="93" w:name="_Toc122379699"/>
      <w:bookmarkStart w:id="94" w:name="_Toc25729"/>
      <w:bookmarkStart w:id="95" w:name="_Toc4508"/>
      <w:r>
        <w:rPr>
          <w:rFonts w:ascii="楷体" w:hAnsi="楷体" w:eastAsia="楷体" w:cs="Times New Roman"/>
          <w:b w:val="0"/>
        </w:rPr>
        <w:t>（</w:t>
      </w:r>
      <w:r>
        <w:rPr>
          <w:rFonts w:hint="eastAsia" w:ascii="楷体" w:hAnsi="楷体" w:eastAsia="楷体" w:cs="Times New Roman"/>
          <w:b w:val="0"/>
        </w:rPr>
        <w:t>三</w:t>
      </w:r>
      <w:r>
        <w:rPr>
          <w:rFonts w:ascii="楷体" w:hAnsi="楷体" w:eastAsia="楷体" w:cs="Times New Roman"/>
          <w:b w:val="0"/>
        </w:rPr>
        <w:t>）</w:t>
      </w:r>
      <w:r>
        <w:rPr>
          <w:rFonts w:hint="eastAsia" w:ascii="楷体" w:hAnsi="楷体" w:eastAsia="楷体" w:cs="Times New Roman"/>
          <w:b w:val="0"/>
        </w:rPr>
        <w:t>交易结算安排</w:t>
      </w:r>
      <w:bookmarkEnd w:id="88"/>
      <w:bookmarkEnd w:id="89"/>
      <w:bookmarkEnd w:id="90"/>
      <w:bookmarkEnd w:id="91"/>
      <w:bookmarkEnd w:id="92"/>
      <w:bookmarkEnd w:id="93"/>
      <w:bookmarkEnd w:id="94"/>
      <w:bookmarkEnd w:id="95"/>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可投资范围</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根据《实施细则》规定，境外机构投资者可以作为专业投资者中的机构投资者参与以下品种的发行认购、交易或者转让：</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（1）债券（含可转换公司债券和可交换公司债券）；</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（2）资产支持证券；</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（3）以债券和资产支持证券作为投资标的的基金；</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（4）以风险管理为目的的相关衍生产品；</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（5）债券借贷；</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（6）中国证监会、中国人民银行或者本所认可的其他具有固定收益特征的产品或者相关衍生产品。</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债券双向划转安排</w:t>
      </w:r>
    </w:p>
    <w:p>
      <w:pPr>
        <w:autoSpaceDE w:val="0"/>
        <w:autoSpaceDN w:val="0"/>
        <w:adjustRightInd w:val="0"/>
        <w:snapToGrid w:val="0"/>
        <w:spacing w:line="560" w:lineRule="exact"/>
        <w:ind w:firstLine="640" w:firstLineChars="200"/>
        <w:rPr>
          <w:rFonts w:ascii="仿宋" w:hAnsi="仿宋" w:eastAsia="仿宋" w:cs="华文细黑"/>
          <w:color w:val="000000"/>
          <w:sz w:val="32"/>
          <w:szCs w:val="32"/>
        </w:rPr>
      </w:pPr>
      <w:r>
        <w:rPr>
          <w:rFonts w:hint="eastAsia" w:ascii="仿宋" w:hAnsi="仿宋" w:eastAsia="仿宋" w:cs="华文细黑"/>
          <w:color w:val="000000"/>
          <w:sz w:val="32"/>
          <w:szCs w:val="32"/>
        </w:rPr>
        <w:t>境外机构投资者可以根据投资管理需要，按照中国结算相关业务规则办理其证券账户与其合格境外投资者项下证券账户之间债券等品种的双向划转，具体安排详见《中国证券登记结算有限责任公司深圳分公司债券登记结算业务指南》。</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 债券转股换股要求</w:t>
      </w:r>
    </w:p>
    <w:p>
      <w:pPr>
        <w:autoSpaceDE w:val="0"/>
        <w:autoSpaceDN w:val="0"/>
        <w:adjustRightInd w:val="0"/>
        <w:snapToGrid w:val="0"/>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境外机构投资者持有的可转换公司债券或者可交换公司债券如需转股或者换股的，应当提前将相关债券划转至其合格境外机构投资者或者人民币合格境外机构投资者证券账户后，再进行转股或者换股申报。债券划转事项应当遵守法律法规和本所相关业务规则等关于权益变动以及境外机构投资者持股比例等相关规定，并按规定履行信息披露义务。</w:t>
      </w:r>
    </w:p>
    <w:p>
      <w:pPr>
        <w:autoSpaceDE w:val="0"/>
        <w:autoSpaceDN w:val="0"/>
        <w:adjustRightInd w:val="0"/>
        <w:snapToGrid w:val="0"/>
        <w:spacing w:line="560" w:lineRule="exact"/>
        <w:ind w:firstLine="640" w:firstLineChars="200"/>
        <w:rPr>
          <w:rFonts w:hint="eastAsia" w:ascii="Times New Roman" w:hAnsi="Times New Roman" w:eastAsia="仿宋"/>
          <w:sz w:val="32"/>
          <w:szCs w:val="32"/>
        </w:rPr>
      </w:pPr>
    </w:p>
    <w:p>
      <w:pPr>
        <w:pStyle w:val="2"/>
        <w:spacing w:before="120" w:beforeLines="50" w:after="120" w:afterLines="50" w:line="560" w:lineRule="exact"/>
        <w:jc w:val="center"/>
        <w:rPr>
          <w:rFonts w:ascii="Times New Roman" w:hAnsi="Times New Roman" w:eastAsia="仿宋" w:cs="Times New Roman"/>
          <w:bCs w:val="0"/>
          <w:kern w:val="2"/>
          <w:sz w:val="32"/>
          <w:szCs w:val="32"/>
        </w:rPr>
      </w:pPr>
      <w:bookmarkStart w:id="96" w:name="_Toc10640"/>
      <w:bookmarkStart w:id="97" w:name="_Toc18097"/>
      <w:bookmarkStart w:id="98" w:name="_Toc14434"/>
      <w:bookmarkStart w:id="99" w:name="_Toc14505"/>
      <w:bookmarkStart w:id="100" w:name="_Toc9648"/>
      <w:bookmarkStart w:id="101" w:name="_Toc1697"/>
      <w:bookmarkStart w:id="102" w:name="_Toc123809370"/>
      <w:r>
        <w:rPr>
          <w:rFonts w:ascii="Times New Roman" w:hAnsi="Times New Roman" w:eastAsia="仿宋" w:cs="Times New Roman"/>
          <w:bCs w:val="0"/>
          <w:kern w:val="2"/>
          <w:sz w:val="32"/>
          <w:szCs w:val="32"/>
        </w:rPr>
        <w:t>第</w:t>
      </w:r>
      <w:r>
        <w:rPr>
          <w:rFonts w:hint="eastAsia" w:ascii="Times New Roman" w:hAnsi="Times New Roman" w:eastAsia="仿宋" w:cs="Times New Roman"/>
          <w:bCs w:val="0"/>
          <w:kern w:val="2"/>
          <w:sz w:val="32"/>
          <w:szCs w:val="32"/>
        </w:rPr>
        <w:t>二</w:t>
      </w:r>
      <w:r>
        <w:rPr>
          <w:rFonts w:ascii="Times New Roman" w:hAnsi="Times New Roman" w:eastAsia="仿宋" w:cs="Times New Roman"/>
          <w:bCs w:val="0"/>
          <w:kern w:val="2"/>
          <w:sz w:val="32"/>
          <w:szCs w:val="32"/>
        </w:rPr>
        <w:t>章</w:t>
      </w:r>
      <w:r>
        <w:rPr>
          <w:rFonts w:hint="eastAsia" w:ascii="Times New Roman" w:hAnsi="Times New Roman" w:eastAsia="仿宋" w:cs="Times New Roman"/>
          <w:bCs w:val="0"/>
          <w:kern w:val="2"/>
          <w:sz w:val="32"/>
          <w:szCs w:val="32"/>
        </w:rPr>
        <w:t xml:space="preserve"> 交易前准备工作</w:t>
      </w:r>
      <w:bookmarkEnd w:id="96"/>
      <w:bookmarkEnd w:id="97"/>
      <w:bookmarkEnd w:id="98"/>
      <w:bookmarkEnd w:id="99"/>
      <w:bookmarkEnd w:id="100"/>
      <w:bookmarkEnd w:id="101"/>
      <w:bookmarkEnd w:id="102"/>
    </w:p>
    <w:p>
      <w:pPr>
        <w:pStyle w:val="3"/>
        <w:keepNext w:val="0"/>
        <w:keepLines w:val="0"/>
        <w:spacing w:before="0" w:after="0" w:line="560" w:lineRule="exact"/>
        <w:ind w:firstLine="640" w:firstLineChars="200"/>
        <w:rPr>
          <w:rFonts w:ascii="黑体" w:hAnsi="黑体" w:eastAsia="黑体"/>
          <w:b w:val="0"/>
        </w:rPr>
      </w:pPr>
      <w:bookmarkStart w:id="103" w:name="_Toc123809371"/>
      <w:bookmarkStart w:id="104" w:name="_Toc16056"/>
      <w:bookmarkStart w:id="105" w:name="_Toc16405"/>
      <w:bookmarkStart w:id="106" w:name="_Toc22551"/>
      <w:bookmarkStart w:id="107" w:name="_Toc5321"/>
      <w:bookmarkStart w:id="108" w:name="_Toc15896"/>
      <w:bookmarkStart w:id="109" w:name="_Toc17954"/>
      <w:r>
        <w:rPr>
          <w:rFonts w:hint="eastAsia" w:ascii="黑体" w:hAnsi="黑体" w:eastAsia="黑体"/>
          <w:b w:val="0"/>
        </w:rPr>
        <w:t>一</w:t>
      </w:r>
      <w:r>
        <w:rPr>
          <w:rFonts w:ascii="黑体" w:hAnsi="黑体" w:eastAsia="黑体"/>
          <w:b w:val="0"/>
        </w:rPr>
        <w:t>、</w:t>
      </w:r>
      <w:r>
        <w:rPr>
          <w:rFonts w:hint="eastAsia" w:ascii="黑体" w:hAnsi="黑体" w:eastAsia="黑体"/>
          <w:b w:val="0"/>
        </w:rPr>
        <w:t>投资者适当性报备</w:t>
      </w:r>
      <w:bookmarkEnd w:id="103"/>
      <w:bookmarkEnd w:id="104"/>
      <w:bookmarkEnd w:id="105"/>
      <w:bookmarkEnd w:id="106"/>
      <w:bookmarkEnd w:id="107"/>
      <w:bookmarkEnd w:id="108"/>
      <w:bookmarkEnd w:id="109"/>
    </w:p>
    <w:p>
      <w:pPr>
        <w:spacing w:line="560" w:lineRule="exact"/>
        <w:ind w:firstLine="707" w:firstLineChars="221"/>
        <w:rPr>
          <w:rFonts w:ascii="Times New Roman" w:hAnsi="Times New Roman" w:eastAsia="仿宋" w:cs="Times New Roman"/>
          <w:sz w:val="32"/>
          <w:szCs w:val="32"/>
        </w:rPr>
      </w:pPr>
      <w:r>
        <w:rPr>
          <w:rFonts w:hint="eastAsia" w:ascii="仿宋" w:hAnsi="仿宋" w:eastAsia="仿宋" w:cs="仿宋"/>
          <w:sz w:val="32"/>
          <w:szCs w:val="32"/>
        </w:rPr>
        <w:t>本所债券交易实施投资者适当性管理制度，投资者参与债券交易应当符合《深圳证券交易所债券市场投资者适当性管理办法》相关要求。</w:t>
      </w:r>
    </w:p>
    <w:p>
      <w:pPr>
        <w:spacing w:line="560" w:lineRule="exact"/>
        <w:ind w:firstLine="707" w:firstLineChars="221"/>
        <w:rPr>
          <w:rFonts w:ascii="Times New Roman" w:hAnsi="Times New Roman" w:eastAsia="仿宋" w:cs="Times New Roman"/>
          <w:sz w:val="32"/>
          <w:szCs w:val="32"/>
        </w:rPr>
      </w:pPr>
      <w:r>
        <w:rPr>
          <w:rFonts w:hint="eastAsia" w:ascii="Times New Roman" w:hAnsi="Times New Roman" w:eastAsia="仿宋" w:cs="Times New Roman"/>
          <w:sz w:val="32"/>
          <w:szCs w:val="32"/>
        </w:rPr>
        <w:t>投资者</w:t>
      </w:r>
      <w:r>
        <w:rPr>
          <w:rFonts w:ascii="Times New Roman" w:hAnsi="Times New Roman" w:eastAsia="仿宋" w:cs="Times New Roman"/>
          <w:sz w:val="32"/>
          <w:szCs w:val="32"/>
        </w:rPr>
        <w:t>参与</w:t>
      </w:r>
      <w:r>
        <w:rPr>
          <w:rFonts w:hint="eastAsia" w:ascii="Times New Roman" w:hAnsi="Times New Roman" w:eastAsia="仿宋" w:cs="Times New Roman"/>
          <w:sz w:val="32"/>
          <w:szCs w:val="32"/>
        </w:rPr>
        <w:t>本所债券交易</w:t>
      </w:r>
      <w:r>
        <w:rPr>
          <w:rFonts w:ascii="Times New Roman" w:hAnsi="Times New Roman" w:eastAsia="仿宋" w:cs="Times New Roman"/>
          <w:sz w:val="32"/>
          <w:szCs w:val="32"/>
        </w:rPr>
        <w:t>前，</w:t>
      </w:r>
      <w:r>
        <w:rPr>
          <w:rFonts w:hint="eastAsia" w:ascii="Times New Roman" w:hAnsi="Times New Roman" w:eastAsia="仿宋" w:cs="Times New Roman"/>
          <w:sz w:val="32"/>
          <w:szCs w:val="32"/>
        </w:rPr>
        <w:t>应当进行</w:t>
      </w:r>
      <w:r>
        <w:rPr>
          <w:rFonts w:ascii="Times New Roman" w:hAnsi="Times New Roman" w:eastAsia="仿宋" w:cs="Times New Roman"/>
          <w:sz w:val="32"/>
          <w:szCs w:val="32"/>
        </w:rPr>
        <w:t>投资者适当性报备</w:t>
      </w:r>
      <w:r>
        <w:rPr>
          <w:rFonts w:hint="eastAsia" w:ascii="Times New Roman" w:hAnsi="Times New Roman" w:eastAsia="仿宋" w:cs="Times New Roman"/>
          <w:sz w:val="32"/>
          <w:szCs w:val="32"/>
        </w:rPr>
        <w:t>。本所债券交易参与人无需另行报备，投资者</w:t>
      </w:r>
      <w:r>
        <w:rPr>
          <w:rFonts w:ascii="Times New Roman" w:hAnsi="Times New Roman" w:eastAsia="仿宋" w:cs="Times New Roman"/>
          <w:sz w:val="32"/>
          <w:szCs w:val="32"/>
        </w:rPr>
        <w:t>作为证券公司客户参与</w:t>
      </w:r>
      <w:r>
        <w:rPr>
          <w:rFonts w:hint="eastAsia" w:ascii="Times New Roman" w:hAnsi="Times New Roman" w:eastAsia="仿宋" w:cs="Times New Roman"/>
          <w:sz w:val="32"/>
          <w:szCs w:val="32"/>
        </w:rPr>
        <w:t>债券交易</w:t>
      </w:r>
      <w:r>
        <w:rPr>
          <w:rFonts w:ascii="Times New Roman" w:hAnsi="Times New Roman" w:eastAsia="仿宋" w:cs="Times New Roman"/>
          <w:sz w:val="32"/>
          <w:szCs w:val="32"/>
        </w:rPr>
        <w:t>的，应当由</w:t>
      </w:r>
      <w:r>
        <w:rPr>
          <w:rFonts w:hint="eastAsia" w:ascii="Times New Roman" w:hAnsi="Times New Roman" w:eastAsia="仿宋" w:cs="Times New Roman"/>
          <w:sz w:val="32"/>
          <w:szCs w:val="32"/>
        </w:rPr>
        <w:t>所在</w:t>
      </w:r>
      <w:r>
        <w:rPr>
          <w:rFonts w:ascii="Times New Roman" w:hAnsi="Times New Roman" w:eastAsia="仿宋" w:cs="Times New Roman"/>
          <w:sz w:val="32"/>
          <w:szCs w:val="32"/>
        </w:rPr>
        <w:t>证券公司</w:t>
      </w:r>
      <w:r>
        <w:rPr>
          <w:rFonts w:hint="eastAsia" w:ascii="Times New Roman" w:hAnsi="Times New Roman" w:eastAsia="仿宋" w:cs="Times New Roman"/>
          <w:sz w:val="32"/>
          <w:szCs w:val="32"/>
        </w:rPr>
        <w:t>及时通过本所固定收益品种业务专区（</w:t>
      </w:r>
      <w:r>
        <w:fldChar w:fldCharType="begin"/>
      </w:r>
      <w:r>
        <w:instrText xml:space="preserve"> HYPERLINK "https://biz.szse.cn/fic" </w:instrText>
      </w:r>
      <w:r>
        <w:fldChar w:fldCharType="separate"/>
      </w:r>
      <w:r>
        <w:rPr>
          <w:rStyle w:val="31"/>
          <w:rFonts w:hint="eastAsia" w:ascii="Times New Roman" w:hAnsi="Times New Roman" w:eastAsia="仿宋" w:cs="Times New Roman"/>
          <w:sz w:val="32"/>
          <w:szCs w:val="32"/>
        </w:rPr>
        <w:t>https://biz.szse.cn/fic</w:t>
      </w:r>
      <w:r>
        <w:rPr>
          <w:rStyle w:val="31"/>
          <w:rFonts w:hint="eastAsia" w:ascii="Times New Roman" w:hAnsi="Times New Roman" w:eastAsia="仿宋" w:cs="Times New Roman"/>
          <w:sz w:val="32"/>
          <w:szCs w:val="32"/>
        </w:rPr>
        <w:fldChar w:fldCharType="end"/>
      </w:r>
      <w:r>
        <w:rPr>
          <w:rStyle w:val="31"/>
          <w:rFonts w:hint="eastAsia" w:ascii="Times New Roman" w:hAnsi="Times New Roman" w:eastAsia="仿宋" w:cs="Times New Roman"/>
          <w:sz w:val="32"/>
          <w:szCs w:val="32"/>
        </w:rPr>
        <w:t>）</w:t>
      </w:r>
      <w:r>
        <w:rPr>
          <w:rFonts w:hint="eastAsia" w:ascii="Times New Roman" w:hAnsi="Times New Roman" w:eastAsia="仿宋" w:cs="Times New Roman"/>
          <w:sz w:val="32"/>
          <w:szCs w:val="32"/>
        </w:rPr>
        <w:t>提交专业投资者名单，需使用本所固定收益品种业务专区数字证书（B类数字证书）。</w:t>
      </w:r>
    </w:p>
    <w:p>
      <w:pPr>
        <w:pStyle w:val="3"/>
        <w:spacing w:before="0" w:after="0" w:line="560" w:lineRule="exact"/>
        <w:ind w:firstLine="640" w:firstLineChars="200"/>
        <w:rPr>
          <w:rFonts w:ascii="Times New Roman" w:hAnsi="Times New Roman" w:eastAsia="黑体"/>
          <w:b w:val="0"/>
        </w:rPr>
      </w:pPr>
      <w:bookmarkStart w:id="110" w:name="_Toc13733"/>
      <w:bookmarkStart w:id="111" w:name="_Toc15080"/>
      <w:bookmarkStart w:id="112" w:name="_Toc30879"/>
      <w:bookmarkStart w:id="113" w:name="_Toc16178"/>
      <w:bookmarkStart w:id="114" w:name="_Toc17461"/>
      <w:bookmarkStart w:id="115" w:name="_Toc22984"/>
      <w:bookmarkStart w:id="116" w:name="_Toc123809372"/>
      <w:r>
        <w:rPr>
          <w:rFonts w:hint="eastAsia" w:ascii="Times New Roman" w:hAnsi="Times New Roman" w:eastAsia="黑体"/>
          <w:b w:val="0"/>
        </w:rPr>
        <w:t>二</w:t>
      </w:r>
      <w:r>
        <w:rPr>
          <w:rFonts w:ascii="Times New Roman" w:hAnsi="Times New Roman" w:eastAsia="黑体"/>
          <w:b w:val="0"/>
        </w:rPr>
        <w:t>、债券交易账户信息报备</w:t>
      </w:r>
      <w:bookmarkEnd w:id="110"/>
      <w:bookmarkEnd w:id="111"/>
      <w:bookmarkEnd w:id="112"/>
      <w:bookmarkEnd w:id="113"/>
      <w:bookmarkEnd w:id="114"/>
      <w:bookmarkEnd w:id="115"/>
      <w:bookmarkEnd w:id="116"/>
    </w:p>
    <w:p>
      <w:pPr>
        <w:pStyle w:val="39"/>
        <w:wordWrap w:val="0"/>
        <w:spacing w:line="56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债券投资者参与非匹配成交交易的，应当至少在开展相关交易前一个交易日17:00前通过固定收益品种业务专区完成相应债券交易账户信息报备工作，报备信息于次一交易日生效。报备要求详见《深圳证券交易所债券交易业务指南第</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号</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账户信息报备》。</w:t>
      </w:r>
      <w:r>
        <w:rPr>
          <w:rFonts w:hint="eastAsia" w:ascii="仿宋" w:hAnsi="仿宋" w:eastAsia="仿宋" w:cs="Times New Roman"/>
          <w:sz w:val="32"/>
          <w:szCs w:val="32"/>
        </w:rPr>
        <w:t>拟仅采用匹配成交方式的，不强制要求报备账户信息。前期已报备生效的账户信息无需重复报备</w:t>
      </w:r>
      <w:r>
        <w:rPr>
          <w:rFonts w:hint="eastAsia" w:ascii="仿宋" w:hAnsi="仿宋"/>
          <w:sz w:val="32"/>
        </w:rPr>
        <w:t>。</w:t>
      </w:r>
    </w:p>
    <w:p>
      <w:pPr>
        <w:spacing w:line="560" w:lineRule="exact"/>
        <w:ind w:firstLine="707" w:firstLineChars="221"/>
        <w:rPr>
          <w:rFonts w:ascii="仿宋" w:hAnsi="仿宋"/>
        </w:rPr>
      </w:pPr>
      <w:r>
        <w:rPr>
          <w:rFonts w:hint="eastAsia" w:ascii="Times New Roman" w:hAnsi="Times New Roman" w:eastAsia="仿宋" w:cs="Times New Roman"/>
          <w:sz w:val="32"/>
          <w:szCs w:val="32"/>
        </w:rPr>
        <w:t>自营类及资管类交易主体</w:t>
      </w:r>
      <w:r>
        <w:rPr>
          <w:rFonts w:ascii="Times New Roman" w:hAnsi="Times New Roman" w:eastAsia="仿宋" w:cs="Times New Roman"/>
          <w:sz w:val="32"/>
          <w:szCs w:val="32"/>
        </w:rPr>
        <w:t>应当自行报备，经纪类交易主体由所在证券公司统一报备</w:t>
      </w:r>
      <w:r>
        <w:rPr>
          <w:rFonts w:hint="eastAsia" w:ascii="Times New Roman" w:hAnsi="Times New Roman" w:eastAsia="仿宋" w:cs="Times New Roman"/>
          <w:sz w:val="32"/>
          <w:szCs w:val="32"/>
        </w:rPr>
        <w:t>。账户信息报备通过本所固定收益品种业务专区（</w:t>
      </w:r>
      <w:r>
        <w:fldChar w:fldCharType="begin"/>
      </w:r>
      <w:r>
        <w:instrText xml:space="preserve"> HYPERLINK "https://biz.szse.cn/fic" </w:instrText>
      </w:r>
      <w:r>
        <w:fldChar w:fldCharType="separate"/>
      </w:r>
      <w:r>
        <w:rPr>
          <w:rStyle w:val="31"/>
          <w:rFonts w:hint="eastAsia" w:ascii="Times New Roman" w:hAnsi="Times New Roman" w:eastAsia="仿宋" w:cs="Times New Roman"/>
          <w:sz w:val="32"/>
          <w:szCs w:val="32"/>
        </w:rPr>
        <w:t>https://biz.szse.cn/fic</w:t>
      </w:r>
      <w:r>
        <w:rPr>
          <w:rStyle w:val="31"/>
          <w:rFonts w:hint="eastAsia" w:ascii="Times New Roman" w:hAnsi="Times New Roman" w:eastAsia="仿宋" w:cs="Times New Roman"/>
          <w:sz w:val="32"/>
          <w:szCs w:val="32"/>
        </w:rPr>
        <w:fldChar w:fldCharType="end"/>
      </w:r>
      <w:r>
        <w:rPr>
          <w:rStyle w:val="31"/>
          <w:rFonts w:hint="eastAsia" w:ascii="Times New Roman" w:hAnsi="Times New Roman" w:eastAsia="仿宋" w:cs="Times New Roman"/>
          <w:sz w:val="32"/>
          <w:szCs w:val="32"/>
        </w:rPr>
        <w:t>）</w:t>
      </w:r>
      <w:r>
        <w:rPr>
          <w:rFonts w:hint="eastAsia" w:ascii="Times New Roman" w:hAnsi="Times New Roman" w:eastAsia="仿宋" w:cs="Times New Roman"/>
          <w:sz w:val="32"/>
          <w:szCs w:val="32"/>
        </w:rPr>
        <w:t>进行，需使用会员专区数字证书（</w:t>
      </w:r>
      <w:r>
        <w:rPr>
          <w:rFonts w:ascii="Times New Roman" w:hAnsi="Times New Roman" w:eastAsia="仿宋" w:cs="Times New Roman"/>
          <w:sz w:val="32"/>
          <w:szCs w:val="32"/>
        </w:rPr>
        <w:t>M</w:t>
      </w:r>
      <w:r>
        <w:rPr>
          <w:rFonts w:hint="eastAsia" w:ascii="Times New Roman" w:hAnsi="Times New Roman" w:eastAsia="仿宋" w:cs="Times New Roman"/>
          <w:sz w:val="32"/>
          <w:szCs w:val="32"/>
        </w:rPr>
        <w:t>类数字证书）。</w:t>
      </w:r>
    </w:p>
    <w:p>
      <w:pPr>
        <w:pStyle w:val="3"/>
        <w:spacing w:before="0" w:after="0" w:line="560" w:lineRule="exact"/>
        <w:ind w:firstLine="640" w:firstLineChars="200"/>
        <w:rPr>
          <w:rFonts w:ascii="Times New Roman" w:hAnsi="Times New Roman" w:eastAsia="黑体"/>
          <w:b w:val="0"/>
        </w:rPr>
      </w:pPr>
      <w:bookmarkStart w:id="117" w:name="_Toc4005"/>
      <w:bookmarkStart w:id="118" w:name="_Toc123809373"/>
      <w:bookmarkStart w:id="119" w:name="_Toc28669"/>
      <w:bookmarkStart w:id="120" w:name="_Toc24279"/>
      <w:bookmarkStart w:id="121" w:name="_Toc7947"/>
      <w:bookmarkStart w:id="122" w:name="_Toc11888"/>
      <w:bookmarkStart w:id="123" w:name="_Toc10613"/>
      <w:r>
        <w:rPr>
          <w:rFonts w:hint="eastAsia" w:ascii="Times New Roman" w:hAnsi="Times New Roman" w:eastAsia="黑体"/>
          <w:b w:val="0"/>
        </w:rPr>
        <w:t>三</w:t>
      </w:r>
      <w:r>
        <w:rPr>
          <w:rFonts w:ascii="Times New Roman" w:hAnsi="Times New Roman" w:eastAsia="黑体"/>
          <w:b w:val="0"/>
        </w:rPr>
        <w:t>、</w:t>
      </w:r>
      <w:r>
        <w:rPr>
          <w:rFonts w:hint="eastAsia" w:ascii="Times New Roman" w:hAnsi="Times New Roman" w:eastAsia="黑体"/>
          <w:b w:val="0"/>
        </w:rPr>
        <w:t>电子接口系统开发或交易终端配置</w:t>
      </w:r>
      <w:bookmarkEnd w:id="117"/>
      <w:bookmarkEnd w:id="118"/>
      <w:bookmarkEnd w:id="119"/>
      <w:bookmarkEnd w:id="120"/>
      <w:bookmarkEnd w:id="121"/>
      <w:bookmarkEnd w:id="122"/>
      <w:bookmarkEnd w:id="123"/>
    </w:p>
    <w:p>
      <w:pPr>
        <w:pStyle w:val="4"/>
        <w:keepNext w:val="0"/>
        <w:keepLines w:val="0"/>
        <w:spacing w:before="0" w:after="0" w:line="560" w:lineRule="exact"/>
        <w:ind w:firstLine="640" w:firstLineChars="200"/>
        <w:rPr>
          <w:rFonts w:ascii="楷体" w:hAnsi="楷体" w:eastAsia="楷体" w:cs="Times New Roman"/>
          <w:b w:val="0"/>
        </w:rPr>
      </w:pPr>
      <w:bookmarkStart w:id="124" w:name="_Toc20408"/>
      <w:bookmarkStart w:id="125" w:name="_Toc123809374"/>
      <w:bookmarkStart w:id="126" w:name="_Toc20183"/>
      <w:bookmarkStart w:id="127" w:name="_Toc21561"/>
      <w:bookmarkStart w:id="128" w:name="_Toc29461"/>
      <w:bookmarkStart w:id="129" w:name="_Toc8768"/>
      <w:bookmarkStart w:id="130" w:name="_Toc25675"/>
      <w:r>
        <w:rPr>
          <w:rFonts w:ascii="楷体" w:hAnsi="楷体" w:eastAsia="楷体" w:cs="Times New Roman"/>
          <w:b w:val="0"/>
        </w:rPr>
        <w:t>（</w:t>
      </w:r>
      <w:r>
        <w:rPr>
          <w:rFonts w:hint="eastAsia" w:ascii="楷体" w:hAnsi="楷体" w:eastAsia="楷体" w:cs="Times New Roman"/>
          <w:b w:val="0"/>
        </w:rPr>
        <w:t>一</w:t>
      </w:r>
      <w:r>
        <w:rPr>
          <w:rFonts w:ascii="楷体" w:hAnsi="楷体" w:eastAsia="楷体" w:cs="Times New Roman"/>
          <w:b w:val="0"/>
        </w:rPr>
        <w:t>）</w:t>
      </w:r>
      <w:r>
        <w:rPr>
          <w:rFonts w:hint="eastAsia" w:ascii="楷体" w:hAnsi="楷体" w:eastAsia="楷体" w:cs="Times New Roman"/>
          <w:b w:val="0"/>
        </w:rPr>
        <w:t>电子接口系统开发</w:t>
      </w:r>
      <w:bookmarkEnd w:id="124"/>
      <w:bookmarkEnd w:id="125"/>
      <w:bookmarkEnd w:id="126"/>
      <w:bookmarkEnd w:id="127"/>
      <w:bookmarkEnd w:id="128"/>
      <w:bookmarkEnd w:id="129"/>
      <w:bookmarkEnd w:id="130"/>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使用自建系统或第三方交易系统、通过电子接口接入本所交易系统的债券交易参与人，应当确保相关系统的性能、容量及扩展能力应当与其业务发展以及市场需求相适应，及时做好立项及系统改造工作，保障交易相关系统的持续稳定运行。使用第三方开发商开发系统的债券交易参与人，应当与第三方开发商建立好技术沟通机制，确保相关系统有效稳定。</w:t>
      </w:r>
    </w:p>
    <w:p>
      <w:pPr>
        <w:pStyle w:val="4"/>
        <w:keepNext w:val="0"/>
        <w:keepLines w:val="0"/>
        <w:spacing w:before="0" w:after="0" w:line="560" w:lineRule="exact"/>
        <w:ind w:firstLine="640" w:firstLineChars="200"/>
        <w:rPr>
          <w:rFonts w:ascii="楷体" w:hAnsi="楷体" w:eastAsia="楷体" w:cs="Times New Roman"/>
          <w:b w:val="0"/>
        </w:rPr>
      </w:pPr>
      <w:bookmarkStart w:id="131" w:name="_Toc12576"/>
      <w:bookmarkStart w:id="132" w:name="_Toc6830"/>
      <w:bookmarkStart w:id="133" w:name="_Toc123809375"/>
      <w:bookmarkStart w:id="134" w:name="_Toc18635"/>
      <w:bookmarkStart w:id="135" w:name="_Toc25038"/>
      <w:bookmarkStart w:id="136" w:name="_Toc4410"/>
      <w:bookmarkStart w:id="137" w:name="_Toc24875"/>
      <w:r>
        <w:rPr>
          <w:rFonts w:ascii="楷体" w:hAnsi="楷体" w:eastAsia="楷体" w:cs="Times New Roman"/>
          <w:b w:val="0"/>
        </w:rPr>
        <w:t>（</w:t>
      </w:r>
      <w:r>
        <w:rPr>
          <w:rFonts w:hint="eastAsia" w:ascii="楷体" w:hAnsi="楷体" w:eastAsia="楷体" w:cs="Times New Roman"/>
          <w:b w:val="0"/>
        </w:rPr>
        <w:t>二</w:t>
      </w:r>
      <w:r>
        <w:rPr>
          <w:rFonts w:ascii="楷体" w:hAnsi="楷体" w:eastAsia="楷体" w:cs="Times New Roman"/>
          <w:b w:val="0"/>
        </w:rPr>
        <w:t>）</w:t>
      </w:r>
      <w:r>
        <w:rPr>
          <w:rFonts w:hint="eastAsia" w:ascii="楷体" w:hAnsi="楷体" w:eastAsia="楷体" w:cs="Times New Roman"/>
          <w:b w:val="0"/>
        </w:rPr>
        <w:t>交易终端配置</w:t>
      </w:r>
      <w:bookmarkEnd w:id="131"/>
      <w:bookmarkEnd w:id="132"/>
      <w:bookmarkEnd w:id="133"/>
      <w:bookmarkEnd w:id="134"/>
      <w:bookmarkEnd w:id="135"/>
      <w:bookmarkEnd w:id="136"/>
      <w:bookmarkEnd w:id="137"/>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交易终端是本所提供的用于交易指令申报的网页报盘系统。本所交易终端分为股基专区和固收专区，交易终端固收专区集成债券现券交易、回购交易等交易功能以及其他债券非交易功能。</w:t>
      </w:r>
    </w:p>
    <w:p>
      <w:pPr>
        <w:spacing w:line="560" w:lineRule="exact"/>
        <w:ind w:firstLine="640" w:firstLineChars="200"/>
        <w:rPr>
          <w:rFonts w:ascii="Times New Roman" w:hAnsi="Times New Roman" w:eastAsia="仿宋" w:cs="Times New Roman"/>
          <w:sz w:val="32"/>
          <w:szCs w:val="32"/>
        </w:rPr>
      </w:pPr>
      <w:r>
        <w:rPr>
          <w:rFonts w:hint="eastAsia" w:ascii="仿宋" w:hAnsi="仿宋" w:eastAsia="仿宋" w:cs="仿宋"/>
          <w:sz w:val="32"/>
          <w:szCs w:val="32"/>
        </w:rPr>
        <w:t>通过交易终端参与交易的债券交易参与人，应当在交易前完成专线铺设、交易终端一级管理员申请以及数字证书申请、账户信息设置、交易终端权限配置等工作。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．交易终端一级管理员申请以及数字证书申请</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通过本所</w:t>
      </w:r>
      <w:r>
        <w:rPr>
          <w:rFonts w:hint="eastAsia" w:ascii="Times New Roman" w:hAnsi="Times New Roman" w:eastAsia="仿宋" w:cs="Times New Roman"/>
          <w:sz w:val="32"/>
          <w:szCs w:val="32"/>
        </w:rPr>
        <w:t>会员专区“</w:t>
      </w:r>
      <w:r>
        <w:rPr>
          <w:rFonts w:ascii="Times New Roman" w:hAnsi="Times New Roman" w:eastAsia="仿宋" w:cs="Times New Roman"/>
          <w:sz w:val="32"/>
          <w:szCs w:val="32"/>
        </w:rPr>
        <w:t>业务办理</w:t>
      </w:r>
      <w:r>
        <w:rPr>
          <w:rFonts w:hint="eastAsia" w:ascii="仿宋" w:hAnsi="仿宋" w:eastAsia="仿宋" w:cs="Times New Roman"/>
          <w:color w:val="000000"/>
          <w:sz w:val="32"/>
          <w:szCs w:val="32"/>
        </w:rPr>
        <w:t>/</w:t>
      </w:r>
      <w:r>
        <w:rPr>
          <w:rFonts w:ascii="Times New Roman" w:hAnsi="Times New Roman" w:eastAsia="仿宋" w:cs="Times New Roman"/>
          <w:sz w:val="32"/>
          <w:szCs w:val="32"/>
        </w:rPr>
        <w:t>交易终端一级管理员</w:t>
      </w:r>
      <w:r>
        <w:rPr>
          <w:rFonts w:hint="eastAsia" w:ascii="仿宋" w:hAnsi="仿宋" w:eastAsia="仿宋" w:cs="Times New Roman"/>
          <w:color w:val="000000"/>
          <w:sz w:val="32"/>
          <w:szCs w:val="32"/>
        </w:rPr>
        <w:t>/</w:t>
      </w:r>
      <w:r>
        <w:rPr>
          <w:rFonts w:ascii="Times New Roman" w:hAnsi="Times New Roman" w:eastAsia="仿宋" w:cs="Times New Roman"/>
          <w:sz w:val="32"/>
          <w:szCs w:val="32"/>
        </w:rPr>
        <w:t>用户新增</w:t>
      </w:r>
      <w:r>
        <w:rPr>
          <w:rFonts w:hint="eastAsia" w:ascii="Times New Roman" w:hAnsi="Times New Roman" w:eastAsia="仿宋" w:cs="Times New Roman"/>
          <w:sz w:val="32"/>
          <w:szCs w:val="32"/>
        </w:rPr>
        <w:t>”</w:t>
      </w:r>
      <w:r>
        <w:rPr>
          <w:rFonts w:ascii="Times New Roman" w:hAnsi="Times New Roman" w:eastAsia="仿宋" w:cs="Times New Roman"/>
          <w:sz w:val="32"/>
          <w:szCs w:val="32"/>
        </w:rPr>
        <w:t>在线填写申请表，开通交易终端使用权限</w:t>
      </w:r>
      <w:r>
        <w:rPr>
          <w:rFonts w:hint="eastAsia" w:ascii="Times New Roman" w:hAnsi="Times New Roman" w:eastAsia="仿宋" w:cs="Times New Roman"/>
          <w:sz w:val="32"/>
          <w:szCs w:val="32"/>
        </w:rPr>
        <w:t>以及申请交易终端数字证书</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将为</w:t>
      </w:r>
      <w:r>
        <w:rPr>
          <w:rFonts w:hint="eastAsia" w:ascii="Times New Roman" w:hAnsi="Times New Roman" w:eastAsia="仿宋" w:cs="Times New Roman"/>
          <w:sz w:val="32"/>
          <w:szCs w:val="32"/>
        </w:rPr>
        <w:t>债券交易参与人</w:t>
      </w:r>
      <w:r>
        <w:rPr>
          <w:rFonts w:ascii="Times New Roman" w:hAnsi="Times New Roman" w:eastAsia="仿宋" w:cs="Times New Roman"/>
          <w:sz w:val="32"/>
          <w:szCs w:val="32"/>
        </w:rPr>
        <w:t>设立一个一级管理员用户并开通相应的业务权限</w:t>
      </w:r>
      <w:r>
        <w:rPr>
          <w:rFonts w:hint="eastAsia" w:ascii="Times New Roman" w:hAnsi="Times New Roman" w:eastAsia="仿宋" w:cs="Times New Roman"/>
          <w:sz w:val="32"/>
          <w:szCs w:val="32"/>
        </w:rPr>
        <w:t>，并邮寄一级管理员数字证书</w:t>
      </w:r>
      <w:r>
        <w:rPr>
          <w:rFonts w:ascii="Times New Roman" w:hAnsi="Times New Roman" w:eastAsia="仿宋" w:cs="Times New Roman"/>
          <w:sz w:val="32"/>
          <w:szCs w:val="32"/>
        </w:rPr>
        <w:t>。</w:t>
      </w:r>
      <w:r>
        <w:rPr>
          <w:rFonts w:hint="eastAsia" w:ascii="Times New Roman" w:hAnsi="Times New Roman" w:eastAsia="仿宋" w:cs="Times New Roman"/>
          <w:sz w:val="32"/>
          <w:szCs w:val="32"/>
        </w:rPr>
        <w:t>债券交易参与人可以按需申请二级管理员以及交易员硬件数字证书。</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2．交易终端登录</w:t>
      </w:r>
    </w:p>
    <w:p>
      <w:pPr>
        <w:wordWrap w:val="0"/>
        <w:spacing w:line="560" w:lineRule="exact"/>
        <w:ind w:firstLine="640" w:firstLineChars="200"/>
        <w:rPr>
          <w:rFonts w:ascii="Times New Roman" w:hAnsi="Times New Roman" w:eastAsia="仿宋" w:cs="Times New Roman"/>
          <w:sz w:val="32"/>
          <w:szCs w:val="32"/>
        </w:rPr>
      </w:pPr>
      <w:r>
        <w:rPr>
          <w:rFonts w:hint="eastAsia" w:ascii="仿宋" w:hAnsi="仿宋" w:eastAsia="仿宋" w:cs="仿宋"/>
          <w:sz w:val="32"/>
          <w:szCs w:val="32"/>
        </w:rPr>
        <w:t>债券交易参与人</w:t>
      </w:r>
      <w:r>
        <w:rPr>
          <w:rFonts w:hint="eastAsia" w:ascii="Times New Roman" w:hAnsi="Times New Roman" w:eastAsia="仿宋" w:cs="Times New Roman"/>
          <w:sz w:val="32"/>
          <w:szCs w:val="32"/>
        </w:rPr>
        <w:t>完成权限以及硬件证书申请配置后，可以登录交易终端</w:t>
      </w:r>
      <w:r>
        <w:rPr>
          <w:rFonts w:ascii="Times New Roman" w:hAnsi="Times New Roman" w:eastAsia="仿宋" w:cs="Times New Roman"/>
          <w:sz w:val="32"/>
          <w:szCs w:val="32"/>
        </w:rPr>
        <w:t>网站</w:t>
      </w:r>
      <w:r>
        <w:rPr>
          <w:rStyle w:val="33"/>
          <w:rFonts w:ascii="Times New Roman" w:hAnsi="Times New Roman" w:eastAsia="仿宋"/>
          <w:sz w:val="32"/>
          <w:szCs w:val="32"/>
        </w:rPr>
        <w:footnoteReference w:id="5"/>
      </w:r>
      <w:r>
        <w:rPr>
          <w:rFonts w:hint="eastAsia" w:ascii="Times New Roman" w:hAnsi="Times New Roman" w:eastAsia="仿宋" w:cs="Times New Roman"/>
          <w:sz w:val="32"/>
          <w:szCs w:val="32"/>
        </w:rPr>
        <w:t>（</w:t>
      </w:r>
      <w:r>
        <w:fldChar w:fldCharType="begin"/>
      </w:r>
      <w:r>
        <w:instrText xml:space="preserve"> HYPERLINK "https://172.27.0.163:7022/szsett-web/login.html" </w:instrText>
      </w:r>
      <w:r>
        <w:fldChar w:fldCharType="separate"/>
      </w:r>
      <w:r>
        <w:rPr>
          <w:rStyle w:val="31"/>
          <w:rFonts w:ascii="Times New Roman" w:hAnsi="Times New Roman" w:eastAsia="仿宋" w:cs="Times New Roman"/>
          <w:sz w:val="32"/>
          <w:szCs w:val="32"/>
        </w:rPr>
        <w:t>http</w:t>
      </w:r>
      <w:r>
        <w:rPr>
          <w:rStyle w:val="31"/>
          <w:rFonts w:hint="eastAsia" w:ascii="Times New Roman" w:hAnsi="Times New Roman" w:eastAsia="仿宋" w:cs="Times New Roman"/>
          <w:sz w:val="32"/>
          <w:szCs w:val="32"/>
        </w:rPr>
        <w:t>s</w:t>
      </w:r>
      <w:r>
        <w:rPr>
          <w:rStyle w:val="31"/>
          <w:rFonts w:ascii="Times New Roman" w:hAnsi="Times New Roman" w:eastAsia="仿宋" w:cs="Times New Roman"/>
          <w:sz w:val="32"/>
          <w:szCs w:val="32"/>
        </w:rPr>
        <w:t>://172.27.0.163:7022/szsett-web/login.html</w:t>
      </w:r>
      <w:r>
        <w:rPr>
          <w:rStyle w:val="31"/>
          <w:rFonts w:ascii="Times New Roman" w:hAnsi="Times New Roman" w:eastAsia="仿宋" w:cs="Times New Roman"/>
          <w:sz w:val="32"/>
          <w:szCs w:val="32"/>
        </w:rPr>
        <w:fldChar w:fldCharType="end"/>
      </w:r>
      <w:r>
        <w:rPr>
          <w:rStyle w:val="31"/>
          <w:rFonts w:hint="eastAsia" w:ascii="Times New Roman" w:hAnsi="Times New Roman" w:eastAsia="仿宋" w:cs="Times New Roman"/>
          <w:sz w:val="32"/>
          <w:szCs w:val="32"/>
        </w:rPr>
        <w:t>）</w:t>
      </w:r>
      <w:r>
        <w:rPr>
          <w:rFonts w:hint="eastAsia" w:ascii="Times New Roman" w:hAnsi="Times New Roman" w:eastAsia="仿宋" w:cs="Times New Roman"/>
          <w:sz w:val="32"/>
          <w:szCs w:val="32"/>
        </w:rPr>
        <w:t>，登录时应当根据页面要求使用指定浏览器及版本</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3．交易账户信息设置</w:t>
      </w:r>
    </w:p>
    <w:p>
      <w:pPr>
        <w:widowControl/>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债券交易参与人使用交易终端固收专区开展债券相关业务前，应当按《用户手册》要求提前做好交易终端固收专区的权限设置，需使用已报备生效的债券交易账户信息，权限设置实时生效。</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4．交易终端权限设置</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交易终端提供管理功能，包含固收用户组管理、固收交易员管理。交易终端各类用户支持的功能如下图所示：</w:t>
      </w:r>
    </w:p>
    <w:p>
      <w:pPr>
        <w:spacing w:line="560" w:lineRule="exact"/>
        <w:ind w:firstLine="640" w:firstLineChars="200"/>
        <w:rPr>
          <w:rFonts w:ascii="Times New Roman" w:hAnsi="Times New Roman" w:eastAsia="仿宋" w:cs="Times New Roman"/>
          <w:sz w:val="32"/>
          <w:szCs w:val="32"/>
        </w:rPr>
      </w:pPr>
    </w:p>
    <w:p>
      <w:pPr>
        <w:spacing w:line="560" w:lineRule="exact"/>
        <w:jc w:val="center"/>
        <w:rPr>
          <w:rFonts w:ascii="仿宋" w:hAnsi="仿宋" w:eastAsia="仿宋"/>
          <w:sz w:val="24"/>
          <w:szCs w:val="24"/>
        </w:rPr>
      </w:pPr>
    </w:p>
    <w:p>
      <w:pPr>
        <w:keepNext/>
        <w:contextualSpacing/>
        <w:rPr>
          <w:rFonts w:ascii="Times New Roman" w:hAnsi="Times New Roman" w:cs="Times New Roman"/>
        </w:rPr>
      </w:pPr>
      <w:r>
        <w:rPr>
          <w:rFonts w:ascii="Times New Roman" w:hAnsi="Times New Roman" w:cs="Times New Roman"/>
        </w:rPr>
        <w:drawing>
          <wp:inline distT="0" distB="0" distL="0" distR="0">
            <wp:extent cx="5274310" cy="2640330"/>
            <wp:effectExtent l="33655" t="0" r="45085" b="762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spacing w:line="560" w:lineRule="exact"/>
        <w:jc w:val="center"/>
        <w:rPr>
          <w:rFonts w:ascii="Times New Roman" w:hAnsi="Times New Roman" w:eastAsia="仿宋" w:cs="Times New Roman"/>
          <w:sz w:val="32"/>
          <w:szCs w:val="32"/>
        </w:rPr>
      </w:pPr>
      <w:r>
        <w:rPr>
          <w:rFonts w:hint="eastAsia" w:ascii="仿宋" w:hAnsi="仿宋" w:eastAsia="仿宋"/>
          <w:sz w:val="24"/>
          <w:szCs w:val="24"/>
          <w:lang w:eastAsia="zh-CN"/>
        </w:rPr>
        <w:t>图</w:t>
      </w:r>
      <w:r>
        <w:rPr>
          <w:rFonts w:hint="eastAsia" w:ascii="仿宋" w:hAnsi="仿宋" w:eastAsia="仿宋"/>
          <w:sz w:val="24"/>
          <w:szCs w:val="24"/>
          <w:lang w:val="en-US" w:eastAsia="zh-CN"/>
        </w:rPr>
        <w:t>1</w:t>
      </w:r>
      <w:r>
        <w:rPr>
          <w:rFonts w:hint="eastAsia" w:ascii="仿宋" w:hAnsi="仿宋" w:eastAsia="仿宋"/>
          <w:sz w:val="24"/>
          <w:szCs w:val="24"/>
        </w:rPr>
        <w:t>-交易终端各类用户支持的功能</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一级管理员可</w:t>
      </w:r>
      <w:r>
        <w:rPr>
          <w:rFonts w:hint="eastAsia" w:ascii="Times New Roman" w:hAnsi="Times New Roman" w:eastAsia="仿宋" w:cs="Times New Roman"/>
          <w:sz w:val="32"/>
          <w:szCs w:val="32"/>
        </w:rPr>
        <w:t>以创建二级管理员用户，</w:t>
      </w:r>
      <w:r>
        <w:rPr>
          <w:rFonts w:ascii="Times New Roman" w:hAnsi="Times New Roman" w:eastAsia="仿宋" w:cs="Times New Roman"/>
          <w:sz w:val="32"/>
          <w:szCs w:val="32"/>
        </w:rPr>
        <w:t>为</w:t>
      </w:r>
      <w:r>
        <w:rPr>
          <w:rFonts w:hint="eastAsia" w:ascii="Times New Roman" w:hAnsi="Times New Roman" w:eastAsia="仿宋" w:cs="Times New Roman"/>
          <w:sz w:val="32"/>
          <w:szCs w:val="32"/>
        </w:rPr>
        <w:t>其分配其可使用的交易单元、业务类型、交易主体（</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对应</w:t>
      </w:r>
      <w:r>
        <w:rPr>
          <w:rFonts w:ascii="Times New Roman" w:hAnsi="Times New Roman" w:eastAsia="仿宋" w:cs="Times New Roman"/>
          <w:sz w:val="32"/>
          <w:szCs w:val="32"/>
        </w:rPr>
        <w:t>证券账户）</w:t>
      </w:r>
      <w:r>
        <w:rPr>
          <w:rFonts w:hint="eastAsia" w:ascii="Times New Roman" w:hAnsi="Times New Roman" w:eastAsia="仿宋" w:cs="Times New Roman"/>
          <w:sz w:val="32"/>
          <w:szCs w:val="32"/>
        </w:rPr>
        <w:t>以及其所管理的交易员（已报备账户信息中的交易员）等。</w:t>
      </w:r>
      <w:r>
        <w:rPr>
          <w:rFonts w:ascii="Times New Roman" w:hAnsi="Times New Roman" w:eastAsia="仿宋" w:cs="Times New Roman"/>
          <w:sz w:val="32"/>
          <w:szCs w:val="32"/>
        </w:rPr>
        <w:t>一级管理员可通过</w:t>
      </w:r>
      <w:r>
        <w:rPr>
          <w:rFonts w:hint="eastAsia" w:ascii="Times New Roman" w:hAnsi="Times New Roman" w:eastAsia="仿宋" w:cs="Times New Roman"/>
          <w:sz w:val="32"/>
          <w:szCs w:val="32"/>
        </w:rPr>
        <w:t>交易终端固收专区“管理</w:t>
      </w:r>
      <w:r>
        <w:rPr>
          <w:rFonts w:hint="eastAsia" w:ascii="仿宋" w:hAnsi="仿宋" w:eastAsia="仿宋" w:cs="Times New Roman"/>
          <w:color w:val="000000"/>
          <w:sz w:val="32"/>
          <w:szCs w:val="32"/>
        </w:rPr>
        <w:t>/</w:t>
      </w:r>
      <w:r>
        <w:rPr>
          <w:rFonts w:ascii="Times New Roman" w:hAnsi="Times New Roman" w:eastAsia="仿宋" w:cs="Times New Roman"/>
          <w:sz w:val="32"/>
          <w:szCs w:val="32"/>
        </w:rPr>
        <w:t>固收用户组管理</w:t>
      </w:r>
      <w:r>
        <w:rPr>
          <w:rFonts w:hint="eastAsia" w:ascii="Times New Roman" w:hAnsi="Times New Roman" w:eastAsia="仿宋" w:cs="Times New Roman"/>
          <w:sz w:val="32"/>
          <w:szCs w:val="32"/>
        </w:rPr>
        <w:t>”</w:t>
      </w:r>
      <w:r>
        <w:rPr>
          <w:rFonts w:ascii="Times New Roman" w:hAnsi="Times New Roman" w:eastAsia="仿宋" w:cs="Times New Roman"/>
          <w:sz w:val="32"/>
          <w:szCs w:val="32"/>
        </w:rPr>
        <w:t>新增或编辑用户组，为二级管理员</w:t>
      </w:r>
      <w:r>
        <w:rPr>
          <w:rFonts w:hint="eastAsia" w:ascii="Times New Roman" w:hAnsi="Times New Roman" w:eastAsia="仿宋" w:cs="Times New Roman"/>
          <w:sz w:val="32"/>
          <w:szCs w:val="32"/>
        </w:rPr>
        <w:t>批量设置相关权限</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二级管理员可</w:t>
      </w:r>
      <w:r>
        <w:rPr>
          <w:rFonts w:hint="eastAsia" w:ascii="Times New Roman" w:hAnsi="Times New Roman" w:eastAsia="仿宋" w:cs="Times New Roman"/>
          <w:sz w:val="32"/>
          <w:szCs w:val="32"/>
        </w:rPr>
        <w:t>以为自己管理的交易员绑定交易终端账号，并为其分配可使用的交易单元、业务类型、交易主体（及对应证券账户）等。二级管理员可以为交易用户创建用户组，批量分配权限。</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交易员可</w:t>
      </w:r>
      <w:r>
        <w:rPr>
          <w:rFonts w:hint="eastAsia" w:ascii="Times New Roman" w:hAnsi="Times New Roman" w:eastAsia="仿宋" w:cs="Times New Roman"/>
          <w:sz w:val="32"/>
          <w:szCs w:val="32"/>
        </w:rPr>
        <w:t>以</w:t>
      </w:r>
      <w:r>
        <w:rPr>
          <w:rFonts w:ascii="Times New Roman" w:hAnsi="Times New Roman" w:eastAsia="仿宋" w:cs="Times New Roman"/>
          <w:sz w:val="32"/>
          <w:szCs w:val="32"/>
        </w:rPr>
        <w:t>通过</w:t>
      </w:r>
      <w:r>
        <w:rPr>
          <w:rFonts w:hint="eastAsia" w:ascii="Times New Roman" w:hAnsi="Times New Roman" w:eastAsia="仿宋" w:cs="Times New Roman"/>
          <w:sz w:val="32"/>
          <w:szCs w:val="32"/>
        </w:rPr>
        <w:t>交易终端固收专区“</w:t>
      </w:r>
      <w:r>
        <w:rPr>
          <w:rFonts w:ascii="Times New Roman" w:hAnsi="Times New Roman" w:eastAsia="仿宋" w:cs="Times New Roman"/>
          <w:sz w:val="32"/>
          <w:szCs w:val="32"/>
        </w:rPr>
        <w:t>设置</w:t>
      </w:r>
      <w:r>
        <w:rPr>
          <w:rFonts w:hint="eastAsia" w:ascii="仿宋" w:hAnsi="仿宋" w:eastAsia="仿宋" w:cs="Times New Roman"/>
          <w:color w:val="000000"/>
          <w:sz w:val="32"/>
          <w:szCs w:val="32"/>
        </w:rPr>
        <w:t>/</w:t>
      </w:r>
      <w:r>
        <w:rPr>
          <w:rFonts w:ascii="Times New Roman" w:hAnsi="Times New Roman" w:eastAsia="仿宋" w:cs="Times New Roman"/>
          <w:sz w:val="32"/>
          <w:szCs w:val="32"/>
        </w:rPr>
        <w:t>交易设置</w:t>
      </w:r>
      <w:r>
        <w:rPr>
          <w:rFonts w:hint="eastAsia" w:ascii="Times New Roman" w:hAnsi="Times New Roman" w:eastAsia="仿宋" w:cs="Times New Roman"/>
          <w:sz w:val="32"/>
          <w:szCs w:val="32"/>
        </w:rPr>
        <w:t>”</w:t>
      </w:r>
      <w:r>
        <w:rPr>
          <w:rFonts w:ascii="Times New Roman" w:hAnsi="Times New Roman" w:eastAsia="仿宋" w:cs="Times New Roman"/>
          <w:sz w:val="32"/>
          <w:szCs w:val="32"/>
        </w:rPr>
        <w:t>菜单，根据个人偏好</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个性化交易设置。此外，交易员可</w:t>
      </w:r>
      <w:r>
        <w:rPr>
          <w:rFonts w:hint="eastAsia" w:ascii="Times New Roman" w:hAnsi="Times New Roman" w:eastAsia="仿宋" w:cs="Times New Roman"/>
          <w:sz w:val="32"/>
          <w:szCs w:val="32"/>
        </w:rPr>
        <w:t>以</w:t>
      </w:r>
      <w:r>
        <w:rPr>
          <w:rFonts w:ascii="Times New Roman" w:hAnsi="Times New Roman" w:eastAsia="仿宋" w:cs="Times New Roman"/>
          <w:sz w:val="32"/>
          <w:szCs w:val="32"/>
        </w:rPr>
        <w:t>自定义交易终端的显示、参数和默认交易主体、证券账户等。</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p>
    <w:p>
      <w:pPr>
        <w:pStyle w:val="3"/>
        <w:keepNext w:val="0"/>
        <w:keepLines w:val="0"/>
        <w:spacing w:before="0" w:after="0" w:line="560" w:lineRule="exact"/>
        <w:ind w:firstLine="640" w:firstLineChars="200"/>
        <w:outlineLvl w:val="1"/>
        <w:rPr>
          <w:rFonts w:hint="default" w:ascii="黑体" w:hAnsi="黑体" w:eastAsia="黑体" w:cs="Times New Roman"/>
          <w:b w:val="0"/>
          <w:bCs/>
          <w:sz w:val="32"/>
          <w:szCs w:val="32"/>
          <w:lang w:eastAsia="zh-CN"/>
        </w:rPr>
      </w:pPr>
      <w:bookmarkStart w:id="138" w:name="_Toc21009"/>
      <w:bookmarkStart w:id="139" w:name="_Toc4665"/>
      <w:bookmarkStart w:id="140" w:name="_Toc32693"/>
      <w:bookmarkStart w:id="141" w:name="_Toc5608"/>
      <w:bookmarkStart w:id="142" w:name="_Toc2304"/>
      <w:bookmarkStart w:id="143" w:name="_Toc751"/>
      <w:r>
        <w:rPr>
          <w:rFonts w:hint="default" w:ascii="黑体" w:hAnsi="黑体" w:eastAsia="黑体" w:cs="Times New Roman"/>
          <w:b w:val="0"/>
          <w:bCs/>
          <w:sz w:val="32"/>
          <w:szCs w:val="32"/>
          <w:lang w:eastAsia="zh-CN"/>
        </w:rPr>
        <w:t>四</w:t>
      </w:r>
      <w:r>
        <w:rPr>
          <w:rFonts w:hint="eastAsia" w:ascii="黑体" w:hAnsi="黑体" w:eastAsia="黑体" w:cs="Times New Roman"/>
          <w:b w:val="0"/>
          <w:bCs/>
          <w:sz w:val="32"/>
          <w:szCs w:val="32"/>
        </w:rPr>
        <w:t>、</w:t>
      </w:r>
      <w:r>
        <w:rPr>
          <w:rFonts w:hint="default" w:ascii="黑体" w:hAnsi="黑体" w:eastAsia="黑体" w:cs="Times New Roman"/>
          <w:b w:val="0"/>
          <w:bCs/>
          <w:sz w:val="32"/>
          <w:szCs w:val="32"/>
          <w:lang w:eastAsia="zh-CN"/>
        </w:rPr>
        <w:t>交易对手方管理</w:t>
      </w:r>
      <w:bookmarkEnd w:id="138"/>
      <w:bookmarkEnd w:id="139"/>
      <w:bookmarkEnd w:id="140"/>
      <w:bookmarkEnd w:id="141"/>
      <w:bookmarkEnd w:id="142"/>
      <w:bookmarkEnd w:id="143"/>
    </w:p>
    <w:p>
      <w:pPr>
        <w:pStyle w:val="4"/>
        <w:spacing w:before="0" w:after="0" w:line="560" w:lineRule="exact"/>
        <w:ind w:firstLine="640" w:firstLineChars="200"/>
        <w:rPr>
          <w:rFonts w:hint="eastAsia" w:ascii="楷体" w:hAnsi="楷体" w:eastAsia="楷体" w:cs="Times New Roman"/>
          <w:b w:val="0"/>
          <w:sz w:val="32"/>
          <w:szCs w:val="32"/>
          <w:lang w:eastAsia="zh-CN"/>
        </w:rPr>
      </w:pPr>
      <w:bookmarkStart w:id="144" w:name="_Toc353"/>
      <w:bookmarkStart w:id="145" w:name="_Toc19620"/>
      <w:bookmarkStart w:id="146" w:name="_Toc16258"/>
      <w:bookmarkStart w:id="147" w:name="_Toc6361"/>
      <w:bookmarkStart w:id="148" w:name="_Toc20066"/>
      <w:bookmarkStart w:id="149" w:name="_Toc40"/>
      <w:r>
        <w:rPr>
          <w:rFonts w:hint="eastAsia" w:ascii="楷体" w:hAnsi="楷体" w:eastAsia="楷体" w:cs="Times New Roman"/>
          <w:b w:val="0"/>
          <w:sz w:val="32"/>
          <w:szCs w:val="32"/>
          <w:lang w:eastAsia="zh-CN"/>
        </w:rPr>
        <w:t>（一）业务范围</w:t>
      </w:r>
      <w:bookmarkEnd w:id="144"/>
      <w:bookmarkEnd w:id="145"/>
      <w:bookmarkEnd w:id="146"/>
      <w:bookmarkEnd w:id="147"/>
      <w:bookmarkEnd w:id="148"/>
      <w:bookmarkEnd w:id="149"/>
    </w:p>
    <w:p>
      <w:pPr>
        <w:spacing w:line="56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债券交易参与人可以设置债券交易对手范围，对于采用逐笔全额结算方式的债券现券交易、债券质押式协议回购初始交易及到期续做、债券借贷初始交易及到期续做，交易一方不在交易对手范围内的交易申报，交易系统不予确认。</w:t>
      </w:r>
    </w:p>
    <w:p>
      <w:pPr>
        <w:pStyle w:val="4"/>
        <w:spacing w:before="0" w:after="0" w:line="560" w:lineRule="exact"/>
        <w:ind w:firstLine="640" w:firstLineChars="200"/>
        <w:rPr>
          <w:rFonts w:hint="eastAsia" w:ascii="楷体" w:hAnsi="楷体" w:eastAsia="楷体" w:cs="Times New Roman"/>
          <w:b w:val="0"/>
          <w:sz w:val="32"/>
          <w:szCs w:val="32"/>
          <w:lang w:eastAsia="zh-CN"/>
        </w:rPr>
      </w:pPr>
      <w:bookmarkStart w:id="150" w:name="_Toc10263"/>
      <w:bookmarkStart w:id="151" w:name="_Toc953"/>
      <w:bookmarkStart w:id="152" w:name="_Toc9839"/>
      <w:bookmarkStart w:id="153" w:name="_Toc2633"/>
      <w:bookmarkStart w:id="154" w:name="_Toc1293"/>
      <w:bookmarkStart w:id="155" w:name="_Toc31971"/>
      <w:r>
        <w:rPr>
          <w:rFonts w:hint="eastAsia" w:ascii="楷体" w:hAnsi="楷体" w:eastAsia="楷体" w:cs="Times New Roman"/>
          <w:b w:val="0"/>
          <w:sz w:val="32"/>
          <w:szCs w:val="32"/>
          <w:lang w:eastAsia="zh-CN"/>
        </w:rPr>
        <w:t>（二）设置途径</w:t>
      </w:r>
      <w:bookmarkEnd w:id="150"/>
      <w:bookmarkEnd w:id="151"/>
      <w:bookmarkEnd w:id="152"/>
      <w:bookmarkEnd w:id="153"/>
      <w:bookmarkEnd w:id="154"/>
      <w:bookmarkEnd w:id="155"/>
    </w:p>
    <w:p>
      <w:pPr>
        <w:spacing w:line="560" w:lineRule="exact"/>
        <w:ind w:firstLine="640" w:firstLineChars="200"/>
        <w:rPr>
          <w:rStyle w:val="31"/>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债券交易对手范围</w:t>
      </w:r>
      <w:r>
        <w:rPr>
          <w:rFonts w:hint="eastAsia" w:ascii="Times New Roman" w:hAnsi="Times New Roman" w:eastAsia="仿宋" w:cs="Times New Roman"/>
          <w:sz w:val="32"/>
          <w:szCs w:val="32"/>
          <w:lang w:eastAsia="zh-CN"/>
        </w:rPr>
        <w:t>可以通过</w:t>
      </w:r>
      <w:r>
        <w:rPr>
          <w:rFonts w:hint="eastAsia" w:ascii="Times New Roman" w:hAnsi="Times New Roman" w:eastAsia="仿宋" w:cs="Times New Roman"/>
          <w:sz w:val="32"/>
          <w:szCs w:val="32"/>
        </w:rPr>
        <w:t>本所固定收益品种业务专区（</w:t>
      </w:r>
      <w:r>
        <w:rPr>
          <w:rFonts w:hint="eastAsia"/>
        </w:rPr>
        <w:fldChar w:fldCharType="begin"/>
      </w:r>
      <w:r>
        <w:rPr>
          <w:rFonts w:hint="eastAsia"/>
        </w:rPr>
        <w:instrText xml:space="preserve"> HYPERLINK "https://biz.szse.cn/fic" </w:instrText>
      </w:r>
      <w:r>
        <w:rPr>
          <w:rFonts w:hint="eastAsia"/>
        </w:rPr>
        <w:fldChar w:fldCharType="separate"/>
      </w:r>
      <w:r>
        <w:rPr>
          <w:rStyle w:val="31"/>
          <w:rFonts w:hint="eastAsia" w:ascii="Times New Roman" w:hAnsi="Times New Roman" w:eastAsia="仿宋" w:cs="Times New Roman"/>
          <w:sz w:val="32"/>
          <w:szCs w:val="32"/>
        </w:rPr>
        <w:t>https://biz.szse.cn/fic</w:t>
      </w:r>
      <w:r>
        <w:rPr>
          <w:rStyle w:val="31"/>
          <w:rFonts w:hint="eastAsia" w:ascii="Times New Roman" w:hAnsi="Times New Roman" w:eastAsia="仿宋" w:cs="Times New Roman"/>
          <w:sz w:val="32"/>
          <w:szCs w:val="32"/>
        </w:rPr>
        <w:fldChar w:fldCharType="end"/>
      </w:r>
      <w:r>
        <w:rPr>
          <w:rStyle w:val="31"/>
          <w:rFonts w:hint="eastAsia" w:ascii="Times New Roman" w:hAnsi="Times New Roman" w:eastAsia="仿宋" w:cs="Times New Roman"/>
          <w:sz w:val="32"/>
          <w:szCs w:val="32"/>
        </w:rPr>
        <w:t>）</w:t>
      </w:r>
      <w:r>
        <w:rPr>
          <w:rStyle w:val="28"/>
          <w:rFonts w:hint="eastAsia" w:ascii="Times New Roman" w:hAnsi="Times New Roman" w:eastAsia="仿宋" w:cs="Times New Roman"/>
          <w:sz w:val="32"/>
          <w:szCs w:val="32"/>
          <w:lang w:eastAsia="zh-CN"/>
        </w:rPr>
        <w:t>下“交易商报备</w:t>
      </w:r>
      <w:r>
        <w:rPr>
          <w:rStyle w:val="28"/>
          <w:rFonts w:hint="eastAsia" w:ascii="Times New Roman" w:hAnsi="Times New Roman" w:eastAsia="仿宋" w:cs="Times New Roman"/>
          <w:sz w:val="32"/>
          <w:szCs w:val="32"/>
          <w:lang w:val="en-US" w:eastAsia="zh-CN"/>
        </w:rPr>
        <w:t>-</w:t>
      </w:r>
      <w:r>
        <w:rPr>
          <w:rStyle w:val="28"/>
          <w:rFonts w:hint="eastAsia" w:ascii="Times New Roman" w:hAnsi="Times New Roman" w:eastAsia="仿宋" w:cs="Times New Roman"/>
          <w:sz w:val="32"/>
          <w:szCs w:val="32"/>
          <w:lang w:eastAsia="zh-CN"/>
        </w:rPr>
        <w:t>交易对手方管理”栏目进行设置，</w:t>
      </w:r>
      <w:r>
        <w:rPr>
          <w:rStyle w:val="28"/>
          <w:rFonts w:hint="eastAsia" w:ascii="Times New Roman" w:hAnsi="Times New Roman" w:eastAsia="仿宋" w:cs="Times New Roman"/>
          <w:sz w:val="32"/>
          <w:szCs w:val="32"/>
        </w:rPr>
        <w:t>需使用会员专区数字证书（M类数字证书）</w:t>
      </w:r>
      <w:r>
        <w:rPr>
          <w:rStyle w:val="28"/>
          <w:rFonts w:hint="eastAsia" w:ascii="Times New Roman" w:hAnsi="Times New Roman" w:eastAsia="仿宋" w:cs="Times New Roman"/>
          <w:sz w:val="32"/>
          <w:szCs w:val="32"/>
          <w:lang w:eastAsia="zh-CN"/>
        </w:rPr>
        <w:t>登录</w:t>
      </w:r>
      <w:r>
        <w:rPr>
          <w:rStyle w:val="28"/>
          <w:rFonts w:hint="eastAsia" w:ascii="Times New Roman" w:hAnsi="Times New Roman" w:eastAsia="仿宋" w:cs="Times New Roman"/>
          <w:sz w:val="32"/>
          <w:szCs w:val="32"/>
        </w:rPr>
        <w:t>。</w:t>
      </w:r>
      <w:r>
        <w:rPr>
          <w:rStyle w:val="28"/>
          <w:rFonts w:hint="eastAsia" w:ascii="Times New Roman" w:hAnsi="Times New Roman" w:eastAsia="仿宋" w:cs="Times New Roman"/>
          <w:sz w:val="32"/>
          <w:szCs w:val="32"/>
          <w:lang w:eastAsia="zh-CN"/>
        </w:rPr>
        <w:t>交易日</w:t>
      </w:r>
      <w:r>
        <w:rPr>
          <w:rStyle w:val="28"/>
          <w:rFonts w:hint="eastAsia" w:ascii="Times New Roman" w:hAnsi="Times New Roman" w:eastAsia="仿宋" w:cs="Times New Roman"/>
          <w:sz w:val="32"/>
          <w:szCs w:val="32"/>
          <w:lang w:val="en-US" w:eastAsia="zh-CN"/>
        </w:rPr>
        <w:t>17:00前完成设置的，次一交易日生效。固收专区交易对手方管理栏目图示如下：</w:t>
      </w:r>
    </w:p>
    <w:p>
      <w:pPr>
        <w:spacing w:line="240" w:lineRule="auto"/>
        <w:ind w:firstLine="0" w:firstLineChars="0"/>
        <w:jc w:val="center"/>
        <w:rPr>
          <w:rStyle w:val="31"/>
          <w:rFonts w:hint="default" w:ascii="Times New Roman" w:hAnsi="Times New Roman" w:eastAsia="仿宋" w:cs="Times New Roman"/>
          <w:sz w:val="32"/>
          <w:szCs w:val="32"/>
          <w:lang w:val="en-US" w:eastAsia="zh-CN"/>
        </w:rPr>
      </w:pPr>
      <w:r>
        <w:drawing>
          <wp:inline distT="0" distB="0" distL="114300" distR="114300">
            <wp:extent cx="5268595" cy="1751965"/>
            <wp:effectExtent l="0" t="0" r="825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68595" cy="1751965"/>
                    </a:xfrm>
                    <a:prstGeom prst="rect">
                      <a:avLst/>
                    </a:prstGeom>
                    <a:noFill/>
                    <a:ln>
                      <a:noFill/>
                    </a:ln>
                  </pic:spPr>
                </pic:pic>
              </a:graphicData>
            </a:graphic>
          </wp:inline>
        </w:drawing>
      </w:r>
    </w:p>
    <w:p>
      <w:pPr>
        <w:spacing w:line="560" w:lineRule="exact"/>
        <w:ind w:firstLine="0" w:firstLineChars="0"/>
        <w:jc w:val="center"/>
        <w:rPr>
          <w:rFonts w:hint="eastAsia" w:ascii="仿宋" w:hAnsi="仿宋" w:eastAsia="仿宋" w:cstheme="minorBidi"/>
          <w:sz w:val="24"/>
          <w:szCs w:val="24"/>
          <w:lang w:val="en-US" w:eastAsia="zh-CN"/>
        </w:rPr>
      </w:pPr>
      <w:bookmarkStart w:id="156" w:name="_Toc9215"/>
      <w:bookmarkStart w:id="157" w:name="_Toc19739"/>
      <w:bookmarkStart w:id="158" w:name="_Toc14274"/>
      <w:r>
        <w:rPr>
          <w:rFonts w:hint="eastAsia" w:ascii="仿宋" w:hAnsi="仿宋" w:eastAsia="仿宋" w:cstheme="minorBidi"/>
          <w:sz w:val="24"/>
          <w:szCs w:val="24"/>
          <w:lang w:val="en-US" w:eastAsia="zh-CN"/>
        </w:rPr>
        <w:t>图2-固收专区交易对手方管理栏目</w:t>
      </w:r>
    </w:p>
    <w:p>
      <w:pPr>
        <w:pStyle w:val="4"/>
        <w:spacing w:before="0" w:after="0" w:line="560" w:lineRule="exact"/>
        <w:ind w:firstLine="640" w:firstLineChars="200"/>
        <w:rPr>
          <w:rStyle w:val="28"/>
          <w:rFonts w:hint="eastAsia" w:ascii="楷体" w:hAnsi="楷体" w:eastAsia="楷体" w:cs="Times New Roman"/>
          <w:b w:val="0"/>
          <w:sz w:val="32"/>
          <w:szCs w:val="32"/>
          <w:lang w:eastAsia="zh-CN"/>
        </w:rPr>
      </w:pPr>
      <w:bookmarkStart w:id="159" w:name="_Toc13556"/>
      <w:bookmarkStart w:id="160" w:name="_Toc25894"/>
      <w:bookmarkStart w:id="161" w:name="_Toc7777"/>
      <w:r>
        <w:rPr>
          <w:rStyle w:val="28"/>
          <w:rFonts w:hint="eastAsia" w:ascii="楷体" w:hAnsi="楷体" w:eastAsia="楷体" w:cs="Times New Roman"/>
          <w:b w:val="0"/>
          <w:sz w:val="32"/>
          <w:szCs w:val="32"/>
          <w:lang w:eastAsia="zh-CN"/>
        </w:rPr>
        <w:t>（三）设置方式</w:t>
      </w:r>
      <w:bookmarkEnd w:id="156"/>
      <w:bookmarkEnd w:id="157"/>
      <w:bookmarkEnd w:id="158"/>
      <w:bookmarkEnd w:id="159"/>
      <w:bookmarkEnd w:id="160"/>
      <w:bookmarkEnd w:id="161"/>
    </w:p>
    <w:p>
      <w:pPr>
        <w:spacing w:line="560" w:lineRule="exact"/>
        <w:ind w:firstLine="640" w:firstLineChars="200"/>
        <w:rPr>
          <w:rStyle w:val="28"/>
          <w:rFonts w:hint="eastAsia" w:ascii="Times New Roman" w:hAnsi="Times New Roman" w:eastAsia="仿宋" w:cs="Times New Roman"/>
          <w:sz w:val="32"/>
          <w:szCs w:val="32"/>
          <w:lang w:val="en-US" w:eastAsia="zh-CN"/>
        </w:rPr>
      </w:pPr>
      <w:r>
        <w:rPr>
          <w:rStyle w:val="28"/>
          <w:rFonts w:hint="eastAsia" w:ascii="Times New Roman" w:hAnsi="Times New Roman" w:eastAsia="仿宋" w:cs="Times New Roman"/>
          <w:sz w:val="32"/>
          <w:szCs w:val="32"/>
          <w:lang w:eastAsia="zh-CN"/>
        </w:rPr>
        <w:t>债券交易参与人可以对其自营类（如有）、资管类（如有）、机构经纪类（如有）、个人经纪类（如有）交易主体类型分别设置相应的债券交易对手范围。在前述业务范围内的债券交易</w:t>
      </w:r>
      <w:r>
        <w:rPr>
          <w:rStyle w:val="28"/>
          <w:rFonts w:hint="eastAsia" w:ascii="Times New Roman" w:hAnsi="Times New Roman" w:eastAsia="仿宋" w:cs="Times New Roman"/>
          <w:sz w:val="32"/>
          <w:szCs w:val="32"/>
          <w:lang w:val="en-US" w:eastAsia="zh-CN"/>
        </w:rPr>
        <w:t>，交易系统根据交易申报的具体交易主体类型，适用对应设置的交易对手范围进行控制。</w:t>
      </w:r>
    </w:p>
    <w:p>
      <w:pPr>
        <w:spacing w:line="560" w:lineRule="exact"/>
        <w:ind w:firstLine="640" w:firstLineChars="200"/>
        <w:rPr>
          <w:rStyle w:val="28"/>
          <w:rFonts w:hint="default" w:ascii="Times New Roman" w:hAnsi="Times New Roman" w:eastAsia="仿宋" w:cs="Times New Roman"/>
          <w:sz w:val="32"/>
          <w:szCs w:val="32"/>
          <w:lang w:val="en-US" w:eastAsia="zh-CN"/>
        </w:rPr>
      </w:pPr>
      <w:r>
        <w:rPr>
          <w:rStyle w:val="28"/>
          <w:rFonts w:hint="eastAsia" w:ascii="Times New Roman" w:hAnsi="Times New Roman" w:eastAsia="仿宋" w:cs="Times New Roman"/>
          <w:sz w:val="32"/>
          <w:szCs w:val="32"/>
          <w:lang w:eastAsia="zh-CN"/>
        </w:rPr>
        <w:t>债券</w:t>
      </w:r>
      <w:r>
        <w:rPr>
          <w:rStyle w:val="28"/>
          <w:rFonts w:hint="eastAsia" w:ascii="Times New Roman" w:hAnsi="Times New Roman" w:eastAsia="仿宋" w:cs="Times New Roman"/>
          <w:sz w:val="32"/>
          <w:szCs w:val="32"/>
          <w:lang w:val="en-US" w:eastAsia="zh-CN"/>
        </w:rPr>
        <w:t>交易对手范围支持通过设置黑名单的方式进行管理，可管理的对象为除本交易商以外的其他债券交易参与人。对于黑名单中交易对手的交易申报，交易系统不予确认成交。债券交易参与人可以将交易对手的一种、多种或者全部交易主体类型添加入黑名单。交易对手方管理设置页面如图3示：</w:t>
      </w:r>
    </w:p>
    <w:p>
      <w:pPr>
        <w:spacing w:line="240" w:lineRule="auto"/>
        <w:ind w:firstLine="0" w:firstLineChars="0"/>
        <w:jc w:val="center"/>
        <w:rPr>
          <w:rStyle w:val="31"/>
          <w:rFonts w:hint="eastAsia" w:ascii="Times New Roman" w:hAnsi="Times New Roman" w:eastAsia="仿宋" w:cs="Times New Roman"/>
          <w:sz w:val="32"/>
          <w:szCs w:val="32"/>
          <w:lang w:val="en-US" w:eastAsia="zh-CN"/>
        </w:rPr>
      </w:pPr>
      <w:r>
        <w:drawing>
          <wp:inline distT="0" distB="0" distL="114300" distR="114300">
            <wp:extent cx="5271135" cy="2526030"/>
            <wp:effectExtent l="0" t="0" r="571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2526030"/>
                    </a:xfrm>
                    <a:prstGeom prst="rect">
                      <a:avLst/>
                    </a:prstGeom>
                    <a:noFill/>
                    <a:ln>
                      <a:noFill/>
                    </a:ln>
                  </pic:spPr>
                </pic:pic>
              </a:graphicData>
            </a:graphic>
          </wp:inline>
        </w:drawing>
      </w:r>
    </w:p>
    <w:bookmarkEnd w:id="4"/>
    <w:bookmarkEnd w:id="5"/>
    <w:bookmarkEnd w:id="6"/>
    <w:bookmarkEnd w:id="7"/>
    <w:bookmarkEnd w:id="8"/>
    <w:bookmarkEnd w:id="9"/>
    <w:bookmarkEnd w:id="10"/>
    <w:bookmarkEnd w:id="11"/>
    <w:bookmarkEnd w:id="12"/>
    <w:p>
      <w:pPr>
        <w:spacing w:line="560" w:lineRule="exact"/>
        <w:ind w:firstLine="0" w:firstLineChars="0"/>
        <w:jc w:val="center"/>
        <w:rPr>
          <w:rFonts w:hint="default" w:ascii="仿宋" w:hAnsi="仿宋" w:eastAsia="仿宋" w:cstheme="minorBidi"/>
          <w:sz w:val="24"/>
          <w:szCs w:val="24"/>
          <w:lang w:val="en-US" w:eastAsia="zh-CN"/>
        </w:rPr>
      </w:pPr>
      <w:bookmarkStart w:id="162" w:name="_Toc26276"/>
      <w:bookmarkStart w:id="163" w:name="_Toc23023"/>
      <w:bookmarkStart w:id="164" w:name="_Toc29080"/>
      <w:bookmarkStart w:id="165" w:name="_Toc123809376"/>
      <w:r>
        <w:rPr>
          <w:rFonts w:hint="eastAsia" w:ascii="仿宋" w:hAnsi="仿宋" w:eastAsia="仿宋" w:cstheme="minorBidi"/>
          <w:sz w:val="24"/>
          <w:szCs w:val="24"/>
          <w:lang w:val="en-US" w:eastAsia="zh-CN"/>
        </w:rPr>
        <w:t>图3-交易对手方管理设置页面</w:t>
      </w:r>
    </w:p>
    <w:p>
      <w:pPr>
        <w:keepNext/>
        <w:keepLines/>
        <w:spacing w:before="120" w:beforeLines="50" w:after="120" w:afterLines="50" w:line="560" w:lineRule="exact"/>
        <w:jc w:val="center"/>
        <w:outlineLvl w:val="9"/>
        <w:rPr>
          <w:rFonts w:ascii="Times New Roman" w:hAnsi="Times New Roman" w:eastAsia="仿宋" w:cs="Times New Roman"/>
          <w:b/>
          <w:sz w:val="32"/>
          <w:szCs w:val="32"/>
        </w:rPr>
      </w:pPr>
      <w:bookmarkStart w:id="166" w:name="_Toc2929"/>
    </w:p>
    <w:p>
      <w:pPr>
        <w:keepNext/>
        <w:keepLines/>
        <w:spacing w:before="120" w:beforeLines="50" w:after="120" w:afterLines="50" w:line="560" w:lineRule="exact"/>
        <w:jc w:val="center"/>
        <w:outlineLvl w:val="0"/>
        <w:rPr>
          <w:rFonts w:ascii="Times New Roman" w:hAnsi="Times New Roman" w:eastAsia="仿宋" w:cs="Times New Roman"/>
          <w:b/>
          <w:sz w:val="32"/>
          <w:szCs w:val="32"/>
        </w:rPr>
      </w:pPr>
      <w:bookmarkStart w:id="167" w:name="_Toc18561"/>
      <w:bookmarkStart w:id="168" w:name="_Toc26716"/>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三</w:t>
      </w:r>
      <w:r>
        <w:rPr>
          <w:rFonts w:ascii="Times New Roman" w:hAnsi="Times New Roman" w:eastAsia="仿宋" w:cs="Times New Roman"/>
          <w:b/>
          <w:sz w:val="32"/>
          <w:szCs w:val="32"/>
        </w:rPr>
        <w:t xml:space="preserve">章 </w:t>
      </w:r>
      <w:r>
        <w:rPr>
          <w:rFonts w:hint="eastAsia" w:ascii="Times New Roman" w:hAnsi="Times New Roman" w:eastAsia="仿宋" w:cs="Times New Roman"/>
          <w:b/>
          <w:sz w:val="32"/>
          <w:szCs w:val="32"/>
        </w:rPr>
        <w:t>债券交易</w:t>
      </w:r>
      <w:bookmarkEnd w:id="162"/>
      <w:bookmarkEnd w:id="163"/>
      <w:bookmarkEnd w:id="164"/>
      <w:bookmarkEnd w:id="165"/>
      <w:bookmarkEnd w:id="166"/>
      <w:bookmarkEnd w:id="167"/>
      <w:bookmarkEnd w:id="168"/>
    </w:p>
    <w:p>
      <w:pPr>
        <w:spacing w:line="560" w:lineRule="exact"/>
        <w:ind w:firstLine="640" w:firstLineChars="200"/>
        <w:rPr>
          <w:rFonts w:ascii="Times New Roman" w:hAnsi="Times New Roman" w:eastAsia="仿宋" w:cs="Times New Roman"/>
          <w:color w:val="000000"/>
          <w:kern w:val="0"/>
          <w:sz w:val="32"/>
          <w:szCs w:val="32"/>
        </w:rPr>
      </w:pPr>
      <w:bookmarkStart w:id="169" w:name="_Toc22572942"/>
      <w:bookmarkEnd w:id="169"/>
      <w:bookmarkStart w:id="170" w:name="_Toc22662853"/>
      <w:bookmarkEnd w:id="170"/>
      <w:bookmarkStart w:id="171" w:name="_Toc22573028"/>
      <w:bookmarkEnd w:id="171"/>
      <w:bookmarkStart w:id="172" w:name="_Toc22573198"/>
      <w:bookmarkEnd w:id="172"/>
      <w:bookmarkStart w:id="173" w:name="_Toc22573197"/>
      <w:bookmarkEnd w:id="173"/>
      <w:bookmarkStart w:id="174" w:name="_Toc22573200"/>
      <w:bookmarkEnd w:id="174"/>
      <w:bookmarkStart w:id="175" w:name="_Toc22573026"/>
      <w:bookmarkEnd w:id="175"/>
      <w:bookmarkStart w:id="176" w:name="_Toc22573199"/>
      <w:bookmarkEnd w:id="176"/>
      <w:bookmarkStart w:id="177" w:name="_Toc22573025"/>
      <w:bookmarkEnd w:id="177"/>
      <w:bookmarkStart w:id="178" w:name="_Toc22662854"/>
      <w:bookmarkEnd w:id="178"/>
      <w:bookmarkStart w:id="179" w:name="_Toc22573027"/>
      <w:bookmarkEnd w:id="179"/>
      <w:bookmarkStart w:id="180" w:name="_Toc22572944"/>
      <w:bookmarkEnd w:id="180"/>
      <w:bookmarkStart w:id="181" w:name="_Toc22662852"/>
      <w:bookmarkEnd w:id="181"/>
      <w:bookmarkStart w:id="182" w:name="_Toc22572941"/>
      <w:bookmarkEnd w:id="182"/>
      <w:bookmarkStart w:id="183" w:name="_Toc22572943"/>
      <w:bookmarkEnd w:id="183"/>
      <w:bookmarkStart w:id="184" w:name="_Toc22662855"/>
      <w:bookmarkEnd w:id="184"/>
      <w:r>
        <w:rPr>
          <w:rFonts w:hint="eastAsia" w:ascii="Times New Roman" w:hAnsi="Times New Roman" w:eastAsia="仿宋" w:cs="Times New Roman"/>
          <w:color w:val="000000"/>
          <w:kern w:val="0"/>
          <w:sz w:val="32"/>
          <w:szCs w:val="32"/>
        </w:rPr>
        <w:t>本章主要介绍债券现券、债券回购以及信用保护工具相关交易安排。</w:t>
      </w:r>
    </w:p>
    <w:p>
      <w:pPr>
        <w:keepNext/>
        <w:keepLines/>
        <w:spacing w:line="560" w:lineRule="exact"/>
        <w:ind w:firstLine="640" w:firstLineChars="200"/>
        <w:outlineLvl w:val="1"/>
        <w:rPr>
          <w:rFonts w:ascii="Times New Roman" w:hAnsi="Times New Roman" w:eastAsia="仿宋" w:cs="Times New Roman"/>
          <w:b/>
          <w:bCs/>
          <w:sz w:val="32"/>
          <w:szCs w:val="32"/>
        </w:rPr>
      </w:pPr>
      <w:bookmarkStart w:id="185" w:name="_Toc17532"/>
      <w:bookmarkStart w:id="186" w:name="_Toc22538"/>
      <w:bookmarkStart w:id="187" w:name="_Toc2995"/>
      <w:bookmarkStart w:id="188" w:name="_Toc123809377"/>
      <w:bookmarkStart w:id="189" w:name="_Toc19449"/>
      <w:bookmarkStart w:id="190" w:name="_Toc7005"/>
      <w:bookmarkStart w:id="191" w:name="_Toc31010"/>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债券现券交易</w:t>
      </w:r>
      <w:bookmarkEnd w:id="185"/>
      <w:bookmarkEnd w:id="186"/>
      <w:bookmarkEnd w:id="187"/>
      <w:bookmarkEnd w:id="188"/>
      <w:bookmarkEnd w:id="189"/>
      <w:bookmarkEnd w:id="190"/>
      <w:bookmarkEnd w:id="191"/>
    </w:p>
    <w:p>
      <w:pPr>
        <w:autoSpaceDE w:val="0"/>
        <w:autoSpaceDN w:val="0"/>
        <w:adjustRightInd w:val="0"/>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在本所开展的债券现券交易可以采用匹配成交、点击成交、询价成交、竞买成交、协商成交以及本所认可的其他交易方式。</w:t>
      </w:r>
    </w:p>
    <w:p>
      <w:pPr>
        <w:autoSpaceDE w:val="0"/>
        <w:autoSpaceDN w:val="0"/>
        <w:adjustRightInd w:val="0"/>
        <w:spacing w:line="560" w:lineRule="exact"/>
        <w:jc w:val="center"/>
        <w:rPr>
          <w:rFonts w:hint="eastAsia" w:ascii="仿宋" w:hAnsi="仿宋" w:eastAsia="仿宋"/>
          <w:sz w:val="24"/>
          <w:szCs w:val="24"/>
        </w:rPr>
      </w:pPr>
    </w:p>
    <w:p>
      <w:pPr>
        <w:autoSpaceDE w:val="0"/>
        <w:autoSpaceDN w:val="0"/>
        <w:adjustRightInd w:val="0"/>
        <w:spacing w:line="560" w:lineRule="exact"/>
        <w:jc w:val="center"/>
        <w:rPr>
          <w:rFonts w:hint="eastAsia" w:ascii="仿宋" w:hAnsi="仿宋" w:eastAsia="仿宋"/>
          <w:sz w:val="24"/>
          <w:szCs w:val="24"/>
        </w:rPr>
      </w:pPr>
    </w:p>
    <w:p>
      <w:pPr>
        <w:autoSpaceDE w:val="0"/>
        <w:autoSpaceDN w:val="0"/>
        <w:adjustRightInd w:val="0"/>
        <w:spacing w:line="560" w:lineRule="exact"/>
        <w:jc w:val="center"/>
        <w:rPr>
          <w:rFonts w:hint="eastAsia" w:ascii="仿宋" w:hAnsi="仿宋" w:eastAsia="仿宋"/>
          <w:sz w:val="24"/>
          <w:szCs w:val="24"/>
        </w:rPr>
      </w:pPr>
    </w:p>
    <w:p>
      <w:pPr>
        <w:autoSpaceDE w:val="0"/>
        <w:autoSpaceDN w:val="0"/>
        <w:adjustRightInd w:val="0"/>
        <w:spacing w:line="560" w:lineRule="exact"/>
        <w:jc w:val="center"/>
        <w:rPr>
          <w:rFonts w:ascii="仿宋" w:hAnsi="仿宋" w:eastAsia="仿宋" w:cs="Times New Roman"/>
          <w:color w:val="000000"/>
          <w:kern w:val="0"/>
          <w:sz w:val="24"/>
          <w:szCs w:val="24"/>
        </w:rPr>
      </w:pPr>
      <w:r>
        <w:rPr>
          <w:rFonts w:hint="eastAsia" w:ascii="仿宋" w:hAnsi="仿宋" w:eastAsia="仿宋"/>
          <w:sz w:val="24"/>
          <w:szCs w:val="24"/>
        </w:rPr>
        <w:t>表</w:t>
      </w:r>
      <w:r>
        <w:rPr>
          <w:rFonts w:hint="eastAsia" w:ascii="仿宋" w:hAnsi="仿宋" w:eastAsia="仿宋"/>
          <w:sz w:val="24"/>
          <w:szCs w:val="24"/>
          <w:lang w:val="en-US" w:eastAsia="zh-CN"/>
        </w:rPr>
        <w:t>3</w:t>
      </w:r>
      <w:r>
        <w:rPr>
          <w:rFonts w:hint="eastAsia" w:ascii="仿宋" w:hAnsi="仿宋" w:eastAsia="仿宋"/>
          <w:sz w:val="24"/>
          <w:szCs w:val="24"/>
        </w:rPr>
        <w:t>-现券交易方式安排概览</w:t>
      </w:r>
    </w:p>
    <w:tbl>
      <w:tblPr>
        <w:tblStyle w:val="76"/>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842"/>
        <w:gridCol w:w="1266"/>
        <w:gridCol w:w="1670"/>
        <w:gridCol w:w="1709"/>
        <w:gridCol w:w="3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19" w:type="dxa"/>
            <w:vAlign w:val="center"/>
          </w:tcPr>
          <w:p>
            <w:pPr>
              <w:jc w:val="center"/>
              <w:rPr>
                <w:rFonts w:ascii="仿宋" w:hAnsi="仿宋" w:eastAsia="仿宋"/>
                <w:sz w:val="24"/>
                <w:szCs w:val="24"/>
              </w:rPr>
            </w:pPr>
          </w:p>
        </w:tc>
        <w:tc>
          <w:tcPr>
            <w:tcW w:w="1842" w:type="dxa"/>
            <w:vAlign w:val="center"/>
          </w:tcPr>
          <w:p>
            <w:pPr>
              <w:jc w:val="center"/>
              <w:rPr>
                <w:rFonts w:ascii="仿宋" w:hAnsi="仿宋" w:eastAsia="仿宋"/>
                <w:sz w:val="24"/>
                <w:szCs w:val="24"/>
              </w:rPr>
            </w:pPr>
            <w:r>
              <w:rPr>
                <w:rFonts w:hint="eastAsia" w:ascii="仿宋" w:hAnsi="仿宋" w:eastAsia="仿宋"/>
                <w:b/>
                <w:bCs/>
                <w:sz w:val="24"/>
                <w:szCs w:val="24"/>
              </w:rPr>
              <w:t>匹配成交</w:t>
            </w:r>
          </w:p>
        </w:tc>
        <w:tc>
          <w:tcPr>
            <w:tcW w:w="1266" w:type="dxa"/>
            <w:vAlign w:val="center"/>
          </w:tcPr>
          <w:p>
            <w:pPr>
              <w:jc w:val="center"/>
              <w:rPr>
                <w:rFonts w:ascii="仿宋" w:hAnsi="仿宋" w:eastAsia="仿宋"/>
                <w:sz w:val="24"/>
                <w:szCs w:val="24"/>
              </w:rPr>
            </w:pPr>
            <w:r>
              <w:rPr>
                <w:rFonts w:hint="eastAsia" w:ascii="仿宋" w:hAnsi="仿宋" w:eastAsia="仿宋"/>
                <w:b/>
                <w:bCs/>
                <w:sz w:val="24"/>
                <w:szCs w:val="24"/>
              </w:rPr>
              <w:t>点击成交</w:t>
            </w:r>
          </w:p>
        </w:tc>
        <w:tc>
          <w:tcPr>
            <w:tcW w:w="1670" w:type="dxa"/>
            <w:vAlign w:val="center"/>
          </w:tcPr>
          <w:p>
            <w:pPr>
              <w:jc w:val="center"/>
              <w:rPr>
                <w:rFonts w:ascii="仿宋" w:hAnsi="仿宋" w:eastAsia="仿宋"/>
                <w:sz w:val="24"/>
                <w:szCs w:val="24"/>
              </w:rPr>
            </w:pPr>
            <w:r>
              <w:rPr>
                <w:rFonts w:hint="eastAsia" w:ascii="仿宋" w:hAnsi="仿宋" w:eastAsia="仿宋"/>
                <w:b/>
                <w:bCs/>
                <w:sz w:val="24"/>
                <w:szCs w:val="24"/>
              </w:rPr>
              <w:t>询价成交</w:t>
            </w:r>
          </w:p>
        </w:tc>
        <w:tc>
          <w:tcPr>
            <w:tcW w:w="1709" w:type="dxa"/>
            <w:vAlign w:val="center"/>
          </w:tcPr>
          <w:p>
            <w:pPr>
              <w:jc w:val="center"/>
              <w:rPr>
                <w:rFonts w:ascii="仿宋" w:hAnsi="仿宋" w:eastAsia="仿宋"/>
                <w:sz w:val="24"/>
                <w:szCs w:val="24"/>
              </w:rPr>
            </w:pPr>
            <w:r>
              <w:rPr>
                <w:rFonts w:hint="eastAsia" w:ascii="仿宋" w:hAnsi="仿宋" w:eastAsia="仿宋"/>
                <w:b/>
                <w:bCs/>
                <w:sz w:val="24"/>
                <w:szCs w:val="24"/>
              </w:rPr>
              <w:t>协商成交</w:t>
            </w:r>
          </w:p>
        </w:tc>
        <w:tc>
          <w:tcPr>
            <w:tcW w:w="2301" w:type="dxa"/>
            <w:gridSpan w:val="2"/>
            <w:vAlign w:val="center"/>
          </w:tcPr>
          <w:p>
            <w:pPr>
              <w:jc w:val="center"/>
              <w:rPr>
                <w:rFonts w:ascii="仿宋" w:hAnsi="仿宋" w:eastAsia="仿宋"/>
                <w:sz w:val="24"/>
                <w:szCs w:val="24"/>
              </w:rPr>
            </w:pPr>
            <w:r>
              <w:rPr>
                <w:rFonts w:hint="eastAsia" w:ascii="仿宋" w:hAnsi="仿宋" w:eastAsia="仿宋"/>
                <w:b/>
                <w:bCs/>
                <w:sz w:val="24"/>
                <w:szCs w:val="24"/>
              </w:rPr>
              <w:t>竞买成交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特点</w:t>
            </w:r>
          </w:p>
        </w:tc>
        <w:tc>
          <w:tcPr>
            <w:tcW w:w="1842" w:type="dxa"/>
            <w:vAlign w:val="center"/>
          </w:tcPr>
          <w:p>
            <w:pPr>
              <w:rPr>
                <w:rFonts w:ascii="仿宋" w:hAnsi="仿宋" w:eastAsia="仿宋"/>
                <w:sz w:val="24"/>
                <w:szCs w:val="24"/>
              </w:rPr>
            </w:pPr>
            <w:r>
              <w:rPr>
                <w:rFonts w:hint="eastAsia" w:ascii="仿宋" w:hAnsi="仿宋" w:eastAsia="仿宋"/>
                <w:sz w:val="24"/>
                <w:szCs w:val="24"/>
              </w:rPr>
              <w:t>按价格优先、时间优先的原则自动匹配成交</w:t>
            </w:r>
          </w:p>
        </w:tc>
        <w:tc>
          <w:tcPr>
            <w:tcW w:w="1266" w:type="dxa"/>
            <w:vAlign w:val="center"/>
          </w:tcPr>
          <w:p>
            <w:pPr>
              <w:rPr>
                <w:rFonts w:ascii="仿宋" w:hAnsi="仿宋" w:eastAsia="仿宋"/>
                <w:sz w:val="24"/>
                <w:szCs w:val="24"/>
              </w:rPr>
            </w:pPr>
            <w:r>
              <w:rPr>
                <w:rFonts w:hint="eastAsia" w:ascii="仿宋" w:hAnsi="仿宋" w:eastAsia="仿宋"/>
                <w:sz w:val="24"/>
                <w:szCs w:val="24"/>
              </w:rPr>
              <w:t>报价方发出报价，受价方点击成交</w:t>
            </w:r>
          </w:p>
        </w:tc>
        <w:tc>
          <w:tcPr>
            <w:tcW w:w="1670" w:type="dxa"/>
            <w:vAlign w:val="center"/>
          </w:tcPr>
          <w:p>
            <w:pPr>
              <w:rPr>
                <w:rFonts w:ascii="仿宋" w:hAnsi="仿宋" w:eastAsia="仿宋"/>
                <w:sz w:val="24"/>
                <w:szCs w:val="24"/>
              </w:rPr>
            </w:pPr>
            <w:r>
              <w:rPr>
                <w:rFonts w:hint="eastAsia" w:ascii="仿宋" w:hAnsi="仿宋" w:eastAsia="仿宋"/>
                <w:sz w:val="24"/>
                <w:szCs w:val="24"/>
              </w:rPr>
              <w:t>询价方发送询价请求，并选择一个或者多个询价回复确认成交</w:t>
            </w:r>
          </w:p>
        </w:tc>
        <w:tc>
          <w:tcPr>
            <w:tcW w:w="1709" w:type="dxa"/>
            <w:vAlign w:val="center"/>
          </w:tcPr>
          <w:p>
            <w:pPr>
              <w:rPr>
                <w:rFonts w:ascii="仿宋" w:hAnsi="仿宋" w:eastAsia="仿宋"/>
                <w:sz w:val="24"/>
                <w:szCs w:val="24"/>
              </w:rPr>
            </w:pPr>
            <w:r>
              <w:rPr>
                <w:rFonts w:hint="eastAsia" w:ascii="仿宋" w:hAnsi="仿宋" w:eastAsia="仿宋"/>
                <w:sz w:val="24"/>
                <w:szCs w:val="24"/>
              </w:rPr>
              <w:t>买卖双</w:t>
            </w:r>
          </w:p>
          <w:p>
            <w:pPr>
              <w:rPr>
                <w:rFonts w:ascii="仿宋" w:hAnsi="仿宋" w:eastAsia="仿宋"/>
                <w:sz w:val="24"/>
                <w:szCs w:val="24"/>
              </w:rPr>
            </w:pPr>
            <w:r>
              <w:rPr>
                <w:rFonts w:hint="eastAsia" w:ascii="仿宋" w:hAnsi="仿宋" w:eastAsia="仿宋"/>
                <w:sz w:val="24"/>
                <w:szCs w:val="24"/>
              </w:rPr>
              <w:t>方协商达成交易意向</w:t>
            </w:r>
          </w:p>
        </w:tc>
        <w:tc>
          <w:tcPr>
            <w:tcW w:w="2301" w:type="dxa"/>
            <w:gridSpan w:val="2"/>
            <w:vAlign w:val="center"/>
          </w:tcPr>
          <w:p>
            <w:pPr>
              <w:rPr>
                <w:rFonts w:ascii="仿宋" w:hAnsi="仿宋" w:eastAsia="仿宋"/>
                <w:sz w:val="24"/>
                <w:szCs w:val="24"/>
              </w:rPr>
            </w:pPr>
            <w:r>
              <w:rPr>
                <w:rFonts w:hint="eastAsia" w:ascii="仿宋" w:hAnsi="仿宋" w:eastAsia="仿宋"/>
                <w:sz w:val="24"/>
                <w:szCs w:val="24"/>
              </w:rPr>
              <w:t>卖方在限定时间按竞买成交规则将债券出售给最优应价的单个或者多个应价方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交易时间</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开盘集合匹配</w:t>
            </w:r>
            <w:r>
              <w:rPr>
                <w:rFonts w:ascii="仿宋" w:hAnsi="仿宋" w:eastAsia="仿宋"/>
                <w:sz w:val="24"/>
                <w:szCs w:val="24"/>
              </w:rPr>
              <w:t>09:15-09:25</w:t>
            </w:r>
          </w:p>
          <w:p>
            <w:pPr>
              <w:jc w:val="center"/>
              <w:rPr>
                <w:rFonts w:ascii="仿宋" w:hAnsi="仿宋" w:eastAsia="仿宋"/>
                <w:sz w:val="24"/>
                <w:szCs w:val="24"/>
              </w:rPr>
            </w:pPr>
            <w:r>
              <w:rPr>
                <w:rFonts w:hint="eastAsia" w:ascii="仿宋" w:hAnsi="仿宋" w:eastAsia="仿宋"/>
                <w:sz w:val="24"/>
                <w:szCs w:val="24"/>
              </w:rPr>
              <w:t>连续匹配</w:t>
            </w:r>
            <w:r>
              <w:rPr>
                <w:rFonts w:ascii="仿宋" w:hAnsi="仿宋" w:eastAsia="仿宋"/>
                <w:sz w:val="24"/>
                <w:szCs w:val="24"/>
              </w:rPr>
              <w:t>09:30-11:30</w:t>
            </w:r>
          </w:p>
          <w:p>
            <w:pPr>
              <w:jc w:val="center"/>
              <w:rPr>
                <w:rFonts w:ascii="仿宋" w:hAnsi="仿宋" w:eastAsia="仿宋"/>
                <w:bCs/>
                <w:sz w:val="24"/>
                <w:szCs w:val="24"/>
              </w:rPr>
            </w:pPr>
            <w:r>
              <w:rPr>
                <w:rFonts w:ascii="仿宋" w:hAnsi="仿宋" w:eastAsia="仿宋"/>
                <w:sz w:val="24"/>
                <w:szCs w:val="24"/>
              </w:rPr>
              <w:t>13:00-</w:t>
            </w:r>
            <w:r>
              <w:rPr>
                <w:rFonts w:ascii="仿宋" w:hAnsi="仿宋" w:eastAsia="仿宋"/>
                <w:bCs/>
                <w:sz w:val="24"/>
                <w:szCs w:val="24"/>
              </w:rPr>
              <w:t>15:30</w:t>
            </w:r>
          </w:p>
        </w:tc>
        <w:tc>
          <w:tcPr>
            <w:tcW w:w="4645" w:type="dxa"/>
            <w:gridSpan w:val="3"/>
            <w:vAlign w:val="center"/>
          </w:tcPr>
          <w:p>
            <w:pPr>
              <w:jc w:val="center"/>
              <w:rPr>
                <w:rFonts w:ascii="仿宋" w:hAnsi="仿宋" w:eastAsia="仿宋"/>
                <w:sz w:val="24"/>
                <w:szCs w:val="24"/>
              </w:rPr>
            </w:pPr>
            <w:r>
              <w:rPr>
                <w:rFonts w:ascii="仿宋" w:hAnsi="仿宋" w:eastAsia="仿宋"/>
                <w:bCs/>
                <w:sz w:val="24"/>
                <w:szCs w:val="24"/>
              </w:rPr>
              <w:t>09:00</w:t>
            </w:r>
            <w:r>
              <w:rPr>
                <w:rFonts w:ascii="仿宋" w:hAnsi="仿宋" w:eastAsia="仿宋"/>
                <w:sz w:val="24"/>
                <w:szCs w:val="24"/>
              </w:rPr>
              <w:t>-11:30</w:t>
            </w:r>
          </w:p>
          <w:p>
            <w:pPr>
              <w:jc w:val="center"/>
              <w:rPr>
                <w:rFonts w:ascii="仿宋" w:hAnsi="仿宋" w:eastAsia="仿宋"/>
                <w:sz w:val="24"/>
                <w:szCs w:val="24"/>
              </w:rPr>
            </w:pPr>
            <w:r>
              <w:rPr>
                <w:rFonts w:ascii="仿宋" w:hAnsi="仿宋" w:eastAsia="仿宋"/>
                <w:sz w:val="24"/>
                <w:szCs w:val="24"/>
              </w:rPr>
              <w:t>13:00</w:t>
            </w:r>
            <w:r>
              <w:rPr>
                <w:rFonts w:ascii="仿宋" w:hAnsi="仿宋" w:eastAsia="仿宋"/>
                <w:bCs/>
                <w:sz w:val="24"/>
                <w:szCs w:val="24"/>
              </w:rPr>
              <w:t>-</w:t>
            </w:r>
            <w:r>
              <w:rPr>
                <w:rFonts w:hint="eastAsia" w:ascii="仿宋" w:hAnsi="仿宋" w:eastAsia="仿宋"/>
                <w:bCs/>
                <w:sz w:val="24"/>
                <w:szCs w:val="24"/>
              </w:rPr>
              <w:t>15</w:t>
            </w:r>
            <w:r>
              <w:rPr>
                <w:rFonts w:ascii="仿宋" w:hAnsi="仿宋" w:eastAsia="仿宋"/>
                <w:bCs/>
                <w:sz w:val="24"/>
                <w:szCs w:val="24"/>
              </w:rPr>
              <w:t>:</w:t>
            </w:r>
            <w:r>
              <w:rPr>
                <w:rFonts w:hint="eastAsia" w:ascii="仿宋" w:hAnsi="仿宋" w:eastAsia="仿宋"/>
                <w:bCs/>
                <w:sz w:val="24"/>
                <w:szCs w:val="24"/>
              </w:rPr>
              <w:t>30</w:t>
            </w:r>
          </w:p>
        </w:tc>
        <w:tc>
          <w:tcPr>
            <w:tcW w:w="2301" w:type="dxa"/>
            <w:gridSpan w:val="2"/>
            <w:vAlign w:val="center"/>
          </w:tcPr>
          <w:p>
            <w:pPr>
              <w:jc w:val="center"/>
              <w:rPr>
                <w:rFonts w:ascii="仿宋" w:hAnsi="仿宋" w:eastAsia="仿宋"/>
                <w:sz w:val="24"/>
                <w:szCs w:val="24"/>
              </w:rPr>
            </w:pPr>
            <w:r>
              <w:rPr>
                <w:rFonts w:hint="eastAsia" w:ascii="仿宋" w:hAnsi="仿宋" w:eastAsia="仿宋"/>
                <w:sz w:val="24"/>
                <w:szCs w:val="24"/>
              </w:rPr>
              <w:t>竞买预约申报</w:t>
            </w:r>
          </w:p>
          <w:p>
            <w:pPr>
              <w:jc w:val="center"/>
              <w:rPr>
                <w:rFonts w:ascii="仿宋" w:hAnsi="仿宋" w:eastAsia="仿宋"/>
                <w:sz w:val="24"/>
                <w:szCs w:val="24"/>
              </w:rPr>
            </w:pPr>
            <w:r>
              <w:rPr>
                <w:rFonts w:hint="eastAsia" w:ascii="仿宋" w:hAnsi="仿宋" w:eastAsia="仿宋"/>
                <w:sz w:val="24"/>
                <w:szCs w:val="24"/>
              </w:rPr>
              <w:t>9:00-11:30</w:t>
            </w:r>
          </w:p>
          <w:p>
            <w:pPr>
              <w:jc w:val="center"/>
              <w:rPr>
                <w:rFonts w:ascii="仿宋" w:hAnsi="仿宋" w:eastAsia="仿宋"/>
                <w:sz w:val="24"/>
                <w:szCs w:val="24"/>
              </w:rPr>
            </w:pPr>
            <w:r>
              <w:rPr>
                <w:rFonts w:hint="eastAsia" w:ascii="仿宋" w:hAnsi="仿宋" w:eastAsia="仿宋"/>
                <w:sz w:val="24"/>
                <w:szCs w:val="24"/>
              </w:rPr>
              <w:t>13:00-15:30</w:t>
            </w:r>
          </w:p>
          <w:p>
            <w:pPr>
              <w:jc w:val="center"/>
              <w:rPr>
                <w:rFonts w:ascii="仿宋" w:hAnsi="仿宋" w:eastAsia="仿宋"/>
                <w:sz w:val="24"/>
                <w:szCs w:val="24"/>
              </w:rPr>
            </w:pPr>
            <w:r>
              <w:rPr>
                <w:rFonts w:hint="eastAsia" w:ascii="仿宋" w:hAnsi="仿宋" w:eastAsia="仿宋"/>
                <w:sz w:val="24"/>
                <w:szCs w:val="24"/>
              </w:rPr>
              <w:t>竞买发起申报</w:t>
            </w:r>
          </w:p>
          <w:p>
            <w:pPr>
              <w:jc w:val="center"/>
              <w:rPr>
                <w:rFonts w:ascii="仿宋" w:hAnsi="仿宋" w:eastAsia="仿宋"/>
                <w:sz w:val="24"/>
                <w:szCs w:val="24"/>
              </w:rPr>
            </w:pPr>
            <w:r>
              <w:rPr>
                <w:rFonts w:ascii="仿宋" w:hAnsi="仿宋" w:eastAsia="仿宋"/>
                <w:sz w:val="24"/>
                <w:szCs w:val="24"/>
              </w:rPr>
              <w:t>09:00 - 10:00</w:t>
            </w:r>
          </w:p>
          <w:p>
            <w:pPr>
              <w:jc w:val="center"/>
              <w:rPr>
                <w:rFonts w:ascii="仿宋" w:hAnsi="仿宋" w:eastAsia="仿宋"/>
                <w:sz w:val="24"/>
                <w:szCs w:val="24"/>
              </w:rPr>
            </w:pPr>
            <w:r>
              <w:rPr>
                <w:rFonts w:hint="eastAsia" w:ascii="仿宋" w:hAnsi="仿宋" w:eastAsia="仿宋"/>
                <w:sz w:val="24"/>
                <w:szCs w:val="24"/>
              </w:rPr>
              <w:t>应价申报</w:t>
            </w:r>
          </w:p>
          <w:p>
            <w:pPr>
              <w:jc w:val="center"/>
              <w:rPr>
                <w:rFonts w:ascii="仿宋" w:hAnsi="仿宋" w:eastAsia="仿宋"/>
                <w:sz w:val="24"/>
                <w:szCs w:val="24"/>
              </w:rPr>
            </w:pPr>
            <w:r>
              <w:rPr>
                <w:rFonts w:ascii="仿宋" w:hAnsi="仿宋" w:eastAsia="仿宋"/>
                <w:sz w:val="24"/>
                <w:szCs w:val="24"/>
              </w:rPr>
              <w:t>10:00-11:30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19" w:type="dxa"/>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交易品种</w:t>
            </w:r>
            <w:r>
              <w:rPr>
                <w:rFonts w:hint="eastAsia" w:ascii="仿宋" w:hAnsi="仿宋" w:eastAsia="仿宋"/>
                <w:b/>
                <w:bCs/>
                <w:color w:val="000000" w:themeColor="text1"/>
                <w:sz w:val="24"/>
                <w:szCs w:val="24"/>
                <w:vertAlign w:val="superscript"/>
                <w14:textFill>
                  <w14:solidFill>
                    <w14:schemeClr w14:val="tx1"/>
                  </w14:solidFill>
                </w14:textFill>
              </w:rPr>
              <w:t>③</w:t>
            </w:r>
          </w:p>
        </w:tc>
        <w:tc>
          <w:tcPr>
            <w:tcW w:w="1842"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公开发行债券</w:t>
            </w:r>
          </w:p>
        </w:tc>
        <w:tc>
          <w:tcPr>
            <w:tcW w:w="6946" w:type="dxa"/>
            <w:gridSpan w:val="5"/>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公开发行债券、非公开发行债券以及资产支持证券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19" w:type="dxa"/>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结算方式</w:t>
            </w:r>
            <w:r>
              <w:rPr>
                <w:rFonts w:hint="eastAsia" w:ascii="仿宋" w:hAnsi="仿宋" w:eastAsia="仿宋"/>
                <w:b/>
                <w:bCs/>
                <w:color w:val="000000" w:themeColor="text1"/>
                <w:sz w:val="24"/>
                <w:szCs w:val="24"/>
                <w:vertAlign w:val="superscript"/>
                <w14:textFill>
                  <w14:solidFill>
                    <w14:schemeClr w14:val="tx1"/>
                  </w14:solidFill>
                </w14:textFill>
              </w:rPr>
              <w:t>④</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多边净额结算</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（担保）</w:t>
            </w:r>
          </w:p>
        </w:tc>
        <w:tc>
          <w:tcPr>
            <w:tcW w:w="6946" w:type="dxa"/>
            <w:gridSpan w:val="5"/>
            <w:vAlign w:val="center"/>
          </w:tcPr>
          <w:p>
            <w:pPr>
              <w:jc w:val="cente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公开发行债券</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sz w:val="24"/>
                <w:szCs w:val="24"/>
              </w:rPr>
              <w:t>多边净额结算或者逐笔全额结算</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非公开发行债券以及资产支持证券：逐笔全额结算（非担保）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现券申报数量</w:t>
            </w:r>
          </w:p>
        </w:tc>
        <w:tc>
          <w:tcPr>
            <w:tcW w:w="1842" w:type="dxa"/>
            <w:vAlign w:val="center"/>
          </w:tcPr>
          <w:p>
            <w:pPr>
              <w:jc w:val="center"/>
              <w:rPr>
                <w:rFonts w:ascii="仿宋" w:hAnsi="仿宋" w:eastAsia="仿宋"/>
                <w:sz w:val="24"/>
                <w:szCs w:val="24"/>
              </w:rPr>
            </w:pPr>
            <w:r>
              <w:rPr>
                <w:rFonts w:ascii="仿宋" w:hAnsi="仿宋" w:eastAsia="仿宋"/>
                <w:sz w:val="24"/>
                <w:szCs w:val="24"/>
              </w:rPr>
              <w:t>10万元面额或</w:t>
            </w:r>
            <w:r>
              <w:rPr>
                <w:rFonts w:hint="eastAsia" w:ascii="仿宋" w:hAnsi="仿宋" w:eastAsia="仿宋"/>
                <w:sz w:val="24"/>
                <w:szCs w:val="24"/>
              </w:rPr>
              <w:t>者</w:t>
            </w:r>
            <w:r>
              <w:rPr>
                <w:rFonts w:ascii="仿宋" w:hAnsi="仿宋" w:eastAsia="仿宋"/>
                <w:sz w:val="24"/>
                <w:szCs w:val="24"/>
              </w:rPr>
              <w:t>其整数</w:t>
            </w:r>
            <w:r>
              <w:rPr>
                <w:rFonts w:hint="eastAsia" w:ascii="仿宋" w:hAnsi="仿宋" w:eastAsia="仿宋"/>
                <w:sz w:val="24"/>
                <w:szCs w:val="24"/>
              </w:rPr>
              <w:t>倍，卖出余额不足</w:t>
            </w:r>
            <w:r>
              <w:rPr>
                <w:rFonts w:ascii="仿宋" w:hAnsi="仿宋" w:eastAsia="仿宋"/>
                <w:sz w:val="24"/>
                <w:szCs w:val="24"/>
              </w:rPr>
              <w:t>10万元面额的应一次性申报卖出</w:t>
            </w:r>
          </w:p>
        </w:tc>
        <w:tc>
          <w:tcPr>
            <w:tcW w:w="1266" w:type="dxa"/>
            <w:vAlign w:val="center"/>
          </w:tcPr>
          <w:p>
            <w:pPr>
              <w:jc w:val="center"/>
              <w:rPr>
                <w:rFonts w:ascii="仿宋" w:hAnsi="仿宋" w:eastAsia="仿宋"/>
                <w:sz w:val="24"/>
                <w:szCs w:val="24"/>
              </w:rPr>
            </w:pPr>
            <w:r>
              <w:rPr>
                <w:rFonts w:ascii="仿宋" w:hAnsi="仿宋" w:eastAsia="仿宋"/>
                <w:sz w:val="24"/>
                <w:szCs w:val="24"/>
              </w:rPr>
              <w:t>10万元面额或</w:t>
            </w:r>
            <w:r>
              <w:rPr>
                <w:rFonts w:hint="eastAsia" w:ascii="仿宋" w:hAnsi="仿宋" w:eastAsia="仿宋"/>
                <w:sz w:val="24"/>
                <w:szCs w:val="24"/>
              </w:rPr>
              <w:t>者</w:t>
            </w:r>
            <w:r>
              <w:rPr>
                <w:rFonts w:ascii="仿宋" w:hAnsi="仿宋" w:eastAsia="仿宋"/>
                <w:sz w:val="24"/>
                <w:szCs w:val="24"/>
              </w:rPr>
              <w:t>其整数</w:t>
            </w:r>
            <w:r>
              <w:rPr>
                <w:rFonts w:hint="eastAsia" w:ascii="仿宋" w:hAnsi="仿宋" w:eastAsia="仿宋"/>
                <w:sz w:val="24"/>
                <w:szCs w:val="24"/>
              </w:rPr>
              <w:t>倍</w:t>
            </w:r>
          </w:p>
        </w:tc>
        <w:tc>
          <w:tcPr>
            <w:tcW w:w="1670" w:type="dxa"/>
            <w:vAlign w:val="center"/>
          </w:tcPr>
          <w:p>
            <w:pPr>
              <w:jc w:val="center"/>
              <w:rPr>
                <w:rFonts w:ascii="仿宋" w:hAnsi="仿宋" w:eastAsia="仿宋"/>
                <w:sz w:val="24"/>
                <w:szCs w:val="24"/>
              </w:rPr>
            </w:pPr>
            <w:r>
              <w:rPr>
                <w:rFonts w:hint="eastAsia" w:ascii="仿宋" w:hAnsi="仿宋" w:eastAsia="仿宋"/>
                <w:sz w:val="24"/>
                <w:szCs w:val="24"/>
              </w:rPr>
              <w:t>不低于</w:t>
            </w:r>
            <w:r>
              <w:rPr>
                <w:rFonts w:ascii="仿宋" w:hAnsi="仿宋" w:eastAsia="仿宋"/>
                <w:sz w:val="24"/>
                <w:szCs w:val="24"/>
              </w:rPr>
              <w:t>10万元面额</w:t>
            </w:r>
            <w:r>
              <w:rPr>
                <w:rFonts w:hint="eastAsia" w:ascii="仿宋" w:hAnsi="仿宋" w:eastAsia="仿宋"/>
                <w:sz w:val="24"/>
                <w:szCs w:val="24"/>
              </w:rPr>
              <w:t>，且为</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000元面额整数</w:t>
            </w:r>
            <w:r>
              <w:rPr>
                <w:rFonts w:hint="eastAsia" w:ascii="仿宋" w:hAnsi="仿宋" w:eastAsia="仿宋"/>
                <w:sz w:val="24"/>
                <w:szCs w:val="24"/>
              </w:rPr>
              <w:t>倍</w:t>
            </w:r>
          </w:p>
        </w:tc>
        <w:tc>
          <w:tcPr>
            <w:tcW w:w="1709" w:type="dxa"/>
            <w:vAlign w:val="center"/>
          </w:tcPr>
          <w:p>
            <w:pPr>
              <w:jc w:val="center"/>
              <w:rPr>
                <w:rFonts w:ascii="仿宋" w:hAnsi="仿宋" w:eastAsia="仿宋"/>
                <w:sz w:val="24"/>
                <w:szCs w:val="24"/>
              </w:rPr>
            </w:pPr>
            <w:r>
              <w:rPr>
                <w:rFonts w:hint="eastAsia" w:ascii="仿宋" w:hAnsi="仿宋" w:eastAsia="仿宋"/>
                <w:sz w:val="24"/>
                <w:szCs w:val="24"/>
              </w:rPr>
              <w:t>不低于</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000元面额</w:t>
            </w:r>
            <w:r>
              <w:rPr>
                <w:rFonts w:hint="eastAsia" w:ascii="仿宋" w:hAnsi="仿宋" w:eastAsia="仿宋"/>
                <w:sz w:val="24"/>
                <w:szCs w:val="24"/>
              </w:rPr>
              <w:t>，且为</w:t>
            </w:r>
            <w:r>
              <w:rPr>
                <w:rFonts w:ascii="仿宋" w:hAnsi="仿宋" w:eastAsia="仿宋"/>
                <w:sz w:val="24"/>
                <w:szCs w:val="24"/>
              </w:rPr>
              <w:t>100元面额整数</w:t>
            </w:r>
            <w:r>
              <w:rPr>
                <w:rFonts w:hint="eastAsia" w:ascii="仿宋" w:hAnsi="仿宋" w:eastAsia="仿宋"/>
                <w:sz w:val="24"/>
                <w:szCs w:val="24"/>
              </w:rPr>
              <w:t>倍</w:t>
            </w:r>
          </w:p>
        </w:tc>
        <w:tc>
          <w:tcPr>
            <w:tcW w:w="2301" w:type="dxa"/>
            <w:gridSpan w:val="2"/>
            <w:vAlign w:val="center"/>
          </w:tcPr>
          <w:p>
            <w:pPr>
              <w:jc w:val="center"/>
              <w:rPr>
                <w:rFonts w:ascii="仿宋" w:hAnsi="仿宋" w:eastAsia="仿宋"/>
                <w:sz w:val="24"/>
                <w:szCs w:val="24"/>
              </w:rPr>
            </w:pPr>
            <w:r>
              <w:rPr>
                <w:rFonts w:hint="eastAsia" w:ascii="仿宋" w:hAnsi="仿宋" w:eastAsia="仿宋"/>
                <w:sz w:val="24"/>
                <w:szCs w:val="24"/>
              </w:rPr>
              <w:t>不低于</w:t>
            </w:r>
            <w:r>
              <w:rPr>
                <w:rFonts w:ascii="仿宋" w:hAnsi="仿宋" w:eastAsia="仿宋"/>
                <w:sz w:val="24"/>
                <w:szCs w:val="24"/>
              </w:rPr>
              <w:t>10万元面额</w:t>
            </w:r>
            <w:r>
              <w:rPr>
                <w:rFonts w:hint="eastAsia" w:ascii="仿宋" w:hAnsi="仿宋" w:eastAsia="仿宋"/>
                <w:sz w:val="24"/>
                <w:szCs w:val="24"/>
              </w:rPr>
              <w:t>，且为</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000元面额整数</w:t>
            </w:r>
            <w:r>
              <w:rPr>
                <w:rFonts w:hint="eastAsia" w:ascii="仿宋" w:hAnsi="仿宋" w:eastAsia="仿宋"/>
                <w:sz w:val="24"/>
                <w:szCs w:val="24"/>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显名/匿名申报</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匿名</w:t>
            </w:r>
          </w:p>
        </w:tc>
        <w:tc>
          <w:tcPr>
            <w:tcW w:w="1266" w:type="dxa"/>
            <w:vAlign w:val="center"/>
          </w:tcPr>
          <w:p>
            <w:pPr>
              <w:jc w:val="center"/>
              <w:rPr>
                <w:rFonts w:ascii="仿宋" w:hAnsi="仿宋" w:eastAsia="仿宋"/>
                <w:sz w:val="24"/>
                <w:szCs w:val="24"/>
              </w:rPr>
            </w:pPr>
            <w:r>
              <w:rPr>
                <w:rFonts w:hint="eastAsia" w:ascii="仿宋" w:hAnsi="仿宋" w:eastAsia="仿宋"/>
                <w:sz w:val="24"/>
                <w:szCs w:val="24"/>
              </w:rPr>
              <w:t>可选显名/匿名</w:t>
            </w:r>
          </w:p>
        </w:tc>
        <w:tc>
          <w:tcPr>
            <w:tcW w:w="1670" w:type="dxa"/>
            <w:vAlign w:val="center"/>
          </w:tcPr>
          <w:p>
            <w:pPr>
              <w:jc w:val="center"/>
              <w:rPr>
                <w:rFonts w:ascii="仿宋" w:hAnsi="仿宋" w:eastAsia="仿宋"/>
                <w:sz w:val="24"/>
                <w:szCs w:val="24"/>
              </w:rPr>
            </w:pPr>
            <w:r>
              <w:rPr>
                <w:rFonts w:hint="eastAsia" w:ascii="仿宋" w:hAnsi="仿宋" w:eastAsia="仿宋"/>
                <w:sz w:val="24"/>
                <w:szCs w:val="24"/>
              </w:rPr>
              <w:t>可选显名/匿名</w:t>
            </w:r>
          </w:p>
        </w:tc>
        <w:tc>
          <w:tcPr>
            <w:tcW w:w="1709" w:type="dxa"/>
            <w:vAlign w:val="center"/>
          </w:tcPr>
          <w:p>
            <w:pPr>
              <w:jc w:val="center"/>
              <w:rPr>
                <w:rFonts w:ascii="仿宋" w:hAnsi="仿宋" w:eastAsia="仿宋"/>
                <w:sz w:val="24"/>
                <w:szCs w:val="24"/>
              </w:rPr>
            </w:pPr>
            <w:r>
              <w:rPr>
                <w:rFonts w:hint="eastAsia" w:ascii="仿宋" w:hAnsi="仿宋" w:eastAsia="仿宋"/>
                <w:sz w:val="24"/>
                <w:szCs w:val="24"/>
              </w:rPr>
              <w:t>显名</w:t>
            </w:r>
          </w:p>
        </w:tc>
        <w:tc>
          <w:tcPr>
            <w:tcW w:w="2301" w:type="dxa"/>
            <w:gridSpan w:val="2"/>
            <w:vAlign w:val="center"/>
          </w:tcPr>
          <w:p>
            <w:pPr>
              <w:jc w:val="center"/>
              <w:rPr>
                <w:rFonts w:ascii="仿宋" w:hAnsi="仿宋" w:eastAsia="仿宋"/>
                <w:sz w:val="24"/>
                <w:szCs w:val="24"/>
              </w:rPr>
            </w:pPr>
            <w:r>
              <w:rPr>
                <w:rFonts w:hint="eastAsia" w:ascii="仿宋" w:hAnsi="仿宋" w:eastAsia="仿宋"/>
                <w:sz w:val="24"/>
                <w:szCs w:val="24"/>
              </w:rPr>
              <w:t>可选显名/匿名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发送范围</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全市场</w:t>
            </w:r>
          </w:p>
        </w:tc>
        <w:tc>
          <w:tcPr>
            <w:tcW w:w="1266" w:type="dxa"/>
            <w:vAlign w:val="center"/>
          </w:tcPr>
          <w:p>
            <w:pPr>
              <w:jc w:val="center"/>
              <w:rPr>
                <w:rFonts w:ascii="仿宋" w:hAnsi="仿宋" w:eastAsia="仿宋"/>
                <w:sz w:val="24"/>
                <w:szCs w:val="24"/>
              </w:rPr>
            </w:pPr>
            <w:r>
              <w:rPr>
                <w:rFonts w:hint="eastAsia" w:ascii="仿宋" w:hAnsi="仿宋" w:eastAsia="仿宋"/>
                <w:sz w:val="24"/>
                <w:szCs w:val="24"/>
              </w:rPr>
              <w:t>可选，目前仅支持全市场</w:t>
            </w:r>
          </w:p>
        </w:tc>
        <w:tc>
          <w:tcPr>
            <w:tcW w:w="1670" w:type="dxa"/>
            <w:vAlign w:val="center"/>
          </w:tcPr>
          <w:p>
            <w:pPr>
              <w:jc w:val="center"/>
              <w:rPr>
                <w:rFonts w:ascii="仿宋" w:hAnsi="仿宋" w:eastAsia="仿宋"/>
                <w:sz w:val="24"/>
                <w:szCs w:val="24"/>
              </w:rPr>
            </w:pPr>
            <w:r>
              <w:rPr>
                <w:rFonts w:hint="eastAsia" w:ascii="仿宋" w:hAnsi="仿宋" w:eastAsia="仿宋"/>
                <w:sz w:val="24"/>
                <w:szCs w:val="24"/>
              </w:rPr>
              <w:t>选定询价方</w:t>
            </w:r>
          </w:p>
        </w:tc>
        <w:tc>
          <w:tcPr>
            <w:tcW w:w="1709" w:type="dxa"/>
            <w:vAlign w:val="center"/>
          </w:tcPr>
          <w:p>
            <w:pPr>
              <w:jc w:val="center"/>
              <w:rPr>
                <w:rFonts w:ascii="仿宋" w:hAnsi="仿宋" w:eastAsia="仿宋"/>
                <w:sz w:val="24"/>
                <w:szCs w:val="24"/>
              </w:rPr>
            </w:pPr>
            <w:r>
              <w:rPr>
                <w:rFonts w:hint="eastAsia" w:ascii="仿宋" w:hAnsi="仿宋" w:eastAsia="仿宋"/>
                <w:sz w:val="24"/>
                <w:szCs w:val="24"/>
              </w:rPr>
              <w:t>指定对手方</w:t>
            </w:r>
          </w:p>
        </w:tc>
        <w:tc>
          <w:tcPr>
            <w:tcW w:w="2301" w:type="dxa"/>
            <w:gridSpan w:val="2"/>
            <w:vAlign w:val="center"/>
          </w:tcPr>
          <w:p>
            <w:pPr>
              <w:jc w:val="center"/>
              <w:rPr>
                <w:rFonts w:ascii="仿宋" w:hAnsi="仿宋" w:eastAsia="仿宋"/>
                <w:sz w:val="24"/>
                <w:szCs w:val="24"/>
              </w:rPr>
            </w:pPr>
            <w:r>
              <w:rPr>
                <w:rFonts w:hint="eastAsia" w:ascii="仿宋" w:hAnsi="仿宋" w:eastAsia="仿宋"/>
                <w:sz w:val="24"/>
                <w:szCs w:val="24"/>
              </w:rPr>
              <w:t>全市场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交易对手范围</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不支持设置</w:t>
            </w:r>
          </w:p>
        </w:tc>
        <w:tc>
          <w:tcPr>
            <w:tcW w:w="6946" w:type="dxa"/>
            <w:gridSpan w:val="5"/>
            <w:vAlign w:val="center"/>
          </w:tcPr>
          <w:p>
            <w:pPr>
              <w:jc w:val="center"/>
              <w:rPr>
                <w:rFonts w:ascii="仿宋" w:hAnsi="仿宋" w:eastAsia="仿宋"/>
                <w:sz w:val="24"/>
                <w:szCs w:val="24"/>
              </w:rPr>
            </w:pPr>
            <w:r>
              <w:rPr>
                <w:rFonts w:hint="eastAsia" w:ascii="仿宋" w:hAnsi="仿宋" w:eastAsia="仿宋"/>
                <w:sz w:val="24"/>
                <w:szCs w:val="24"/>
              </w:rPr>
              <w:t>采用逐笔全额结算方式的，债券交易参与人可以设置债券交易对手范围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停牌情形处理</w:t>
            </w:r>
          </w:p>
        </w:tc>
        <w:tc>
          <w:tcPr>
            <w:tcW w:w="1842" w:type="dxa"/>
            <w:vAlign w:val="center"/>
          </w:tcPr>
          <w:p>
            <w:pPr>
              <w:jc w:val="left"/>
              <w:rPr>
                <w:rFonts w:ascii="仿宋" w:hAnsi="仿宋" w:eastAsia="仿宋"/>
                <w:sz w:val="24"/>
                <w:szCs w:val="24"/>
              </w:rPr>
            </w:pPr>
            <w:r>
              <w:rPr>
                <w:rFonts w:hint="eastAsia" w:ascii="仿宋" w:hAnsi="仿宋" w:eastAsia="仿宋"/>
                <w:b/>
                <w:bCs/>
                <w:sz w:val="24"/>
                <w:szCs w:val="24"/>
              </w:rPr>
              <w:t>全天停牌：</w:t>
            </w:r>
            <w:r>
              <w:rPr>
                <w:rFonts w:hint="eastAsia" w:ascii="仿宋" w:hAnsi="仿宋" w:eastAsia="仿宋"/>
                <w:sz w:val="24"/>
                <w:szCs w:val="24"/>
              </w:rPr>
              <w:t>不接受交易申报；</w:t>
            </w:r>
          </w:p>
          <w:p>
            <w:pPr>
              <w:jc w:val="center"/>
              <w:rPr>
                <w:rFonts w:ascii="仿宋" w:hAnsi="仿宋" w:eastAsia="仿宋"/>
                <w:sz w:val="24"/>
                <w:szCs w:val="24"/>
              </w:rPr>
            </w:pPr>
            <w:r>
              <w:rPr>
                <w:rFonts w:hint="eastAsia" w:ascii="仿宋" w:hAnsi="仿宋" w:eastAsia="仿宋"/>
                <w:b/>
                <w:bCs/>
                <w:sz w:val="24"/>
                <w:szCs w:val="24"/>
              </w:rPr>
              <w:t>临时停牌：</w:t>
            </w:r>
            <w:r>
              <w:rPr>
                <w:rFonts w:hint="eastAsia" w:ascii="仿宋" w:hAnsi="仿宋" w:eastAsia="仿宋"/>
                <w:sz w:val="24"/>
                <w:szCs w:val="24"/>
              </w:rPr>
              <w:t>可以申报或撤销申报</w:t>
            </w:r>
          </w:p>
        </w:tc>
        <w:tc>
          <w:tcPr>
            <w:tcW w:w="4645" w:type="dxa"/>
            <w:gridSpan w:val="3"/>
            <w:vAlign w:val="center"/>
          </w:tcPr>
          <w:p>
            <w:pPr>
              <w:jc w:val="left"/>
              <w:rPr>
                <w:rFonts w:ascii="仿宋" w:hAnsi="仿宋" w:eastAsia="仿宋"/>
                <w:b/>
                <w:bCs/>
                <w:sz w:val="24"/>
                <w:szCs w:val="24"/>
              </w:rPr>
            </w:pPr>
            <w:r>
              <w:rPr>
                <w:rFonts w:hint="eastAsia" w:ascii="仿宋" w:hAnsi="仿宋" w:eastAsia="仿宋"/>
                <w:b/>
                <w:bCs/>
                <w:sz w:val="24"/>
                <w:szCs w:val="24"/>
              </w:rPr>
              <w:t>全天停牌：</w:t>
            </w:r>
            <w:r>
              <w:rPr>
                <w:rFonts w:hint="eastAsia" w:ascii="仿宋" w:hAnsi="仿宋" w:eastAsia="仿宋"/>
                <w:sz w:val="24"/>
                <w:szCs w:val="24"/>
              </w:rPr>
              <w:t>不接受交易申报；</w:t>
            </w:r>
          </w:p>
          <w:p>
            <w:pPr>
              <w:jc w:val="left"/>
              <w:rPr>
                <w:rFonts w:ascii="仿宋" w:hAnsi="仿宋" w:eastAsia="仿宋"/>
                <w:b/>
                <w:bCs/>
                <w:sz w:val="24"/>
                <w:szCs w:val="24"/>
              </w:rPr>
            </w:pPr>
            <w:r>
              <w:rPr>
                <w:rFonts w:hint="eastAsia" w:ascii="仿宋" w:hAnsi="仿宋" w:eastAsia="仿宋"/>
                <w:b/>
                <w:bCs/>
                <w:sz w:val="24"/>
                <w:szCs w:val="24"/>
              </w:rPr>
              <w:t>临时停牌：</w:t>
            </w:r>
            <w:r>
              <w:rPr>
                <w:rFonts w:hint="eastAsia" w:ascii="仿宋" w:hAnsi="仿宋" w:eastAsia="仿宋"/>
                <w:sz w:val="24"/>
                <w:szCs w:val="24"/>
              </w:rPr>
              <w:t>不接受交易申报，但接受符合条要求的撤销申报</w:t>
            </w:r>
          </w:p>
        </w:tc>
        <w:tc>
          <w:tcPr>
            <w:tcW w:w="2301" w:type="dxa"/>
            <w:gridSpan w:val="2"/>
            <w:vAlign w:val="center"/>
          </w:tcPr>
          <w:p>
            <w:pPr>
              <w:jc w:val="left"/>
              <w:rPr>
                <w:rFonts w:ascii="仿宋" w:hAnsi="仿宋" w:eastAsia="仿宋"/>
                <w:sz w:val="24"/>
                <w:szCs w:val="24"/>
              </w:rPr>
            </w:pPr>
            <w:r>
              <w:rPr>
                <w:rFonts w:hint="eastAsia" w:ascii="仿宋" w:hAnsi="仿宋" w:eastAsia="仿宋"/>
                <w:b/>
                <w:bCs/>
                <w:sz w:val="24"/>
                <w:szCs w:val="24"/>
              </w:rPr>
              <w:t>全天停牌：</w:t>
            </w:r>
            <w:r>
              <w:rPr>
                <w:rFonts w:hint="eastAsia" w:ascii="仿宋" w:hAnsi="仿宋" w:eastAsia="仿宋"/>
                <w:bCs/>
                <w:sz w:val="24"/>
                <w:szCs w:val="24"/>
              </w:rPr>
              <w:t>仅</w:t>
            </w:r>
            <w:r>
              <w:rPr>
                <w:rFonts w:hint="eastAsia" w:ascii="仿宋" w:hAnsi="仿宋" w:eastAsia="仿宋"/>
                <w:sz w:val="24"/>
                <w:szCs w:val="24"/>
              </w:rPr>
              <w:t>可进行竞买预约以及撤销；</w:t>
            </w:r>
          </w:p>
          <w:p>
            <w:pPr>
              <w:jc w:val="left"/>
              <w:rPr>
                <w:rFonts w:ascii="仿宋" w:hAnsi="仿宋" w:eastAsia="仿宋"/>
                <w:sz w:val="24"/>
                <w:szCs w:val="24"/>
              </w:rPr>
            </w:pPr>
            <w:r>
              <w:rPr>
                <w:rFonts w:hint="eastAsia" w:ascii="仿宋" w:hAnsi="仿宋" w:eastAsia="仿宋"/>
                <w:b/>
                <w:bCs/>
                <w:sz w:val="24"/>
                <w:szCs w:val="24"/>
              </w:rPr>
              <w:t>临时停牌：</w:t>
            </w:r>
            <w:r>
              <w:rPr>
                <w:rFonts w:hint="eastAsia" w:ascii="仿宋" w:hAnsi="仿宋" w:eastAsia="仿宋"/>
                <w:sz w:val="24"/>
                <w:szCs w:val="24"/>
              </w:rPr>
              <w:t>若竞买时间内停牌则取消本场竞买;可以进行竞买预约以及撤销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价格最小变动单位</w:t>
            </w:r>
          </w:p>
        </w:tc>
        <w:tc>
          <w:tcPr>
            <w:tcW w:w="1842" w:type="dxa"/>
            <w:vAlign w:val="center"/>
          </w:tcPr>
          <w:p>
            <w:pPr>
              <w:jc w:val="center"/>
              <w:rPr>
                <w:rFonts w:ascii="仿宋" w:hAnsi="仿宋" w:eastAsia="仿宋"/>
                <w:sz w:val="24"/>
                <w:szCs w:val="24"/>
              </w:rPr>
            </w:pPr>
            <w:r>
              <w:rPr>
                <w:rFonts w:ascii="仿宋" w:hAnsi="仿宋" w:eastAsia="仿宋"/>
                <w:sz w:val="24"/>
                <w:szCs w:val="24"/>
              </w:rPr>
              <w:t>0.001元</w:t>
            </w:r>
          </w:p>
        </w:tc>
        <w:tc>
          <w:tcPr>
            <w:tcW w:w="6946" w:type="dxa"/>
            <w:gridSpan w:val="5"/>
            <w:vAlign w:val="center"/>
          </w:tcPr>
          <w:p>
            <w:pPr>
              <w:jc w:val="center"/>
              <w:rPr>
                <w:rFonts w:ascii="仿宋" w:hAnsi="仿宋" w:eastAsia="仿宋"/>
                <w:sz w:val="24"/>
                <w:szCs w:val="24"/>
              </w:rPr>
            </w:pPr>
            <w:r>
              <w:rPr>
                <w:rFonts w:ascii="仿宋" w:hAnsi="仿宋" w:eastAsia="仿宋"/>
                <w:sz w:val="24"/>
                <w:szCs w:val="24"/>
              </w:rPr>
              <w:t>0.0001元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有效申报价格范围</w:t>
            </w:r>
          </w:p>
        </w:tc>
        <w:tc>
          <w:tcPr>
            <w:tcW w:w="1842" w:type="dxa"/>
            <w:vAlign w:val="center"/>
          </w:tcPr>
          <w:p>
            <w:pPr>
              <w:rPr>
                <w:rFonts w:ascii="仿宋" w:hAnsi="仿宋" w:eastAsia="仿宋"/>
                <w:bCs/>
                <w:sz w:val="24"/>
                <w:szCs w:val="24"/>
              </w:rPr>
            </w:pPr>
            <w:r>
              <w:rPr>
                <w:rFonts w:hint="eastAsia" w:ascii="仿宋" w:hAnsi="仿宋" w:eastAsia="仿宋"/>
                <w:b/>
                <w:sz w:val="24"/>
                <w:szCs w:val="24"/>
              </w:rPr>
              <w:t>开盘集合匹配：</w:t>
            </w:r>
            <w:r>
              <w:rPr>
                <w:rFonts w:hint="eastAsia" w:ascii="仿宋" w:hAnsi="仿宋" w:eastAsia="仿宋"/>
                <w:sz w:val="24"/>
                <w:szCs w:val="24"/>
              </w:rPr>
              <w:t>前收盘价上下</w:t>
            </w:r>
            <w:r>
              <w:rPr>
                <w:rFonts w:ascii="仿宋" w:hAnsi="仿宋" w:eastAsia="仿宋"/>
                <w:bCs/>
                <w:sz w:val="24"/>
                <w:szCs w:val="24"/>
              </w:rPr>
              <w:t>30%；</w:t>
            </w:r>
          </w:p>
          <w:p>
            <w:pPr>
              <w:rPr>
                <w:rFonts w:ascii="仿宋" w:hAnsi="仿宋" w:eastAsia="仿宋"/>
                <w:sz w:val="24"/>
                <w:szCs w:val="24"/>
              </w:rPr>
            </w:pPr>
            <w:r>
              <w:rPr>
                <w:rFonts w:hint="eastAsia" w:ascii="仿宋" w:hAnsi="仿宋" w:eastAsia="仿宋"/>
                <w:b/>
                <w:bCs/>
                <w:sz w:val="24"/>
                <w:szCs w:val="24"/>
              </w:rPr>
              <w:t>连续匹配、复牌集合匹配</w:t>
            </w:r>
            <w:r>
              <w:rPr>
                <w:rFonts w:hint="eastAsia" w:ascii="仿宋" w:hAnsi="仿宋" w:eastAsia="仿宋"/>
                <w:bCs/>
                <w:sz w:val="24"/>
                <w:szCs w:val="24"/>
              </w:rPr>
              <w:t>：利率</w:t>
            </w:r>
            <w:r>
              <w:rPr>
                <w:rFonts w:hint="eastAsia" w:ascii="仿宋" w:hAnsi="仿宋" w:eastAsia="仿宋"/>
                <w:sz w:val="24"/>
                <w:szCs w:val="24"/>
              </w:rPr>
              <w:t>债为匹配成交最近成交价上下</w:t>
            </w:r>
            <w:r>
              <w:rPr>
                <w:rFonts w:ascii="仿宋" w:hAnsi="仿宋" w:eastAsia="仿宋"/>
                <w:sz w:val="24"/>
                <w:szCs w:val="24"/>
              </w:rPr>
              <w:t>10%，其他债券为匹配成交最近成交价上下20%</w:t>
            </w:r>
          </w:p>
        </w:tc>
        <w:tc>
          <w:tcPr>
            <w:tcW w:w="6946" w:type="dxa"/>
            <w:gridSpan w:val="5"/>
            <w:vAlign w:val="center"/>
          </w:tcPr>
          <w:p>
            <w:pPr>
              <w:rPr>
                <w:rFonts w:ascii="仿宋" w:hAnsi="仿宋" w:eastAsia="仿宋"/>
                <w:sz w:val="24"/>
                <w:szCs w:val="24"/>
              </w:rPr>
            </w:pPr>
            <w:r>
              <w:rPr>
                <w:rFonts w:hint="eastAsia" w:ascii="仿宋" w:hAnsi="仿宋" w:eastAsia="仿宋"/>
                <w:sz w:val="24"/>
                <w:szCs w:val="24"/>
              </w:rPr>
              <w:t>不设置有效申报价格范围，超过估值一定幅度的需进行交易价格偏离报备，具体安排详见本指南第五章相关规定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交易解除</w:t>
            </w:r>
          </w:p>
        </w:tc>
        <w:tc>
          <w:tcPr>
            <w:tcW w:w="1842" w:type="dxa"/>
            <w:vAlign w:val="center"/>
          </w:tcPr>
          <w:p>
            <w:pPr>
              <w:jc w:val="center"/>
              <w:rPr>
                <w:rFonts w:ascii="仿宋" w:hAnsi="仿宋" w:eastAsia="仿宋"/>
                <w:sz w:val="24"/>
                <w:szCs w:val="24"/>
              </w:rPr>
            </w:pPr>
            <w:r>
              <w:rPr>
                <w:rFonts w:hint="eastAsia" w:ascii="仿宋" w:hAnsi="仿宋" w:eastAsia="仿宋"/>
                <w:sz w:val="24"/>
                <w:szCs w:val="24"/>
              </w:rPr>
              <w:t>不支持</w:t>
            </w:r>
          </w:p>
        </w:tc>
        <w:tc>
          <w:tcPr>
            <w:tcW w:w="4678" w:type="dxa"/>
            <w:gridSpan w:val="4"/>
            <w:vAlign w:val="center"/>
          </w:tcPr>
          <w:p>
            <w:pPr>
              <w:rPr>
                <w:rFonts w:ascii="仿宋" w:hAnsi="仿宋" w:eastAsia="仿宋"/>
                <w:sz w:val="24"/>
                <w:szCs w:val="24"/>
              </w:rPr>
            </w:pPr>
            <w:r>
              <w:rPr>
                <w:rFonts w:hint="eastAsia" w:ascii="仿宋" w:hAnsi="仿宋" w:eastAsia="仿宋"/>
                <w:sz w:val="24"/>
                <w:szCs w:val="24"/>
              </w:rPr>
              <w:t>采用点击成交、询价成交、协商成交方式并以逐笔全额结算方式结算，符合《债券交易规则》第</w:t>
            </w:r>
            <w:r>
              <w:rPr>
                <w:rFonts w:ascii="仿宋" w:hAnsi="仿宋" w:eastAsia="仿宋"/>
                <w:sz w:val="24"/>
                <w:szCs w:val="24"/>
              </w:rPr>
              <w:t>3.4.3条第二款</w:t>
            </w:r>
            <w:r>
              <w:rPr>
                <w:rFonts w:hint="eastAsia" w:ascii="仿宋" w:hAnsi="仿宋" w:eastAsia="仿宋"/>
                <w:sz w:val="24"/>
                <w:szCs w:val="24"/>
              </w:rPr>
              <w:t>规定的，可以解除相关交易</w:t>
            </w:r>
          </w:p>
        </w:tc>
        <w:tc>
          <w:tcPr>
            <w:tcW w:w="2268" w:type="dxa"/>
            <w:vAlign w:val="center"/>
          </w:tcPr>
          <w:p>
            <w:pPr>
              <w:jc w:val="center"/>
              <w:rPr>
                <w:rFonts w:ascii="仿宋" w:hAnsi="仿宋" w:eastAsia="仿宋"/>
                <w:sz w:val="24"/>
                <w:szCs w:val="24"/>
              </w:rPr>
            </w:pPr>
            <w:r>
              <w:rPr>
                <w:rFonts w:hint="eastAsia" w:ascii="仿宋" w:hAnsi="仿宋" w:eastAsia="仿宋"/>
                <w:sz w:val="24"/>
                <w:szCs w:val="24"/>
              </w:rPr>
              <w:t>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19" w:type="dxa"/>
            <w:vAlign w:val="center"/>
          </w:tcPr>
          <w:p>
            <w:pPr>
              <w:jc w:val="center"/>
              <w:rPr>
                <w:rFonts w:ascii="仿宋" w:hAnsi="仿宋" w:eastAsia="仿宋"/>
                <w:b/>
                <w:bCs/>
                <w:sz w:val="24"/>
                <w:szCs w:val="24"/>
              </w:rPr>
            </w:pPr>
            <w:r>
              <w:rPr>
                <w:rFonts w:hint="eastAsia" w:ascii="仿宋" w:hAnsi="仿宋" w:eastAsia="仿宋"/>
                <w:b/>
                <w:bCs/>
                <w:sz w:val="24"/>
                <w:szCs w:val="24"/>
              </w:rPr>
              <w:t>计价方式</w:t>
            </w:r>
          </w:p>
        </w:tc>
        <w:tc>
          <w:tcPr>
            <w:tcW w:w="8788" w:type="dxa"/>
            <w:gridSpan w:val="6"/>
            <w:vAlign w:val="center"/>
          </w:tcPr>
          <w:p>
            <w:pPr>
              <w:rPr>
                <w:rFonts w:ascii="仿宋" w:hAnsi="仿宋" w:eastAsia="仿宋"/>
                <w:sz w:val="24"/>
                <w:szCs w:val="24"/>
              </w:rPr>
            </w:pPr>
            <w:r>
              <w:rPr>
                <w:rFonts w:hint="eastAsia" w:ascii="仿宋" w:hAnsi="仿宋" w:eastAsia="仿宋"/>
                <w:sz w:val="24"/>
                <w:szCs w:val="24"/>
              </w:rPr>
              <w:t>除次级资产支持证券以及特定债券外，债券现券交易均采用净价价格进行申报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19" w:type="dxa"/>
            <w:vAlign w:val="center"/>
          </w:tcPr>
          <w:p>
            <w:pPr>
              <w:jc w:val="center"/>
              <w:rPr>
                <w:rFonts w:ascii="仿宋" w:hAnsi="仿宋" w:eastAsia="仿宋"/>
                <w:sz w:val="24"/>
                <w:szCs w:val="24"/>
              </w:rPr>
            </w:pPr>
            <w:r>
              <w:rPr>
                <w:rFonts w:hint="eastAsia" w:ascii="仿宋" w:hAnsi="仿宋" w:eastAsia="仿宋"/>
                <w:b/>
                <w:bCs/>
                <w:sz w:val="24"/>
                <w:szCs w:val="24"/>
              </w:rPr>
              <w:t>单笔最大申报数量</w:t>
            </w:r>
          </w:p>
        </w:tc>
        <w:tc>
          <w:tcPr>
            <w:tcW w:w="8788" w:type="dxa"/>
            <w:gridSpan w:val="6"/>
            <w:vAlign w:val="center"/>
          </w:tcPr>
          <w:p>
            <w:pPr>
              <w:jc w:val="center"/>
              <w:rPr>
                <w:rFonts w:ascii="仿宋" w:hAnsi="仿宋" w:eastAsia="仿宋"/>
                <w:sz w:val="24"/>
                <w:szCs w:val="24"/>
              </w:rPr>
            </w:pPr>
            <w:r>
              <w:rPr>
                <w:rFonts w:hint="eastAsia" w:ascii="仿宋" w:hAnsi="仿宋" w:eastAsia="仿宋"/>
                <w:sz w:val="24"/>
                <w:szCs w:val="24"/>
              </w:rPr>
              <w:t>不超过</w:t>
            </w:r>
            <w:r>
              <w:rPr>
                <w:rFonts w:ascii="仿宋" w:hAnsi="仿宋" w:eastAsia="仿宋"/>
                <w:sz w:val="24"/>
                <w:szCs w:val="24"/>
              </w:rPr>
              <w:t>100亿元面额</w:t>
            </w:r>
          </w:p>
        </w:tc>
      </w:tr>
    </w:tbl>
    <w:p>
      <w:pPr>
        <w:ind w:firstLine="440"/>
        <w:jc w:val="left"/>
        <w:rPr>
          <w:rFonts w:ascii="仿宋" w:hAnsi="仿宋" w:eastAsia="仿宋"/>
          <w:sz w:val="22"/>
        </w:rPr>
      </w:pPr>
      <w:r>
        <w:rPr>
          <w:rFonts w:hint="eastAsia" w:ascii="仿宋" w:hAnsi="仿宋" w:eastAsia="仿宋"/>
          <w:sz w:val="22"/>
        </w:rPr>
        <w:t>注：①</w:t>
      </w:r>
      <w:r>
        <w:rPr>
          <w:rFonts w:ascii="仿宋" w:hAnsi="仿宋" w:eastAsia="仿宋"/>
          <w:sz w:val="22"/>
        </w:rPr>
        <w:t>“面额”均指发行面额</w:t>
      </w:r>
      <w:r>
        <w:rPr>
          <w:rFonts w:hint="eastAsia" w:ascii="仿宋" w:hAnsi="仿宋" w:eastAsia="仿宋"/>
          <w:sz w:val="22"/>
        </w:rPr>
        <w:t>。</w:t>
      </w:r>
    </w:p>
    <w:p>
      <w:pPr>
        <w:ind w:firstLine="880" w:firstLineChars="400"/>
        <w:rPr>
          <w:rFonts w:ascii="仿宋" w:hAnsi="仿宋" w:eastAsia="仿宋"/>
          <w:sz w:val="22"/>
        </w:rPr>
      </w:pPr>
      <w:r>
        <w:rPr>
          <w:rFonts w:hint="eastAsia" w:ascii="仿宋" w:hAnsi="仿宋" w:eastAsia="仿宋"/>
          <w:sz w:val="22"/>
        </w:rPr>
        <w:t>②</w:t>
      </w:r>
      <w:r>
        <w:rPr>
          <w:rFonts w:ascii="仿宋" w:hAnsi="仿宋" w:eastAsia="仿宋"/>
          <w:sz w:val="22"/>
        </w:rPr>
        <w:t>特定债券交易特殊安排</w:t>
      </w:r>
      <w:r>
        <w:rPr>
          <w:rFonts w:hint="eastAsia" w:ascii="仿宋" w:hAnsi="仿宋" w:eastAsia="仿宋"/>
          <w:sz w:val="22"/>
        </w:rPr>
        <w:t>详见《深圳证券交易所中国证券登记结算有限责任公司关于完善为上市期间特定债券提供转让服务有关事项的通知》等特定债券相关业务通知。</w:t>
      </w:r>
    </w:p>
    <w:p>
      <w:pPr>
        <w:ind w:firstLine="450"/>
        <w:rPr>
          <w:rFonts w:ascii="仿宋" w:hAnsi="仿宋" w:eastAsia="仿宋"/>
          <w:sz w:val="22"/>
        </w:rPr>
      </w:pPr>
      <w:r>
        <w:rPr>
          <w:rFonts w:hint="eastAsia" w:ascii="仿宋" w:hAnsi="仿宋" w:eastAsia="仿宋"/>
          <w:sz w:val="22"/>
        </w:rPr>
        <w:t xml:space="preserve">  </w:t>
      </w:r>
      <w:r>
        <w:rPr>
          <w:rFonts w:ascii="仿宋" w:hAnsi="仿宋" w:eastAsia="仿宋"/>
          <w:sz w:val="22"/>
        </w:rPr>
        <w:t xml:space="preserve"> </w:t>
      </w:r>
      <w:r>
        <w:rPr>
          <w:rFonts w:hint="eastAsia" w:ascii="仿宋" w:hAnsi="仿宋" w:eastAsia="仿宋"/>
          <w:sz w:val="22"/>
        </w:rPr>
        <w:t xml:space="preserve"> ③《深圳证券交易所公司债券上市规则（2022年修订）》施行前（即2022年4月22日之前）已上市并仅采用大宗交易方式的公开发行公司债券，可以采用点击成交、询价成交、竞买成交以及协商成交交易方式；非公开发行债券以及资产支持证券的现券交易可采用点击成交、询价成交、竞买成交以及协商成交交易方式。</w:t>
      </w:r>
    </w:p>
    <w:p>
      <w:pPr>
        <w:ind w:firstLine="450"/>
        <w:rPr>
          <w:rFonts w:ascii="仿宋" w:hAnsi="仿宋" w:eastAsia="仿宋"/>
          <w:sz w:val="22"/>
        </w:rPr>
      </w:pPr>
      <w:r>
        <w:rPr>
          <w:rFonts w:hint="eastAsia" w:ascii="仿宋" w:hAnsi="仿宋" w:eastAsia="仿宋"/>
          <w:sz w:val="22"/>
        </w:rPr>
        <w:t xml:space="preserve">    ④不支持匹配成交的公开发行债券（即交易方式仅支持点击成交、询价成交、竞买成交以及协商成交交易方式的公开发行债券），仅支持逐笔全额结算方式。</w:t>
      </w:r>
    </w:p>
    <w:p>
      <w:pPr>
        <w:ind w:firstLine="450"/>
        <w:rPr>
          <w:rFonts w:ascii="仿宋" w:hAnsi="仿宋" w:eastAsia="仿宋"/>
          <w:sz w:val="22"/>
        </w:rPr>
      </w:pPr>
      <w:r>
        <w:rPr>
          <w:rFonts w:hint="eastAsia" w:ascii="仿宋" w:hAnsi="仿宋" w:eastAsia="仿宋"/>
          <w:sz w:val="22"/>
        </w:rPr>
        <w:t xml:space="preserve">    ⑤投资者可以通过本所官网固定收益信息平台</w:t>
      </w:r>
      <w:r>
        <w:rPr>
          <w:rFonts w:ascii="仿宋" w:hAnsi="仿宋" w:eastAsia="仿宋"/>
          <w:sz w:val="22"/>
        </w:rPr>
        <w:t>(</w:t>
      </w:r>
      <w:r>
        <w:fldChar w:fldCharType="begin"/>
      </w:r>
      <w:r>
        <w:instrText xml:space="preserve"> HYPERLINK "http://bond.szse.cn" </w:instrText>
      </w:r>
      <w:r>
        <w:fldChar w:fldCharType="separate"/>
      </w:r>
      <w:r>
        <w:rPr>
          <w:rFonts w:ascii="Times New Roman" w:hAnsi="Times New Roman" w:eastAsia="仿宋" w:cs="Times New Roman"/>
          <w:sz w:val="22"/>
        </w:rPr>
        <w:t>http://bond.szse.cn</w:t>
      </w:r>
      <w:r>
        <w:rPr>
          <w:rFonts w:ascii="Times New Roman" w:hAnsi="Times New Roman" w:eastAsia="仿宋" w:cs="Times New Roman"/>
          <w:sz w:val="22"/>
        </w:rPr>
        <w:fldChar w:fldCharType="end"/>
      </w:r>
      <w:r>
        <w:rPr>
          <w:rFonts w:ascii="仿宋" w:hAnsi="仿宋" w:eastAsia="仿宋"/>
          <w:sz w:val="22"/>
        </w:rPr>
        <w:t>)</w:t>
      </w:r>
      <w:r>
        <w:rPr>
          <w:rFonts w:hint="eastAsia" w:ascii="仿宋" w:hAnsi="仿宋" w:eastAsia="仿宋"/>
          <w:sz w:val="22"/>
        </w:rPr>
        <w:t>“</w:t>
      </w:r>
      <w:r>
        <w:rPr>
          <w:rFonts w:ascii="仿宋" w:hAnsi="仿宋" w:eastAsia="仿宋"/>
          <w:sz w:val="22"/>
        </w:rPr>
        <w:t>信息披露/产品基本信息</w:t>
      </w:r>
      <w:r>
        <w:rPr>
          <w:rFonts w:hint="eastAsia" w:ascii="仿宋" w:hAnsi="仿宋" w:eastAsia="仿宋"/>
          <w:sz w:val="22"/>
        </w:rPr>
        <w:t>”</w:t>
      </w:r>
      <w:r>
        <w:rPr>
          <w:rFonts w:ascii="仿宋" w:hAnsi="仿宋" w:eastAsia="仿宋"/>
          <w:sz w:val="22"/>
        </w:rPr>
        <w:t>栏目</w:t>
      </w:r>
      <w:r>
        <w:rPr>
          <w:rFonts w:hint="eastAsia" w:ascii="仿宋" w:hAnsi="仿宋" w:eastAsia="仿宋"/>
          <w:sz w:val="22"/>
        </w:rPr>
        <w:t>下的</w:t>
      </w:r>
      <w:r>
        <w:rPr>
          <w:rFonts w:ascii="仿宋" w:hAnsi="仿宋" w:eastAsia="仿宋"/>
          <w:sz w:val="22"/>
        </w:rPr>
        <w:t>“</w:t>
      </w:r>
      <w:r>
        <w:rPr>
          <w:rFonts w:hint="eastAsia" w:ascii="仿宋" w:hAnsi="仿宋" w:eastAsia="仿宋"/>
          <w:sz w:val="22"/>
        </w:rPr>
        <w:t>交易方式</w:t>
      </w:r>
      <w:r>
        <w:rPr>
          <w:rFonts w:ascii="仿宋" w:hAnsi="仿宋" w:eastAsia="仿宋"/>
          <w:sz w:val="22"/>
        </w:rPr>
        <w:t>”</w:t>
      </w:r>
      <w:r>
        <w:rPr>
          <w:rFonts w:hint="eastAsia" w:ascii="仿宋" w:hAnsi="仿宋" w:eastAsia="仿宋"/>
          <w:sz w:val="22"/>
        </w:rPr>
        <w:t>以及“是否可担保”</w:t>
      </w:r>
      <w:r>
        <w:rPr>
          <w:rFonts w:ascii="仿宋" w:hAnsi="仿宋" w:eastAsia="仿宋"/>
          <w:sz w:val="22"/>
        </w:rPr>
        <w:t>列</w:t>
      </w:r>
      <w:r>
        <w:rPr>
          <w:rFonts w:hint="eastAsia" w:ascii="仿宋" w:hAnsi="仿宋" w:eastAsia="仿宋"/>
          <w:sz w:val="22"/>
        </w:rPr>
        <w:t>查询相关债券支持的交易方式以及结算方式。</w:t>
      </w:r>
    </w:p>
    <w:p>
      <w:pPr>
        <w:ind w:firstLine="450"/>
      </w:pPr>
    </w:p>
    <w:p>
      <w:pPr>
        <w:pStyle w:val="4"/>
        <w:keepNext w:val="0"/>
        <w:keepLines w:val="0"/>
        <w:spacing w:before="0" w:after="0" w:line="560" w:lineRule="exact"/>
        <w:ind w:firstLine="640" w:firstLineChars="200"/>
        <w:rPr>
          <w:rFonts w:ascii="楷体" w:hAnsi="楷体" w:eastAsia="楷体" w:cs="Times New Roman"/>
          <w:b w:val="0"/>
        </w:rPr>
      </w:pPr>
      <w:bookmarkStart w:id="192" w:name="_Toc123809378"/>
      <w:bookmarkStart w:id="193" w:name="_Toc4757"/>
      <w:bookmarkStart w:id="194" w:name="_Toc10244"/>
      <w:bookmarkStart w:id="195" w:name="_Toc11805"/>
      <w:bookmarkStart w:id="196" w:name="_Toc18736"/>
      <w:bookmarkStart w:id="197" w:name="_Toc8226"/>
      <w:bookmarkStart w:id="198" w:name="_Toc6809"/>
      <w:r>
        <w:rPr>
          <w:rFonts w:ascii="楷体" w:hAnsi="楷体" w:eastAsia="楷体" w:cs="Times New Roman"/>
          <w:b w:val="0"/>
        </w:rPr>
        <w:t>（一）</w:t>
      </w:r>
      <w:r>
        <w:rPr>
          <w:rFonts w:hint="eastAsia" w:ascii="楷体" w:hAnsi="楷体" w:eastAsia="楷体" w:cs="Times New Roman"/>
          <w:b w:val="0"/>
        </w:rPr>
        <w:t>匹配成交</w:t>
      </w:r>
      <w:bookmarkEnd w:id="192"/>
      <w:bookmarkEnd w:id="193"/>
      <w:bookmarkEnd w:id="194"/>
      <w:bookmarkEnd w:id="195"/>
      <w:bookmarkEnd w:id="196"/>
      <w:bookmarkEnd w:id="197"/>
      <w:bookmarkEnd w:id="198"/>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匹配成交是指交易系统按价格优先、时间优先的原则和《债券交易规则》相关规定，对债券交易申报自动匹配成交的交易方式。匹配成交方式可以采用限价申报或者本所认可的其他申报类型，不可以采用市价申报。限价申报按照优于或者等于限定的价格进行交易。</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1．申报要素以及信息</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匹配成交申报要素以及信息包括证券账户号码、本方申报交易单元代码、证券代码、交易方向、数量、价格等。其中：“申报价格”单位为每百元面额债券的价格，最小变动单位为0.001元，且必须满足有效申报价格范围的要求，超过有效申报价格范围的申报为无效申报，交易系统将对该类申报拒单。</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2．有效申报价格范围调整安排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债券在集合匹配阶段没有达成成交的，继续交易时，按照下列方式调整有效申报价格范围：最高买入申报价高于即时行情显示的前收盘价或者匹配成交最近成交价，以最高买入申报价为基准调整有效申报价格范围；最低卖出申报价低于即时行情显示的前收盘价或者匹配成交最近成交价，以最低卖出申报价为基准调整有效申报价格范围。</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3．申报有效期</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当日提交的匹配成交申报当日有效。匹配成交申报不能一次全部成交时，未成交的部分当日继续有效。</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4．申报撤销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每个交易日9:20至9:25的开盘集合匹配阶段，该段时间内，本所交易系统不接受匹配成交的撤销申报。除此之外，其他接受申报的时间内，未成交的申报可以撤销；部分成交的，未成交的部分可以撤销。</w:t>
      </w:r>
    </w:p>
    <w:p>
      <w:pPr>
        <w:pStyle w:val="4"/>
        <w:keepNext w:val="0"/>
        <w:keepLines w:val="0"/>
        <w:spacing w:before="0" w:after="0" w:line="560" w:lineRule="exact"/>
        <w:ind w:firstLine="640" w:firstLineChars="200"/>
        <w:rPr>
          <w:rFonts w:ascii="楷体" w:hAnsi="楷体" w:eastAsia="楷体" w:cs="Times New Roman"/>
          <w:b w:val="0"/>
        </w:rPr>
      </w:pPr>
      <w:bookmarkStart w:id="199" w:name="_Toc24358"/>
      <w:bookmarkStart w:id="200" w:name="_Toc3650"/>
      <w:bookmarkStart w:id="201" w:name="_Toc32499"/>
      <w:bookmarkStart w:id="202" w:name="_Toc4210"/>
      <w:bookmarkStart w:id="203" w:name="_Toc123809379"/>
      <w:bookmarkStart w:id="204" w:name="_Toc1867"/>
      <w:bookmarkStart w:id="205" w:name="_Toc16063"/>
      <w:r>
        <w:rPr>
          <w:rFonts w:ascii="楷体" w:hAnsi="楷体" w:eastAsia="楷体" w:cs="Times New Roman"/>
          <w:b w:val="0"/>
        </w:rPr>
        <w:t>（</w:t>
      </w:r>
      <w:r>
        <w:rPr>
          <w:rFonts w:hint="eastAsia" w:ascii="楷体" w:hAnsi="楷体" w:eastAsia="楷体" w:cs="Times New Roman"/>
          <w:b w:val="0"/>
        </w:rPr>
        <w:t>二</w:t>
      </w:r>
      <w:r>
        <w:rPr>
          <w:rFonts w:ascii="楷体" w:hAnsi="楷体" w:eastAsia="楷体" w:cs="Times New Roman"/>
          <w:b w:val="0"/>
        </w:rPr>
        <w:t>）</w:t>
      </w:r>
      <w:r>
        <w:rPr>
          <w:rFonts w:hint="eastAsia" w:ascii="楷体" w:hAnsi="楷体" w:eastAsia="楷体" w:cs="Times New Roman"/>
          <w:b w:val="0"/>
        </w:rPr>
        <w:t>点击成交</w:t>
      </w:r>
      <w:bookmarkEnd w:id="199"/>
      <w:bookmarkEnd w:id="200"/>
      <w:bookmarkEnd w:id="201"/>
      <w:bookmarkEnd w:id="202"/>
      <w:bookmarkEnd w:id="203"/>
      <w:bookmarkEnd w:id="204"/>
      <w:bookmarkEnd w:id="205"/>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点击成交是指报价方发出报价，受价方点击该报价后由交易系统确认成交的交易方式。</w:t>
      </w:r>
    </w:p>
    <w:p>
      <w:pPr>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1．报价申报要素以及信息（报价方）</w:t>
      </w:r>
    </w:p>
    <w:p>
      <w:pPr>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报价方发出报价的申报要素以及信息包括本方交易商、本方交易主体类型、本方交易主体、本方经纪客户名称（本方为机构经纪类交易主体时必须填写）、本方交易员、本方证券账户号码、本方申报交易单元代码、证券代码、交易方向、数量、价格、</w:t>
      </w:r>
      <w:r>
        <w:rPr>
          <w:rFonts w:hint="eastAsia" w:ascii="Times New Roman" w:hAnsi="Times New Roman" w:eastAsia="仿宋" w:cs="Times New Roman"/>
          <w:sz w:val="32"/>
          <w:szCs w:val="32"/>
          <w:lang w:eastAsia="zh-CN"/>
        </w:rPr>
        <w:t>全额成交</w:t>
      </w:r>
      <w:r>
        <w:rPr>
          <w:rFonts w:hint="eastAsia" w:ascii="Times New Roman" w:hAnsi="Times New Roman" w:eastAsia="仿宋" w:cs="Times New Roman"/>
          <w:sz w:val="32"/>
          <w:szCs w:val="32"/>
        </w:rPr>
        <w:t>、是否匿名和结算方式等内容。其中：</w:t>
      </w:r>
    </w:p>
    <w:p>
      <w:pPr>
        <w:spacing w:line="560" w:lineRule="exact"/>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“交易商、交易主体类型、交易主体、交易员”为投资者已报备账户信息相关内容，定义详见《深圳证券交易所债券交易业务指南第1号——账户信息报备》；</w:t>
      </w:r>
    </w:p>
    <w:p>
      <w:pPr>
        <w:spacing w:line="560" w:lineRule="exact"/>
        <w:ind w:firstLine="640" w:firstLineChars="200"/>
        <w:jc w:val="both"/>
        <w:rPr>
          <w:rFonts w:hint="eastAsia" w:ascii="Times New Roman" w:hAnsi="Times New Roman" w:eastAsia="仿宋" w:cs="Times New Roman"/>
          <w:sz w:val="32"/>
          <w:szCs w:val="32"/>
          <w:lang w:val="en-US"/>
        </w:rPr>
      </w:pP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rPr>
        <w:t>全额成交</w:t>
      </w:r>
      <w:r>
        <w:rPr>
          <w:rFonts w:hint="eastAsia" w:ascii="Times New Roman" w:hAnsi="Times New Roman" w:eastAsia="仿宋" w:cs="Times New Roman"/>
          <w:sz w:val="32"/>
          <w:szCs w:val="32"/>
          <w:lang w:val="en-US" w:eastAsia="zh-CN"/>
        </w:rPr>
        <w:t>”包括“是”和“否”两个选项。选项为“</w:t>
      </w:r>
      <w:r>
        <w:rPr>
          <w:rFonts w:hint="eastAsia" w:ascii="Times New Roman" w:hAnsi="Times New Roman" w:eastAsia="仿宋" w:cs="Times New Roman"/>
          <w:sz w:val="32"/>
          <w:szCs w:val="32"/>
          <w:lang w:val="en-US"/>
        </w:rPr>
        <w:t>是</w:t>
      </w:r>
      <w:r>
        <w:rPr>
          <w:rFonts w:hint="eastAsia" w:ascii="Times New Roman" w:hAnsi="Times New Roman" w:eastAsia="仿宋" w:cs="Times New Roman"/>
          <w:sz w:val="32"/>
          <w:szCs w:val="32"/>
          <w:lang w:val="en-US" w:eastAsia="zh-CN"/>
        </w:rPr>
        <w:t>”的，</w:t>
      </w:r>
      <w:r>
        <w:rPr>
          <w:rFonts w:hint="eastAsia" w:ascii="Times New Roman" w:hAnsi="Times New Roman" w:eastAsia="仿宋" w:cs="Times New Roman"/>
          <w:sz w:val="32"/>
          <w:szCs w:val="32"/>
          <w:lang w:val="en-US"/>
        </w:rPr>
        <w:t>相关报价仅在全部申报数量经受价方一次性点击接受的情形下方可确认成交，不接受部分成交</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选项为“否”的，接受部分成交。</w:t>
      </w:r>
    </w:p>
    <w:p>
      <w:pPr>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“是否匿名”即可选择匿名申报或者显名申报，选择显名申报的，将展示本方交易商以及本方交易主体类型等信息；无论选择匿名或显名，成交后将向成交双方展示对手方身份信息；</w:t>
      </w:r>
    </w:p>
    <w:p>
      <w:pPr>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“结算方式”即可指定采用“多边净额结算”或者“逐笔全额结算”，支持匹配成交的公开发行债券采用点击成交、询价成交、竞买成交以及协商成交方式进行现券交易申报时可以选填。</w:t>
      </w:r>
    </w:p>
    <w:p>
      <w:pPr>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2．点击申报要素以及信息（受价方）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受价方按照报价方报出交易方向的相反方向，输入拟接受的申报数量，申报要素以及信息包括本方交易商、本方交易主体类型、本方交易主体、本方经纪客户名称（本方为机构经纪类交易主体时必须填写）、本方交易员、本方证券账户号码、本方申报交易单元代码、交易方向、数量和结算方式等内容。其中，“申报数量”应当不超过报价方报价申报的数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3．申报有效期</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报价方当日提交的报价当日有效，报价不能一次性全部成交时，未成交的部分当日继续有效。</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4．申报撤销安排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交易时间内，报价方未成交的点击报价申报可以撤销，报价申报部分成交的，未成交的部分可以撤销。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5．成交原则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点击成交按受价方输入的数量，按报价方所报价格等其他申报要素以及信息成交。</w:t>
      </w:r>
    </w:p>
    <w:p>
      <w:pPr>
        <w:pStyle w:val="4"/>
        <w:keepNext w:val="0"/>
        <w:keepLines w:val="0"/>
        <w:spacing w:before="0" w:after="0" w:line="560" w:lineRule="exact"/>
        <w:ind w:firstLine="640" w:firstLineChars="200"/>
        <w:rPr>
          <w:rFonts w:ascii="楷体" w:hAnsi="楷体" w:eastAsia="楷体" w:cs="Times New Roman"/>
          <w:b w:val="0"/>
        </w:rPr>
      </w:pPr>
      <w:bookmarkStart w:id="206" w:name="_Toc123809380"/>
      <w:bookmarkStart w:id="207" w:name="_Toc13184"/>
      <w:bookmarkStart w:id="208" w:name="_Toc29358"/>
      <w:bookmarkStart w:id="209" w:name="_Toc5004"/>
      <w:bookmarkStart w:id="210" w:name="_Toc1675"/>
      <w:bookmarkStart w:id="211" w:name="_Toc8235"/>
      <w:bookmarkStart w:id="212" w:name="_Toc3084"/>
      <w:r>
        <w:rPr>
          <w:rFonts w:ascii="楷体" w:hAnsi="楷体" w:eastAsia="楷体" w:cs="Times New Roman"/>
          <w:b w:val="0"/>
        </w:rPr>
        <w:t>（</w:t>
      </w:r>
      <w:r>
        <w:rPr>
          <w:rFonts w:hint="eastAsia" w:ascii="楷体" w:hAnsi="楷体" w:eastAsia="楷体" w:cs="Times New Roman"/>
          <w:b w:val="0"/>
        </w:rPr>
        <w:t>三</w:t>
      </w:r>
      <w:r>
        <w:rPr>
          <w:rFonts w:ascii="楷体" w:hAnsi="楷体" w:eastAsia="楷体" w:cs="Times New Roman"/>
          <w:b w:val="0"/>
        </w:rPr>
        <w:t>）</w:t>
      </w:r>
      <w:r>
        <w:rPr>
          <w:rFonts w:hint="eastAsia" w:ascii="楷体" w:hAnsi="楷体" w:eastAsia="楷体" w:cs="Times New Roman"/>
          <w:b w:val="0"/>
        </w:rPr>
        <w:t>询价成交</w:t>
      </w:r>
      <w:bookmarkEnd w:id="206"/>
      <w:bookmarkEnd w:id="207"/>
      <w:bookmarkEnd w:id="208"/>
      <w:bookmarkEnd w:id="209"/>
      <w:bookmarkEnd w:id="210"/>
      <w:bookmarkEnd w:id="211"/>
      <w:bookmarkEnd w:id="212"/>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询价成交是指债券投资者作为询价方向做市商或者其他债券交易参与人发送询价请求，并选择一个或者多个询价回复确认成交的交易方式。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1．询价请求申报要素以及信息（询价方）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询价方可以向做市商或者其他债券交易参与人发送询价请求。询价请求申报要素以及信息包括本方交易商、本方交易主体类型、本方交易主体、本方经纪客户名称（本方为机构经纪类交易主体时必须填写）、本方交易员、本方证券账户号码、本方申报交易单元代码、证券代码、交易方向、数量、发送范围、是否匿名和结算方式等内容。其中：“发送范围”即询价方询价请求的发送对象，以“对手方交易商+对手方交易主体类型”为1个发送对象，至多可以选择20个不同的发送对象，不支持向全市场发布询价，询价请求仅可以指定到交易主体类型层级，不支持指定到具体的交易主体。</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2．询价回复申报要素以及信息（被询价方）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被询价方根据询价请求要素以及信息，按照询价请求交易方向的相反方向，对询价请求进行回复。询价回复的要素以及信息包括本方交易商、本方交易主体类型、本方交易主体、本方经纪客户名称（本方为机构经纪类交易主体时必须填写）、本方交易员、本方证券账户号码、本方申报交易单元代码、价格、数量和结算方式等内容。其中：“申报数量”应当不超过询价方询价请求申报数量，若被询价方的询价回复数量超过询价请求申报数量，交易系统将会撤单。</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3．询价回复确认申报要素以及信息（询价方）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询价方询价回复确认申报要素以及信息包括本方交易商、本方交易主体类型、本方交易主体、本方经纪客户名称（本方为机构经纪类交易主体时必须填写）、本方交易员、本方证券账户号码、本方申报交易单元代码以及指定询价回复组，其中，“指定询价回复组”包含询价回复编号、对应的数量、价格和结算方式等内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询价方选定的询价回复组中的债券总数量可以超过询价请求申报数量。询价方在同一笔询价请求中对多笔询价回复进行确认，还应当指定具体询价回复的成交顺序。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4．申报有效期</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当日提交的询价请求申报在2个小时内有效，跨越午间休市时间的，申报有效期顺延，申报有效期最晚不超过15：30。询价请求申报有效期满自动撤销，针对该询价的回复也随之自动撤销。若债券盘中临时停牌，询价申报有效期不顺延。</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5．申报撤销安排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询价请求申报有效期内，询价请求未成交的，询价方可以撤销其询价请求，对应的询价回复也自动撤销；被询价方也可以撤销其询价回复。询价请求选择部分对手询价回复成交的，未成交的询价回复自动撤销。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6．特殊安排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任意时点，同一交易商同一交易主体的同一个证券账户对同一证券在相同的交易方向上只能发起一笔有效的询价请求申报。同一交易商同一交易主体的同一个证券账户对同一个询价请求申报只能发起一笔有效的询价回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7．成交原则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询价方选择询价回复并确认后，交易按询价方确认的数量、价格等要素成交。在询价方账户债券足额情况下，询价方选定询价回复以及后续实际成交债券数量可以超过询价请求申报数量。</w:t>
      </w:r>
    </w:p>
    <w:p>
      <w:pPr>
        <w:pStyle w:val="4"/>
        <w:keepNext w:val="0"/>
        <w:keepLines w:val="0"/>
        <w:spacing w:before="0" w:after="0" w:line="560" w:lineRule="exact"/>
        <w:ind w:firstLine="640" w:firstLineChars="200"/>
        <w:rPr>
          <w:rFonts w:ascii="楷体" w:hAnsi="楷体" w:eastAsia="楷体" w:cs="Times New Roman"/>
          <w:b w:val="0"/>
        </w:rPr>
      </w:pPr>
      <w:bookmarkStart w:id="213" w:name="_Toc123809381"/>
      <w:bookmarkStart w:id="214" w:name="_Toc17564"/>
      <w:bookmarkStart w:id="215" w:name="_Toc14625"/>
      <w:bookmarkStart w:id="216" w:name="_Toc18146"/>
      <w:bookmarkStart w:id="217" w:name="_Toc22980"/>
      <w:bookmarkStart w:id="218" w:name="_Toc23743"/>
      <w:bookmarkStart w:id="219" w:name="_Toc22660"/>
      <w:r>
        <w:rPr>
          <w:rFonts w:ascii="楷体" w:hAnsi="楷体" w:eastAsia="楷体" w:cs="Times New Roman"/>
          <w:b w:val="0"/>
        </w:rPr>
        <w:t>（</w:t>
      </w:r>
      <w:r>
        <w:rPr>
          <w:rFonts w:hint="eastAsia" w:ascii="楷体" w:hAnsi="楷体" w:eastAsia="楷体" w:cs="Times New Roman"/>
          <w:b w:val="0"/>
        </w:rPr>
        <w:t>四</w:t>
      </w:r>
      <w:r>
        <w:rPr>
          <w:rFonts w:ascii="楷体" w:hAnsi="楷体" w:eastAsia="楷体" w:cs="Times New Roman"/>
          <w:b w:val="0"/>
        </w:rPr>
        <w:t>）</w:t>
      </w:r>
      <w:r>
        <w:rPr>
          <w:rFonts w:hint="eastAsia" w:ascii="楷体" w:hAnsi="楷体" w:eastAsia="楷体" w:cs="Times New Roman"/>
          <w:b w:val="0"/>
        </w:rPr>
        <w:t>竞买成交</w:t>
      </w:r>
      <w:bookmarkEnd w:id="213"/>
      <w:bookmarkEnd w:id="214"/>
      <w:bookmarkEnd w:id="215"/>
      <w:bookmarkEnd w:id="216"/>
      <w:bookmarkEnd w:id="217"/>
      <w:bookmarkEnd w:id="218"/>
      <w:bookmarkEnd w:id="219"/>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竞买成交是指卖方在限定的时间内按照确定的竞买成交规则，将债券出售给最优应价的单个或者多个应价方的交易方式。竞买方式包括单一主体中标、多主体</w:t>
      </w:r>
      <w:r>
        <w:rPr>
          <w:rFonts w:hint="eastAsia" w:ascii="仿宋" w:hAnsi="仿宋" w:eastAsia="仿宋"/>
          <w:color w:val="000000"/>
          <w:sz w:val="32"/>
          <w:szCs w:val="32"/>
        </w:rPr>
        <w:t>单一价格中标、</w:t>
      </w:r>
      <w:r>
        <w:rPr>
          <w:rFonts w:hint="eastAsia" w:ascii="仿宋" w:hAnsi="仿宋" w:eastAsia="仿宋" w:cs="仿宋"/>
          <w:sz w:val="32"/>
          <w:szCs w:val="32"/>
        </w:rPr>
        <w:t>多主体</w:t>
      </w:r>
      <w:r>
        <w:rPr>
          <w:rFonts w:hint="eastAsia" w:ascii="仿宋" w:hAnsi="仿宋" w:eastAsia="仿宋"/>
          <w:color w:val="000000"/>
          <w:sz w:val="32"/>
          <w:szCs w:val="32"/>
        </w:rPr>
        <w:t>多重价格中标。</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1．竞买预约申报（卖方）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（1）申报安排</w:t>
      </w:r>
    </w:p>
    <w:p>
      <w:pPr>
        <w:spacing w:line="560" w:lineRule="exact"/>
        <w:ind w:firstLine="640" w:firstLineChars="200"/>
        <w:rPr>
          <w:rFonts w:ascii="Times New Roman" w:hAnsi="Times New Roman" w:eastAsia="仿宋" w:cs="Times New Roman"/>
          <w:sz w:val="32"/>
          <w:szCs w:val="32"/>
        </w:rPr>
      </w:pPr>
      <w:r>
        <w:rPr>
          <w:rFonts w:hint="eastAsia" w:ascii="仿宋" w:hAnsi="仿宋" w:eastAsia="仿宋" w:cs="仿宋"/>
          <w:sz w:val="32"/>
          <w:szCs w:val="32"/>
        </w:rPr>
        <w:t>对于采用竞买成交方式的，至多提前5个交易日进行预约，确定竞买日；竞买日当天不可以预约。</w:t>
      </w:r>
      <w:r>
        <w:rPr>
          <w:rFonts w:hint="eastAsia" w:ascii="Times New Roman" w:hAnsi="Times New Roman" w:eastAsia="仿宋" w:cs="Times New Roman"/>
          <w:sz w:val="32"/>
          <w:szCs w:val="32"/>
        </w:rPr>
        <w:t>对于每一笔竞买预约申报，交易系统将生成唯一的竞买场次编号。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竞买预约的信息通过本所交易系统或官网</w:t>
      </w:r>
      <w:r>
        <w:rPr>
          <w:rStyle w:val="33"/>
          <w:rFonts w:ascii="Times New Roman" w:hAnsi="Times New Roman" w:eastAsia="仿宋"/>
          <w:sz w:val="32"/>
          <w:szCs w:val="32"/>
        </w:rPr>
        <w:footnoteReference w:id="6"/>
      </w:r>
      <w:r>
        <w:rPr>
          <w:rFonts w:hint="eastAsia" w:ascii="仿宋" w:hAnsi="仿宋" w:eastAsia="仿宋" w:cs="仿宋"/>
          <w:sz w:val="32"/>
          <w:szCs w:val="32"/>
        </w:rPr>
        <w:t>披露。</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（2）预约要素以及信息</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竞买预约要素以及信息包括本方交易商、本方交易主体类型、本方交易主体、本方交易员、本方经纪客户名称（本方为机构经纪类交易主体时必须填写）、本方证券账户号码、本方申报交易单元代码、证券代码、交易方向（限定为卖出）、竞买方式、数量、价格区间上限（如有）、价格区间下限、最低成交总量（如有）、是否匿名、竞买时间（即竞买日）和结算方式等内容。其中：</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“竞买方式”可选“单一主体中标”、“多主体单一价格中标”与“多主体多重价格中标”三种方式；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“价格区间下限”应当大于0，且不高于价格区间上限（如有）；</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“价格区间上限（如有）”应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不低于价格区间下限；</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“最低成交总量（如有）”仅在竞买成交方式为“多主体单一价格中标”或者“多主体多重价格中标”时必须填写，最低成交数量应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不高于申报数量；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“竞买时间”应为当前交易日的后5个交易日之一，同一证券账户针对同一证券在同一竞买日仅允许存在一笔有效竞买预约申报。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（3）申报撤销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在指定的竞买日前（不含竞买日），卖方可以撤销竞买预约申报，</w:t>
      </w:r>
      <w:r>
        <w:rPr>
          <w:rFonts w:hint="eastAsia" w:ascii="仿宋" w:hAnsi="仿宋" w:eastAsia="仿宋" w:cs="仿宋"/>
          <w:sz w:val="32"/>
          <w:szCs w:val="32"/>
        </w:rPr>
        <w:t>同笔竞买预约以及其对应的撤销申报必须通过同一个交易单元提交</w:t>
      </w:r>
      <w:r>
        <w:rPr>
          <w:rFonts w:hint="eastAsia"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若债券摘牌，则该债券所有存量竞买预约均自动撤销。若出现债券实际面额调整、计价方式调整或派息等情形，对应竞买的价格区间上下限不做调整。</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投资者如需更改竞买预约要素的，可以至少在竞买日前一交易日撤销原预约后重新发起竞买预约，重新确定相关预约要素。</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2．竞买发起申报（卖方）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（1）申报要素以及信息</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竞买发起申报要素以及信息包括竞买场次编号、本方交易商、本方交易主体类型、本方交易主体、本方交易员、本方经纪客户名称（本方为机构经纪类交易主体时必须填写）、本方证券账户号码、本方申报交易单元代码、证券代码、交易方向、竞买方式、数量、价格区间上限（如有）、价格区间下限、最低成交总量（如有）、是否匿名和结算方式等内容。相关申报要素以及信息应当与竞买预约申报中对应部分相同。</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（2）申报撤销</w:t>
      </w:r>
    </w:p>
    <w:p>
      <w:pPr>
        <w:tabs>
          <w:tab w:val="left" w:pos="420"/>
          <w:tab w:val="left" w:pos="567"/>
          <w:tab w:val="left" w:pos="1680"/>
        </w:tabs>
        <w:spacing w:line="560" w:lineRule="exact"/>
        <w:ind w:firstLine="640"/>
        <w:rPr>
          <w:rFonts w:ascii="仿宋" w:hAnsi="仿宋" w:eastAsia="仿宋" w:cs="仿宋"/>
          <w:sz w:val="32"/>
          <w:szCs w:val="32"/>
        </w:rPr>
      </w:pPr>
      <w:r>
        <w:rPr>
          <w:rFonts w:hint="eastAsia" w:ascii="仿宋" w:hAnsi="仿宋" w:eastAsia="仿宋" w:cs="仿宋"/>
          <w:sz w:val="32"/>
          <w:szCs w:val="32"/>
        </w:rPr>
        <w:t>在应价方提交有效的应价申报前，确有需要的，卖方可以撤销竞买发起申报。卖方在撤销竞买发起申报前，应</w:t>
      </w:r>
      <w:r>
        <w:rPr>
          <w:rFonts w:hint="eastAsia" w:ascii="仿宋" w:hAnsi="仿宋" w:eastAsia="仿宋"/>
          <w:color w:val="000000" w:themeColor="text1"/>
          <w:sz w:val="32"/>
          <w:szCs w:val="32"/>
          <w14:textFill>
            <w14:solidFill>
              <w14:schemeClr w14:val="tx1"/>
            </w14:solidFill>
          </w14:textFill>
        </w:rPr>
        <w:t>当</w:t>
      </w:r>
      <w:r>
        <w:rPr>
          <w:rFonts w:hint="eastAsia" w:ascii="仿宋" w:hAnsi="仿宋" w:eastAsia="仿宋" w:cs="仿宋"/>
          <w:sz w:val="32"/>
          <w:szCs w:val="32"/>
        </w:rPr>
        <w:t>通过公共邮箱</w:t>
      </w:r>
      <w:r>
        <w:rPr>
          <w:rFonts w:hint="eastAsia" w:ascii="仿宋" w:hAnsi="仿宋" w:eastAsia="仿宋" w:cs="Times New Roman"/>
          <w:color w:val="000000"/>
          <w:sz w:val="32"/>
          <w:szCs w:val="32"/>
        </w:rPr>
        <w:t>（</w:t>
      </w:r>
      <w:r>
        <w:fldChar w:fldCharType="begin"/>
      </w:r>
      <w:r>
        <w:instrText xml:space="preserve"> HYPERLINK "mailto:szsebond@szse.cn" </w:instrText>
      </w:r>
      <w:r>
        <w:fldChar w:fldCharType="separate"/>
      </w:r>
      <w:r>
        <w:rPr>
          <w:rStyle w:val="31"/>
          <w:rFonts w:ascii="Times New Roman" w:hAnsi="Times New Roman" w:eastAsia="仿宋" w:cs="Times New Roman"/>
          <w:sz w:val="32"/>
          <w:szCs w:val="32"/>
        </w:rPr>
        <w:t>szsebond@szse.cn</w:t>
      </w:r>
      <w:r>
        <w:rPr>
          <w:rStyle w:val="31"/>
          <w:rFonts w:ascii="Times New Roman" w:hAnsi="Times New Roman" w:eastAsia="仿宋" w:cs="Times New Roman"/>
          <w:sz w:val="32"/>
          <w:szCs w:val="32"/>
        </w:rPr>
        <w:fldChar w:fldCharType="end"/>
      </w:r>
      <w:r>
        <w:rPr>
          <w:rFonts w:hint="eastAsia" w:ascii="仿宋" w:hAnsi="仿宋" w:eastAsia="仿宋" w:cs="Times New Roman"/>
          <w:color w:val="000000"/>
          <w:sz w:val="32"/>
          <w:szCs w:val="32"/>
        </w:rPr>
        <w:t>）</w:t>
      </w:r>
      <w:r>
        <w:rPr>
          <w:rFonts w:hint="eastAsia" w:ascii="仿宋" w:hAnsi="仿宋" w:eastAsia="仿宋" w:cs="仿宋"/>
          <w:sz w:val="32"/>
          <w:szCs w:val="32"/>
        </w:rPr>
        <w:t>提交撤销申请</w:t>
      </w:r>
      <w:r>
        <w:rPr>
          <w:rFonts w:hint="eastAsia" w:ascii="仿宋" w:hAnsi="仿宋" w:eastAsia="仿宋" w:cs="Times New Roman"/>
          <w:sz w:val="32"/>
          <w:szCs w:val="32"/>
        </w:rPr>
        <w:t>，邮件应</w:t>
      </w:r>
      <w:r>
        <w:rPr>
          <w:rFonts w:hint="eastAsia" w:ascii="仿宋" w:hAnsi="仿宋" w:eastAsia="仿宋"/>
          <w:color w:val="000000" w:themeColor="text1"/>
          <w:sz w:val="32"/>
          <w:szCs w:val="32"/>
          <w14:textFill>
            <w14:solidFill>
              <w14:schemeClr w14:val="tx1"/>
            </w14:solidFill>
          </w14:textFill>
        </w:rPr>
        <w:t>当</w:t>
      </w:r>
      <w:r>
        <w:rPr>
          <w:rFonts w:hint="eastAsia" w:ascii="仿宋" w:hAnsi="仿宋" w:eastAsia="仿宋" w:cs="仿宋"/>
          <w:sz w:val="32"/>
          <w:szCs w:val="32"/>
        </w:rPr>
        <w:t>说明拟撤销的竞买发起申报对应的竞买场次编号、证券代码、证券简称以及撤销理由，卖方不得无故撤销竞买发起申报。</w:t>
      </w:r>
      <w:r>
        <w:rPr>
          <w:rFonts w:hint="eastAsia" w:ascii="仿宋" w:hAnsi="仿宋" w:eastAsia="仿宋" w:cs="Times New Roman"/>
          <w:sz w:val="32"/>
          <w:szCs w:val="32"/>
        </w:rPr>
        <w:t>邮件主题格式统一为</w:t>
      </w:r>
      <w:r>
        <w:rPr>
          <w:rFonts w:ascii="仿宋" w:hAnsi="仿宋" w:eastAsia="仿宋" w:cs="Times New Roman"/>
          <w:sz w:val="32"/>
          <w:szCs w:val="32"/>
        </w:rPr>
        <w:t>“</w:t>
      </w:r>
      <w:r>
        <w:rPr>
          <w:rFonts w:hint="eastAsia" w:ascii="仿宋" w:hAnsi="仿宋" w:eastAsia="仿宋" w:cs="Times New Roman"/>
          <w:sz w:val="32"/>
          <w:szCs w:val="32"/>
        </w:rPr>
        <w:t>竞买申报撤销申请+证券代码</w:t>
      </w:r>
      <w:r>
        <w:rPr>
          <w:rFonts w:ascii="仿宋" w:hAnsi="仿宋" w:eastAsia="仿宋" w:cs="Times New Roman"/>
          <w:sz w:val="32"/>
          <w:szCs w:val="32"/>
        </w:rPr>
        <w:t>”</w:t>
      </w:r>
      <w:r>
        <w:rPr>
          <w:rFonts w:hint="eastAsia" w:ascii="仿宋" w:hAnsi="仿宋" w:eastAsia="仿宋" w:cs="仿宋"/>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应价申报结束后，未达成成交的竞买发起申报、以及竞买发起申报的未成交部分自动撤销。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3．应价申报（应价方）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（1）申报要素以及信息</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应价申报要素以及信息包括竞买场次编号、本方交易商、本方交易主体类型、本方交易主体、本方交易员、本方经纪客户名称（本方为机构经纪类交易主体时必须填写）、本方证券账户号码、本方申报交易单元代码、证券代码、交易方向（限定为买入）、竞买方式、数量、价格、是否匿名和结算方式等内容。其中：</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“数量”要求方面，采用“单一主体中标”的，应价申报数量为对应竞买发起申报的申报数量；采用“多主体单一价格中标”或者“多主体多重价格中标”的，应价申报数量应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不高于对应竞买发起申报中的申报数量；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“价格”应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处于竞买发起申报的价格区间上下限范围之内。</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（2）申报撤销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采用“单一主体中标”的，应价申报不可以主动撤销，低于或等于当前最优应价的应价申报将自动撤销。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采用“多主体单一价格中标”或者“多主体多重价格中标”的，应价申报可以在应价申报时间截止前撤销。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应价申报结束后，未达成成交的应价申报、以及应价申报的未成交部分将自动撤销。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4．成交原则</w:t>
      </w:r>
    </w:p>
    <w:p>
      <w:pPr>
        <w:pStyle w:val="24"/>
        <w:widowControl w:val="0"/>
        <w:shd w:val="clear" w:color="auto" w:fill="FFFFFF"/>
        <w:adjustRightInd w:val="0"/>
        <w:snapToGrid w:val="0"/>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Times New Roman" w:hAnsi="Times New Roman" w:eastAsia="仿宋" w:cs="Times New Roman"/>
          <w:sz w:val="32"/>
          <w:szCs w:val="32"/>
        </w:rPr>
        <w:t>采用“单一主体中标”的，</w:t>
      </w:r>
      <w:r>
        <w:rPr>
          <w:rFonts w:hint="eastAsia" w:ascii="仿宋" w:hAnsi="仿宋" w:eastAsia="仿宋"/>
          <w:color w:val="000000"/>
          <w:sz w:val="32"/>
          <w:szCs w:val="32"/>
        </w:rPr>
        <w:t>由最优出价的应价方按该笔竞买的全部数量成交。</w:t>
      </w:r>
    </w:p>
    <w:p>
      <w:pPr>
        <w:pStyle w:val="24"/>
        <w:shd w:val="clear" w:color="auto" w:fill="FFFFFF"/>
        <w:adjustRightInd w:val="0"/>
        <w:snapToGrid w:val="0"/>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Times New Roman" w:hAnsi="Times New Roman" w:eastAsia="仿宋" w:cs="Times New Roman"/>
          <w:sz w:val="32"/>
          <w:szCs w:val="32"/>
        </w:rPr>
        <w:t>采用“多主体单一价格中标”或者“多主体多重价格中标”的，</w:t>
      </w:r>
      <w:r>
        <w:rPr>
          <w:rFonts w:hint="eastAsia" w:ascii="仿宋" w:hAnsi="仿宋" w:eastAsia="仿宋"/>
          <w:color w:val="000000"/>
          <w:sz w:val="32"/>
          <w:szCs w:val="32"/>
        </w:rPr>
        <w:t>交易系统将各有效应价申报按价格从高到低排序，并汇总应价申报累计数量，分以下三种情形处理：</w:t>
      </w:r>
    </w:p>
    <w:p>
      <w:pPr>
        <w:pStyle w:val="24"/>
        <w:shd w:val="clear" w:color="auto" w:fill="FFFFFF"/>
        <w:adjustRightInd w:val="0"/>
        <w:snapToGrid w:val="0"/>
        <w:spacing w:before="0" w:beforeAutospacing="0" w:after="0" w:afterAutospacing="0" w:line="560" w:lineRule="exact"/>
        <w:ind w:firstLine="640"/>
        <w:jc w:val="both"/>
        <w:rPr>
          <w:rFonts w:ascii="仿宋" w:hAnsi="仿宋" w:eastAsia="仿宋"/>
          <w:color w:val="000000"/>
          <w:sz w:val="32"/>
          <w:szCs w:val="32"/>
        </w:rPr>
      </w:pPr>
      <w:r>
        <w:rPr>
          <w:rFonts w:hint="eastAsia" w:ascii="仿宋" w:hAnsi="仿宋" w:eastAsia="仿宋"/>
          <w:color w:val="000000"/>
          <w:sz w:val="32"/>
          <w:szCs w:val="32"/>
        </w:rPr>
        <w:t>（1）应价申报累计数量小于</w:t>
      </w:r>
      <w:r>
        <w:rPr>
          <w:rFonts w:hint="eastAsia" w:ascii="Times New Roman" w:hAnsi="Times New Roman" w:eastAsia="仿宋" w:cs="Times New Roman"/>
          <w:sz w:val="32"/>
          <w:szCs w:val="32"/>
        </w:rPr>
        <w:t>最低成交数量</w:t>
      </w:r>
      <w:r>
        <w:rPr>
          <w:rFonts w:hint="eastAsia" w:ascii="仿宋" w:hAnsi="仿宋" w:eastAsia="仿宋"/>
          <w:color w:val="000000"/>
          <w:sz w:val="32"/>
          <w:szCs w:val="32"/>
        </w:rPr>
        <w:t>的，所有应价申报均不能达成成交；</w:t>
      </w:r>
    </w:p>
    <w:p>
      <w:pPr>
        <w:pStyle w:val="24"/>
        <w:shd w:val="clear" w:color="auto" w:fill="FFFFFF"/>
        <w:adjustRightInd w:val="0"/>
        <w:snapToGrid w:val="0"/>
        <w:spacing w:before="0" w:beforeAutospacing="0" w:after="0" w:afterAutospacing="0" w:line="560" w:lineRule="exact"/>
        <w:ind w:firstLine="640"/>
        <w:jc w:val="both"/>
        <w:rPr>
          <w:rFonts w:ascii="仿宋" w:hAnsi="仿宋" w:eastAsia="仿宋"/>
          <w:color w:val="000000"/>
          <w:sz w:val="32"/>
          <w:szCs w:val="32"/>
        </w:rPr>
      </w:pPr>
      <w:r>
        <w:rPr>
          <w:rFonts w:hint="eastAsia" w:ascii="仿宋" w:hAnsi="仿宋" w:eastAsia="仿宋"/>
          <w:color w:val="000000"/>
          <w:sz w:val="32"/>
          <w:szCs w:val="32"/>
        </w:rPr>
        <w:t>（2）应价申报累计数量大于或等于</w:t>
      </w:r>
      <w:r>
        <w:rPr>
          <w:rFonts w:hint="eastAsia" w:ascii="Times New Roman" w:hAnsi="Times New Roman" w:eastAsia="仿宋" w:cs="Times New Roman"/>
          <w:sz w:val="32"/>
          <w:szCs w:val="32"/>
        </w:rPr>
        <w:t>最低成交数量、</w:t>
      </w:r>
      <w:r>
        <w:rPr>
          <w:rFonts w:hint="eastAsia" w:ascii="仿宋" w:hAnsi="仿宋" w:eastAsia="仿宋"/>
          <w:color w:val="000000"/>
          <w:sz w:val="32"/>
          <w:szCs w:val="32"/>
        </w:rPr>
        <w:t>但小于竞买</w:t>
      </w:r>
      <w:r>
        <w:rPr>
          <w:rFonts w:hint="eastAsia" w:ascii="Times New Roman" w:hAnsi="Times New Roman" w:eastAsia="仿宋" w:cs="Times New Roman"/>
          <w:sz w:val="32"/>
          <w:szCs w:val="32"/>
        </w:rPr>
        <w:t>数量</w:t>
      </w:r>
      <w:r>
        <w:rPr>
          <w:rFonts w:hint="eastAsia" w:ascii="仿宋" w:hAnsi="仿宋" w:eastAsia="仿宋"/>
          <w:color w:val="000000"/>
          <w:sz w:val="32"/>
          <w:szCs w:val="32"/>
        </w:rPr>
        <w:t>的，最低有效应价申报价格为边际价格，全部应价申报均按其申报数量达成成交；</w:t>
      </w:r>
    </w:p>
    <w:p>
      <w:pPr>
        <w:pStyle w:val="24"/>
        <w:shd w:val="clear" w:color="auto" w:fill="FFFFFF"/>
        <w:adjustRightInd w:val="0"/>
        <w:snapToGrid w:val="0"/>
        <w:spacing w:before="0" w:beforeAutospacing="0" w:after="0" w:afterAutospacing="0" w:line="560" w:lineRule="exact"/>
        <w:ind w:firstLine="640"/>
        <w:jc w:val="both"/>
        <w:rPr>
          <w:rFonts w:ascii="仿宋" w:hAnsi="仿宋" w:eastAsia="仿宋"/>
          <w:color w:val="000000"/>
          <w:sz w:val="32"/>
          <w:szCs w:val="32"/>
        </w:rPr>
      </w:pPr>
      <w:r>
        <w:rPr>
          <w:rFonts w:hint="eastAsia" w:ascii="仿宋" w:hAnsi="仿宋" w:eastAsia="仿宋"/>
          <w:color w:val="000000"/>
          <w:sz w:val="32"/>
          <w:szCs w:val="32"/>
        </w:rPr>
        <w:t>（3）应价申报累计数量大于或等于竞买</w:t>
      </w:r>
      <w:r>
        <w:rPr>
          <w:rFonts w:hint="eastAsia" w:ascii="Times New Roman" w:hAnsi="Times New Roman" w:eastAsia="仿宋" w:cs="Times New Roman"/>
          <w:sz w:val="32"/>
          <w:szCs w:val="32"/>
        </w:rPr>
        <w:t>数量</w:t>
      </w:r>
      <w:r>
        <w:rPr>
          <w:rFonts w:hint="eastAsia" w:ascii="仿宋" w:hAnsi="仿宋" w:eastAsia="仿宋"/>
          <w:color w:val="000000"/>
          <w:sz w:val="32"/>
          <w:szCs w:val="32"/>
        </w:rPr>
        <w:t>的，以应价申报累计数量达到竞买总量的价格为边际价格。价格优于边际价格的应价申报全部成交，成交数量为相应的应价申报数量；价格等于边际价格的应价申报部分或者全部成交，成交数量以各应价申报数量为权重按舍去法（向下取整为</w:t>
      </w:r>
      <w:r>
        <w:rPr>
          <w:rFonts w:ascii="仿宋" w:hAnsi="仿宋" w:eastAsia="仿宋"/>
          <w:color w:val="000000"/>
          <w:sz w:val="32"/>
          <w:szCs w:val="32"/>
        </w:rPr>
        <w:t>10万元整数倍</w:t>
      </w:r>
      <w:r>
        <w:rPr>
          <w:rFonts w:hint="eastAsia" w:ascii="仿宋" w:hAnsi="仿宋" w:eastAsia="仿宋"/>
          <w:color w:val="000000"/>
          <w:sz w:val="32"/>
          <w:szCs w:val="32"/>
        </w:rPr>
        <w:t>）进行边际中标量的初次分配，若有剩余尾量，遵循时间优先原则顺序进行尾量分配。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5．应价申报转发安排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采用“多主体单一价格中标”或者“多主体多重价格中标”的，在应价申报阶段结束后，交易系统将该场竞买当天达成与未达成成交的所有有效应价申报委托（已撤销的除外）转发给该场竞买的卖方。</w:t>
      </w:r>
    </w:p>
    <w:p>
      <w:pPr>
        <w:pStyle w:val="4"/>
        <w:keepNext w:val="0"/>
        <w:keepLines w:val="0"/>
        <w:spacing w:before="0" w:after="0" w:line="560" w:lineRule="exact"/>
        <w:ind w:firstLine="640" w:firstLineChars="200"/>
        <w:rPr>
          <w:rFonts w:ascii="楷体" w:hAnsi="楷体" w:eastAsia="楷体" w:cs="Times New Roman"/>
          <w:b w:val="0"/>
        </w:rPr>
      </w:pPr>
      <w:bookmarkStart w:id="220" w:name="_Toc578"/>
      <w:bookmarkStart w:id="221" w:name="_Toc12551"/>
      <w:bookmarkStart w:id="222" w:name="_Toc123809382"/>
      <w:bookmarkStart w:id="223" w:name="_Toc2820"/>
      <w:bookmarkStart w:id="224" w:name="_Toc31540"/>
      <w:bookmarkStart w:id="225" w:name="_Toc30396"/>
      <w:bookmarkStart w:id="226" w:name="_Toc1811"/>
      <w:r>
        <w:rPr>
          <w:rFonts w:ascii="楷体" w:hAnsi="楷体" w:eastAsia="楷体" w:cs="Times New Roman"/>
          <w:b w:val="0"/>
        </w:rPr>
        <w:t>（</w:t>
      </w:r>
      <w:r>
        <w:rPr>
          <w:rFonts w:hint="eastAsia" w:ascii="楷体" w:hAnsi="楷体" w:eastAsia="楷体" w:cs="Times New Roman"/>
          <w:b w:val="0"/>
        </w:rPr>
        <w:t>五</w:t>
      </w:r>
      <w:r>
        <w:rPr>
          <w:rFonts w:ascii="楷体" w:hAnsi="楷体" w:eastAsia="楷体" w:cs="Times New Roman"/>
          <w:b w:val="0"/>
        </w:rPr>
        <w:t>）</w:t>
      </w:r>
      <w:r>
        <w:rPr>
          <w:rFonts w:hint="eastAsia" w:ascii="楷体" w:hAnsi="楷体" w:eastAsia="楷体" w:cs="Times New Roman"/>
          <w:b w:val="0"/>
        </w:rPr>
        <w:t>协商成交</w:t>
      </w:r>
      <w:bookmarkEnd w:id="220"/>
      <w:bookmarkEnd w:id="221"/>
      <w:bookmarkEnd w:id="222"/>
      <w:bookmarkEnd w:id="223"/>
      <w:bookmarkEnd w:id="224"/>
      <w:bookmarkEnd w:id="225"/>
      <w:bookmarkEnd w:id="226"/>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协商成交是指债券投资者之间通过协商等方式达成债券交易意向，并向交易系统申报，经交易系统确认成交的交易方式。交易任意一方可将协商一致的交易要素通过交易系统发送给交易对手方，经交易对手方确认后，由交易系统确认成交。</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1．申报要素以及信息</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协商成交申报要素以及信息包括本方交易商、本方交易主体类型、本方交易主体、本方经纪客户名称（本方为机构经纪类交易主体时必须填写）、本方交易员、本方证券账户号码、本方申报交易单元代码、证券代码、交易方向、数量、价格、对手方交易商、对手方交易主体类型、对手方交易主体、对手方交易员、约定号、备注和结算方式等内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交易一方进行申报时，若对手方为经纪类（含机构经纪和个人经纪）交易主体，则申报时必须填写“约定号”，此外还可以通过在“备注”要素中填写对手方名称等信息，供对手方证券公司对其客户进行定位；若对手方为非经纪客户，则申报时无需填写“约定号”。“约定号”为8位UTF-8字符，交易系统不对约定号重复性进行检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2．申报有效期</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当日提交的协商成交申报当日有效。</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3．申报撤销安排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在对手方确认前，协商成交申报可以撤销。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4．成交原则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协商成交按双方协商一致的价格、数量等要素进行成交。</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5．合并申报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做市商或者本所认可的其他机构与不同对手方针对同一交易品种达成两笔数量相同但交易方向相反的交易意向的，可以将两笔交易合并向交易系统申报。合并申报经前述两笔交易的买卖对手方分别确认后，由交易系统确认成交。</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（1）合并申报要素以及信息（发起方）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并申报发起方的申报要素以及信息包括本方交易商、本方交易主体类型、本方交易主体、本方经纪客户名称（本方为机构经纪类交易主体时必须填写）、本方交易员、本方证券账户号码、本方申报交易单元代码、买方交易商、买方交易主体类型、买方交易主体、买方交易员、买方价格、买方数量、卖方交易商、卖方交易主体类型、卖方交易主体、卖方交易员、卖方价格、卖方数量、证券代码、买方约定号、卖方约定号、买方备注、卖方备注</w:t>
      </w:r>
      <w:r>
        <w:rPr>
          <w:rFonts w:hint="eastAsia" w:ascii="Times New Roman" w:hAnsi="Times New Roman" w:eastAsia="仿宋" w:cs="Times New Roman"/>
          <w:sz w:val="32"/>
          <w:szCs w:val="32"/>
          <w:lang w:eastAsia="zh-CN"/>
        </w:rPr>
        <w:t>和结算方式</w:t>
      </w:r>
      <w:r>
        <w:rPr>
          <w:rFonts w:hint="eastAsia" w:ascii="Times New Roman" w:hAnsi="Times New Roman" w:eastAsia="仿宋" w:cs="Times New Roman"/>
          <w:sz w:val="32"/>
          <w:szCs w:val="32"/>
        </w:rPr>
        <w:t>等内容。其中，“买方数量”应当等于“卖方数量”。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（2）合并申报确认要素以及信息（确认方）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并申报确认方（即买方或者卖方）的确认要素以及信息包括本方交易商、本方交易主体类型、本方交易主体、本方经纪客户名称（本方为机构经纪类交易主体时必须填写）、本方交易员、本方证券账户号码、发起方交易商、发起方交易主体类型、发起方交易主体、发起方交易员、证券代码、数量、价格、约定号</w:t>
      </w:r>
      <w:r>
        <w:rPr>
          <w:rFonts w:hint="eastAsia" w:ascii="Times New Roman" w:hAnsi="Times New Roman" w:eastAsia="仿宋" w:cs="Times New Roman"/>
          <w:sz w:val="32"/>
          <w:szCs w:val="32"/>
          <w:lang w:eastAsia="zh-CN"/>
        </w:rPr>
        <w:t>和结算方式</w:t>
      </w:r>
      <w:r>
        <w:rPr>
          <w:rFonts w:hint="eastAsia" w:ascii="Times New Roman" w:hAnsi="Times New Roman" w:eastAsia="仿宋" w:cs="Times New Roman"/>
          <w:sz w:val="32"/>
          <w:szCs w:val="32"/>
        </w:rPr>
        <w:t>等内容。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（3）申报有效期</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当日提交的合并申报当日有效。</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（4）申报撤销安排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交易时间内，买卖对手方未全部确认前，发起方可以主动撤销申报。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（5）成交原则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合并申报买卖对手方分别确认后，由交易系统确认成交。通过合并申报达成的成交视为发起方与买方以及发起方与卖方分别达成的两笔独立的成交，两笔交易成交的先后顺序与合并申报买卖对手方最终确认的顺序保持一致。</w:t>
      </w:r>
    </w:p>
    <w:p>
      <w:pPr>
        <w:pStyle w:val="4"/>
        <w:keepNext w:val="0"/>
        <w:keepLines w:val="0"/>
        <w:spacing w:before="0" w:after="0" w:line="560" w:lineRule="exact"/>
        <w:ind w:firstLine="640" w:firstLineChars="200"/>
        <w:rPr>
          <w:rFonts w:ascii="楷体" w:hAnsi="楷体" w:eastAsia="楷体" w:cs="Times New Roman"/>
          <w:bCs w:val="0"/>
        </w:rPr>
      </w:pPr>
      <w:bookmarkStart w:id="227" w:name="_Toc27718"/>
      <w:bookmarkStart w:id="228" w:name="_Toc8417"/>
      <w:bookmarkStart w:id="229" w:name="_Toc122379714"/>
      <w:bookmarkStart w:id="230" w:name="_Toc12680"/>
      <w:bookmarkStart w:id="231" w:name="_Toc123809383"/>
      <w:bookmarkStart w:id="232" w:name="_Toc23823"/>
      <w:bookmarkStart w:id="233" w:name="_Toc17841"/>
      <w:bookmarkStart w:id="234" w:name="_Toc3905"/>
      <w:r>
        <w:rPr>
          <w:rFonts w:hint="eastAsia" w:ascii="楷体" w:hAnsi="楷体" w:eastAsia="楷体" w:cs="Times New Roman"/>
          <w:b w:val="0"/>
        </w:rPr>
        <w:t>（六）交易解除</w:t>
      </w:r>
      <w:bookmarkEnd w:id="227"/>
      <w:bookmarkEnd w:id="228"/>
      <w:bookmarkEnd w:id="229"/>
      <w:bookmarkEnd w:id="230"/>
      <w:bookmarkEnd w:id="231"/>
      <w:bookmarkEnd w:id="232"/>
      <w:bookmarkEnd w:id="233"/>
      <w:bookmarkEnd w:id="234"/>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采用点击成交、询价成交、协商成交方式并以逐笔全额结算方式结算，出现因不可抗力、预期违约、延迟履行等情形导致交易目的无法实现或者交易不能继续履行的，在交收开始前，经交易双方协商一致后，可以解除相关交易。</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证券公司通过交易系统申报交易解除的，视为已取得客户委托，本所不对委托的真实性、有效性进行审查。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1．申报要素以及信息</w:t>
      </w:r>
    </w:p>
    <w:p>
      <w:pPr>
        <w:spacing w:line="560" w:lineRule="exact"/>
        <w:ind w:firstLine="640" w:firstLineChars="200"/>
        <w:jc w:val="left"/>
        <w:rPr>
          <w:rFonts w:ascii="仿宋" w:hAnsi="仿宋" w:eastAsia="仿宋"/>
          <w:color w:val="000000"/>
          <w:sz w:val="32"/>
          <w:szCs w:val="32"/>
        </w:rPr>
      </w:pPr>
      <w:r>
        <w:rPr>
          <w:rFonts w:hint="eastAsia" w:ascii="Times New Roman" w:hAnsi="Times New Roman" w:eastAsia="仿宋" w:cs="Times New Roman"/>
          <w:sz w:val="32"/>
          <w:szCs w:val="32"/>
        </w:rPr>
        <w:t>交易解除申报要素以及信息包括拟解除交易的成交编号、本方交易商、本方交易主体类型、本方交易主体、本方交易员、本方证券账户号码、本方申报交易单元代码、对方交易商、对方交易主体类型、对方交易主体、对方交易员、证券代码、交易方向、成交数量、成交价格、结算方式、约定号、交易解除原因等内容。其中，</w:t>
      </w:r>
      <w:r>
        <w:rPr>
          <w:rFonts w:hint="eastAsia" w:ascii="仿宋" w:hAnsi="仿宋" w:eastAsia="仿宋"/>
          <w:color w:val="000000"/>
          <w:sz w:val="32"/>
          <w:szCs w:val="32"/>
        </w:rPr>
        <w:t>交易解除原因由发起方在解除申报时填写，由交易系统转发至对手方</w:t>
      </w:r>
      <w:r>
        <w:rPr>
          <w:rFonts w:hint="eastAsia" w:ascii="Times New Roman" w:hAnsi="Times New Roman" w:eastAsia="仿宋" w:cs="Times New Roman"/>
          <w:sz w:val="32"/>
          <w:szCs w:val="32"/>
        </w:rPr>
        <w:t>确认。解除原因应当明确解除事由发生方以及</w:t>
      </w:r>
      <w:r>
        <w:rPr>
          <w:rFonts w:ascii="仿宋" w:hAnsi="仿宋" w:eastAsia="仿宋" w:cs="Times New Roman"/>
          <w:sz w:val="32"/>
          <w:szCs w:val="32"/>
        </w:rPr>
        <w:t>交易</w:t>
      </w:r>
      <w:r>
        <w:rPr>
          <w:rFonts w:hint="eastAsia" w:ascii="仿宋" w:hAnsi="仿宋" w:eastAsia="仿宋" w:cs="Times New Roman"/>
          <w:sz w:val="32"/>
          <w:szCs w:val="32"/>
        </w:rPr>
        <w:t>解除理由</w:t>
      </w:r>
      <w:r>
        <w:rPr>
          <w:rFonts w:hint="eastAsia" w:ascii="仿宋" w:hAnsi="仿宋" w:eastAsia="仿宋"/>
          <w:color w:val="000000"/>
          <w:sz w:val="32"/>
          <w:szCs w:val="32"/>
        </w:rPr>
        <w:t>。拟解除交易发起方的本方交易主体类型为“机构经纪”的，交易系统将该发起方的“本方经纪客户名称”同步转发至对手方确认。</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．申报撤销安排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交易时间内，对手方未确认交易解除申报的，发起方可以撤销交易解除申报。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3．交易解除状态</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交易双方</w:t>
      </w:r>
      <w:r>
        <w:rPr>
          <w:rFonts w:hint="eastAsia" w:ascii="仿宋" w:hAnsi="仿宋" w:eastAsia="仿宋" w:cs="Times New Roman"/>
          <w:sz w:val="32"/>
          <w:szCs w:val="32"/>
        </w:rPr>
        <w:t>通过交易系统提交解除申报并</w:t>
      </w:r>
      <w:r>
        <w:rPr>
          <w:rFonts w:hint="eastAsia" w:ascii="Times New Roman" w:hAnsi="Times New Roman" w:eastAsia="仿宋" w:cs="Times New Roman"/>
          <w:sz w:val="32"/>
          <w:szCs w:val="32"/>
        </w:rPr>
        <w:t>确认后，中国结算根据拟解除交易的交收状态进行处理。最终的交易解除状态可以通过中国结算深圳分公司综合结算通信系统（D-COM系统）查看。</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4．其他安排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临时停牌期间，本所接受交易解除申报以及交易解除撤销申报。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采用协商成交合并申报成交的，不支持交易解除。</w:t>
      </w:r>
    </w:p>
    <w:p>
      <w:pPr>
        <w:keepNext/>
        <w:keepLines/>
        <w:spacing w:line="560" w:lineRule="exact"/>
        <w:ind w:firstLine="640" w:firstLineChars="200"/>
        <w:outlineLvl w:val="1"/>
        <w:rPr>
          <w:rFonts w:ascii="Times New Roman" w:hAnsi="Times New Roman" w:eastAsia="仿宋" w:cs="Times New Roman"/>
          <w:b/>
          <w:bCs/>
          <w:sz w:val="32"/>
          <w:szCs w:val="32"/>
        </w:rPr>
      </w:pPr>
      <w:bookmarkStart w:id="235" w:name="_Toc9083"/>
      <w:bookmarkStart w:id="236" w:name="_Toc11785"/>
      <w:bookmarkStart w:id="237" w:name="_Toc22065"/>
      <w:bookmarkStart w:id="238" w:name="_Toc7528"/>
      <w:bookmarkStart w:id="239" w:name="_Toc17144"/>
      <w:bookmarkStart w:id="240" w:name="_Toc32696"/>
      <w:bookmarkStart w:id="241" w:name="_Toc123809384"/>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债券回购交易</w:t>
      </w:r>
      <w:bookmarkEnd w:id="235"/>
      <w:bookmarkEnd w:id="236"/>
      <w:bookmarkEnd w:id="237"/>
      <w:bookmarkEnd w:id="238"/>
      <w:bookmarkEnd w:id="239"/>
      <w:bookmarkEnd w:id="240"/>
      <w:bookmarkEnd w:id="241"/>
    </w:p>
    <w:p>
      <w:pPr>
        <w:autoSpaceDE w:val="0"/>
        <w:autoSpaceDN w:val="0"/>
        <w:adjustRightInd w:val="0"/>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在本所开展的债券回购交易</w:t>
      </w:r>
      <w:r>
        <w:rPr>
          <w:rStyle w:val="33"/>
          <w:rFonts w:ascii="Times New Roman" w:hAnsi="Times New Roman" w:eastAsia="仿宋"/>
          <w:color w:val="000000"/>
          <w:kern w:val="0"/>
          <w:sz w:val="32"/>
          <w:szCs w:val="32"/>
        </w:rPr>
        <w:footnoteReference w:id="7"/>
      </w:r>
      <w:r>
        <w:rPr>
          <w:rFonts w:hint="eastAsia" w:ascii="Times New Roman" w:hAnsi="Times New Roman" w:eastAsia="仿宋" w:cs="Times New Roman"/>
          <w:color w:val="000000"/>
          <w:kern w:val="0"/>
          <w:sz w:val="32"/>
          <w:szCs w:val="32"/>
        </w:rPr>
        <w:t>包括债券通用质押式回购（以下简称通用回购）、债券质押式协议回购（以下简称协议回购）和债券质押式三方回购（以下简称三方回购）等。</w:t>
      </w:r>
    </w:p>
    <w:p>
      <w:pPr>
        <w:spacing w:line="560" w:lineRule="exact"/>
        <w:jc w:val="center"/>
        <w:rPr>
          <w:rFonts w:hint="eastAsia" w:ascii="仿宋" w:hAnsi="仿宋" w:eastAsia="仿宋"/>
          <w:sz w:val="24"/>
          <w:szCs w:val="28"/>
        </w:rPr>
      </w:pPr>
    </w:p>
    <w:p>
      <w:pPr>
        <w:spacing w:line="560" w:lineRule="exact"/>
        <w:jc w:val="center"/>
        <w:rPr>
          <w:rFonts w:hint="eastAsia" w:ascii="仿宋" w:hAnsi="仿宋" w:eastAsia="仿宋"/>
          <w:sz w:val="24"/>
          <w:szCs w:val="28"/>
        </w:rPr>
      </w:pPr>
    </w:p>
    <w:p>
      <w:pPr>
        <w:spacing w:line="560" w:lineRule="exact"/>
        <w:jc w:val="center"/>
        <w:rPr>
          <w:rFonts w:hint="eastAsia" w:ascii="仿宋" w:hAnsi="仿宋" w:eastAsia="仿宋"/>
          <w:sz w:val="24"/>
          <w:szCs w:val="28"/>
        </w:rPr>
      </w:pPr>
    </w:p>
    <w:p>
      <w:pPr>
        <w:spacing w:line="560" w:lineRule="exact"/>
        <w:jc w:val="center"/>
        <w:rPr>
          <w:rFonts w:ascii="仿宋" w:hAnsi="仿宋" w:eastAsia="仿宋"/>
          <w:sz w:val="24"/>
          <w:szCs w:val="28"/>
        </w:rPr>
      </w:pPr>
      <w:r>
        <w:rPr>
          <w:rFonts w:hint="eastAsia" w:ascii="仿宋" w:hAnsi="仿宋" w:eastAsia="仿宋"/>
          <w:sz w:val="24"/>
          <w:szCs w:val="28"/>
        </w:rPr>
        <w:t>表</w:t>
      </w:r>
      <w:r>
        <w:rPr>
          <w:rFonts w:hint="eastAsia" w:ascii="仿宋" w:hAnsi="仿宋" w:eastAsia="仿宋"/>
          <w:sz w:val="24"/>
          <w:szCs w:val="28"/>
          <w:lang w:val="en-US" w:eastAsia="zh-CN"/>
        </w:rPr>
        <w:t>4</w:t>
      </w:r>
      <w:r>
        <w:rPr>
          <w:rFonts w:hint="eastAsia" w:ascii="仿宋" w:hAnsi="仿宋" w:eastAsia="仿宋"/>
          <w:sz w:val="24"/>
          <w:szCs w:val="28"/>
        </w:rPr>
        <w:t>-债券回购交易安排概览</w:t>
      </w:r>
    </w:p>
    <w:tbl>
      <w:tblPr>
        <w:tblStyle w:val="26"/>
        <w:tblW w:w="10822" w:type="dxa"/>
        <w:jc w:val="center"/>
        <w:tblLayout w:type="fixed"/>
        <w:tblCellMar>
          <w:top w:w="0" w:type="dxa"/>
          <w:left w:w="108" w:type="dxa"/>
          <w:bottom w:w="0" w:type="dxa"/>
          <w:right w:w="108" w:type="dxa"/>
        </w:tblCellMar>
      </w:tblPr>
      <w:tblGrid>
        <w:gridCol w:w="1640"/>
        <w:gridCol w:w="3180"/>
        <w:gridCol w:w="2817"/>
        <w:gridCol w:w="3185"/>
      </w:tblGrid>
      <w:tr>
        <w:tblPrEx>
          <w:tblCellMar>
            <w:top w:w="0" w:type="dxa"/>
            <w:left w:w="108" w:type="dxa"/>
            <w:bottom w:w="0" w:type="dxa"/>
            <w:right w:w="108" w:type="dxa"/>
          </w:tblCellMar>
        </w:tblPrEx>
        <w:trPr>
          <w:trHeight w:val="285" w:hRule="atLeast"/>
          <w:jc w:val="center"/>
        </w:trPr>
        <w:tc>
          <w:tcPr>
            <w:tcW w:w="16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　</w:t>
            </w:r>
          </w:p>
        </w:tc>
        <w:tc>
          <w:tcPr>
            <w:tcW w:w="31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通用回购</w:t>
            </w:r>
          </w:p>
        </w:tc>
        <w:tc>
          <w:tcPr>
            <w:tcW w:w="281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协议回购</w:t>
            </w:r>
          </w:p>
        </w:tc>
        <w:tc>
          <w:tcPr>
            <w:tcW w:w="318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三方回购</w:t>
            </w:r>
          </w:p>
        </w:tc>
      </w:tr>
      <w:tr>
        <w:tblPrEx>
          <w:tblCellMar>
            <w:top w:w="0" w:type="dxa"/>
            <w:left w:w="108" w:type="dxa"/>
            <w:bottom w:w="0" w:type="dxa"/>
            <w:right w:w="108" w:type="dxa"/>
          </w:tblCellMar>
        </w:tblPrEx>
        <w:trPr>
          <w:trHeight w:val="154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特点</w:t>
            </w:r>
          </w:p>
        </w:tc>
        <w:tc>
          <w:tcPr>
            <w:tcW w:w="31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以相应折算率计算出的质押券价值为融资额度进行质押融资</w:t>
            </w:r>
          </w:p>
        </w:tc>
        <w:tc>
          <w:tcPr>
            <w:tcW w:w="2817"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按双方约定的债券出质给资金融出方以融入资金</w:t>
            </w:r>
          </w:p>
        </w:tc>
        <w:tc>
          <w:tcPr>
            <w:tcW w:w="31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基于协议回购模式的基础上，由本所以及中国结算提供担保品管理服务，质押券基于质押券篮子确定</w:t>
            </w:r>
          </w:p>
        </w:tc>
      </w:tr>
      <w:tr>
        <w:tblPrEx>
          <w:tblCellMar>
            <w:top w:w="0" w:type="dxa"/>
            <w:left w:w="108" w:type="dxa"/>
            <w:bottom w:w="0" w:type="dxa"/>
            <w:right w:w="108" w:type="dxa"/>
          </w:tblCellMar>
        </w:tblPrEx>
        <w:trPr>
          <w:trHeight w:val="28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交易方式</w:t>
            </w:r>
          </w:p>
        </w:tc>
        <w:tc>
          <w:tcPr>
            <w:tcW w:w="31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匹配成交</w:t>
            </w:r>
          </w:p>
        </w:tc>
        <w:tc>
          <w:tcPr>
            <w:tcW w:w="2817"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highlight w:val="yellow"/>
              </w:rPr>
            </w:pPr>
            <w:r>
              <w:rPr>
                <w:rFonts w:hint="eastAsia" w:ascii="仿宋" w:hAnsi="仿宋" w:eastAsia="仿宋" w:cs="宋体"/>
                <w:color w:val="000000"/>
                <w:kern w:val="0"/>
                <w:sz w:val="24"/>
                <w:szCs w:val="21"/>
              </w:rPr>
              <w:t>资金融入方发起申报，除到期购回申报外均需资金融出方确认后成交</w:t>
            </w:r>
          </w:p>
        </w:tc>
        <w:tc>
          <w:tcPr>
            <w:tcW w:w="31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highlight w:val="yellow"/>
              </w:rPr>
            </w:pPr>
            <w:r>
              <w:rPr>
                <w:rFonts w:hint="eastAsia" w:ascii="仿宋" w:hAnsi="仿宋" w:eastAsia="仿宋" w:cs="宋体"/>
                <w:color w:val="000000"/>
                <w:kern w:val="0"/>
                <w:sz w:val="24"/>
                <w:szCs w:val="21"/>
              </w:rPr>
              <w:t>资金融入方发起申报，除到期购回申报、补券申报以及质押券篮子出入库外，均需资金融出方确认后成交</w:t>
            </w:r>
          </w:p>
        </w:tc>
      </w:tr>
      <w:tr>
        <w:tblPrEx>
          <w:tblCellMar>
            <w:top w:w="0" w:type="dxa"/>
            <w:left w:w="108" w:type="dxa"/>
            <w:bottom w:w="0" w:type="dxa"/>
            <w:right w:w="108" w:type="dxa"/>
          </w:tblCellMar>
        </w:tblPrEx>
        <w:trPr>
          <w:trHeight w:val="154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交易时间</w:t>
            </w:r>
          </w:p>
        </w:tc>
        <w:tc>
          <w:tcPr>
            <w:tcW w:w="31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开盘集合匹配</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09:15-09:25</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连续匹配</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09:30-11:30；13:00-15:30</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质押及解除质押申报</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09:15-11:30；13:00-15:30</w:t>
            </w:r>
          </w:p>
        </w:tc>
        <w:tc>
          <w:tcPr>
            <w:tcW w:w="2817"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每个交易日</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09:15-11:30</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13:00-15:30</w:t>
            </w:r>
          </w:p>
        </w:tc>
        <w:tc>
          <w:tcPr>
            <w:tcW w:w="31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每个交易日</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09:15-11:30</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13:00-15:30</w:t>
            </w:r>
          </w:p>
        </w:tc>
      </w:tr>
      <w:tr>
        <w:tblPrEx>
          <w:tblCellMar>
            <w:top w:w="0" w:type="dxa"/>
            <w:left w:w="108" w:type="dxa"/>
            <w:bottom w:w="0" w:type="dxa"/>
            <w:right w:w="108" w:type="dxa"/>
          </w:tblCellMar>
        </w:tblPrEx>
        <w:trPr>
          <w:trHeight w:val="1800" w:hRule="atLeast"/>
          <w:jc w:val="center"/>
        </w:trPr>
        <w:tc>
          <w:tcPr>
            <w:tcW w:w="164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质押券种类</w:t>
            </w:r>
          </w:p>
        </w:tc>
        <w:tc>
          <w:tcPr>
            <w:tcW w:w="3180"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通过交易系统或官网</w:t>
            </w:r>
            <w:r>
              <w:rPr>
                <w:rStyle w:val="33"/>
                <w:rFonts w:hint="eastAsia" w:ascii="仿宋" w:hAnsi="仿宋" w:eastAsia="仿宋" w:cs="宋体"/>
                <w:color w:val="000000"/>
                <w:kern w:val="0"/>
                <w:sz w:val="24"/>
                <w:szCs w:val="21"/>
              </w:rPr>
              <w:footnoteReference w:id="8"/>
            </w:r>
            <w:r>
              <w:rPr>
                <w:rFonts w:hint="eastAsia" w:ascii="仿宋" w:hAnsi="仿宋" w:eastAsia="仿宋" w:cs="宋体"/>
                <w:color w:val="000000"/>
                <w:kern w:val="0"/>
                <w:sz w:val="24"/>
                <w:szCs w:val="21"/>
              </w:rPr>
              <w:t>转发中国结算公布的质押券品种以及折算率</w:t>
            </w:r>
          </w:p>
        </w:tc>
        <w:tc>
          <w:tcPr>
            <w:tcW w:w="2817"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各类债券、符合条件的资产支持证券、公募REITs（限售期内的定向可转换公司债券除外）</w:t>
            </w:r>
          </w:p>
        </w:tc>
        <w:tc>
          <w:tcPr>
            <w:tcW w:w="3185"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各类债券、资产支持证券（次级除外）以及本所认可的其他债券品种（可转换公司债券暂不纳入）；质押券分不同的质押券篮子，同一篮子内的质押券折扣率相同</w:t>
            </w:r>
          </w:p>
        </w:tc>
      </w:tr>
      <w:tr>
        <w:tblPrEx>
          <w:tblCellMar>
            <w:top w:w="0" w:type="dxa"/>
            <w:left w:w="108" w:type="dxa"/>
            <w:bottom w:w="0" w:type="dxa"/>
            <w:right w:w="108" w:type="dxa"/>
          </w:tblCellMar>
        </w:tblPrEx>
        <w:trPr>
          <w:trHeight w:val="1900" w:hRule="atLeast"/>
          <w:jc w:val="center"/>
        </w:trPr>
        <w:tc>
          <w:tcPr>
            <w:tcW w:w="164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回购规模</w:t>
            </w:r>
          </w:p>
        </w:tc>
        <w:tc>
          <w:tcPr>
            <w:tcW w:w="318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折算后质押券价值对应的融资额度内</w:t>
            </w:r>
          </w:p>
        </w:tc>
        <w:tc>
          <w:tcPr>
            <w:tcW w:w="281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不得超过质押券实际面额，基础设施基金作为质押券的，不得超过基础设施基金质押份数与基础设施基金前收盘价或者面值（取较大值）的乘积</w:t>
            </w:r>
          </w:p>
        </w:tc>
        <w:tc>
          <w:tcPr>
            <w:tcW w:w="3185"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不超过担保品价值</w:t>
            </w:r>
          </w:p>
        </w:tc>
      </w:tr>
      <w:tr>
        <w:tblPrEx>
          <w:tblCellMar>
            <w:top w:w="0" w:type="dxa"/>
            <w:left w:w="108" w:type="dxa"/>
            <w:bottom w:w="0" w:type="dxa"/>
            <w:right w:w="108" w:type="dxa"/>
          </w:tblCellMar>
        </w:tblPrEx>
        <w:trPr>
          <w:trHeight w:val="28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结算方式</w:t>
            </w:r>
          </w:p>
        </w:tc>
        <w:tc>
          <w:tcPr>
            <w:tcW w:w="31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多边净额结算（担保）</w:t>
            </w:r>
          </w:p>
        </w:tc>
        <w:tc>
          <w:tcPr>
            <w:tcW w:w="600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逐笔全额结算（非担保）</w:t>
            </w:r>
          </w:p>
        </w:tc>
      </w:tr>
      <w:tr>
        <w:tblPrEx>
          <w:tblCellMar>
            <w:top w:w="0" w:type="dxa"/>
            <w:left w:w="108" w:type="dxa"/>
            <w:bottom w:w="0" w:type="dxa"/>
            <w:right w:w="108" w:type="dxa"/>
          </w:tblCellMar>
        </w:tblPrEx>
        <w:trPr>
          <w:trHeight w:val="52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回购期限</w:t>
            </w:r>
          </w:p>
        </w:tc>
        <w:tc>
          <w:tcPr>
            <w:tcW w:w="31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1天、2天、3天、4天、7天、14天、28天、91天、182天</w:t>
            </w:r>
          </w:p>
        </w:tc>
        <w:tc>
          <w:tcPr>
            <w:tcW w:w="2817"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不超过365天，且不得超过质押券的存续期间，其中续做购回期限从续做日起计算</w:t>
            </w:r>
          </w:p>
        </w:tc>
        <w:tc>
          <w:tcPr>
            <w:tcW w:w="3185"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不超过365天，且不得超过质押券的存续期间，其中续做新旧合约期限总和不得超过365天</w:t>
            </w:r>
          </w:p>
        </w:tc>
      </w:tr>
      <w:tr>
        <w:tblPrEx>
          <w:tblCellMar>
            <w:top w:w="0" w:type="dxa"/>
            <w:left w:w="108" w:type="dxa"/>
            <w:bottom w:w="0" w:type="dxa"/>
            <w:right w:w="108" w:type="dxa"/>
          </w:tblCellMar>
        </w:tblPrEx>
        <w:trPr>
          <w:trHeight w:val="1545" w:hRule="atLeast"/>
          <w:jc w:val="center"/>
        </w:trPr>
        <w:tc>
          <w:tcPr>
            <w:tcW w:w="16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投资者适当性要求</w:t>
            </w:r>
          </w:p>
        </w:tc>
        <w:tc>
          <w:tcPr>
            <w:tcW w:w="31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资金融入方应当为专业机构投资者</w:t>
            </w:r>
          </w:p>
        </w:tc>
        <w:tc>
          <w:tcPr>
            <w:tcW w:w="2817"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回购双方均应当为专业机构投资者</w:t>
            </w:r>
          </w:p>
        </w:tc>
        <w:tc>
          <w:tcPr>
            <w:tcW w:w="31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资金融入方须为具有三方回购正回购业务资格的金融机构及其理财产品、社保基金、养老基金、QFII、RQFII等机构投资者，资金融出方须为专业机构投资者</w:t>
            </w:r>
          </w:p>
        </w:tc>
      </w:tr>
    </w:tbl>
    <w:p>
      <w:pPr>
        <w:pStyle w:val="4"/>
        <w:keepNext w:val="0"/>
        <w:keepLines w:val="0"/>
        <w:spacing w:before="0" w:after="0" w:line="560" w:lineRule="exact"/>
        <w:ind w:firstLine="640" w:firstLineChars="200"/>
        <w:rPr>
          <w:rFonts w:ascii="楷体" w:hAnsi="楷体" w:eastAsia="楷体" w:cs="Times New Roman"/>
          <w:b w:val="0"/>
        </w:rPr>
      </w:pPr>
      <w:bookmarkStart w:id="242" w:name="_Toc15359"/>
      <w:bookmarkStart w:id="243" w:name="_Toc24879"/>
      <w:bookmarkStart w:id="244" w:name="_Toc11985"/>
      <w:bookmarkStart w:id="245" w:name="_Toc28863"/>
      <w:bookmarkStart w:id="246" w:name="_Toc31511"/>
      <w:bookmarkStart w:id="247" w:name="_Toc123809385"/>
      <w:bookmarkStart w:id="248" w:name="_Toc28614"/>
      <w:r>
        <w:rPr>
          <w:rFonts w:hint="eastAsia" w:ascii="楷体" w:hAnsi="楷体" w:eastAsia="楷体" w:cs="Times New Roman"/>
          <w:b w:val="0"/>
        </w:rPr>
        <w:t>（一）通用回购质押券管理</w:t>
      </w:r>
      <w:bookmarkEnd w:id="242"/>
      <w:bookmarkEnd w:id="243"/>
      <w:bookmarkEnd w:id="244"/>
      <w:bookmarkEnd w:id="245"/>
      <w:bookmarkEnd w:id="246"/>
      <w:bookmarkEnd w:id="247"/>
      <w:bookmarkEnd w:id="248"/>
    </w:p>
    <w:p>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color w:val="000000" w:themeColor="text1"/>
          <w:sz w:val="32"/>
          <w:szCs w:val="32"/>
          <w14:textFill>
            <w14:solidFill>
              <w14:schemeClr w14:val="tx1"/>
            </w14:solidFill>
          </w14:textFill>
        </w:rPr>
        <w:t>1</w:t>
      </w:r>
      <w:r>
        <w:rPr>
          <w:rFonts w:ascii="Times New Roman" w:hAnsi="Times New Roman" w:eastAsia="仿宋" w:cs="Times New Roman"/>
          <w:sz w:val="32"/>
          <w:szCs w:val="32"/>
        </w:rPr>
        <w:t>．质押、解除质押申报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资金融入方在进行通用回购交易申报前，应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通过本所提交质押券的质押申报。质押券对应的融资额度有剩余的，资金融入方可以通过本所申报解除相应质押券的质押。质押、解除质押申报要素以及信息包括证券代码、数量、证券账户号码、本方申报交易单元代码等内容。申报数量应当为100元面额或者其整数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2．受信用保护债券入库安排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符合《中国证券登记有限责任公司受信用保护债券质押式回购管理暂行办法》等相关规定的合格受信用保护债券，允许投资者将相关债券及对应的为其提供信用风险保护的合格信用保护凭证一并提交入质押库开展融资回购交易。</w:t>
      </w:r>
    </w:p>
    <w:p>
      <w:pPr>
        <w:pStyle w:val="4"/>
        <w:keepNext w:val="0"/>
        <w:keepLines w:val="0"/>
        <w:spacing w:before="0" w:after="0" w:line="560" w:lineRule="exact"/>
        <w:ind w:firstLine="640" w:firstLineChars="200"/>
        <w:rPr>
          <w:rFonts w:ascii="楷体" w:hAnsi="楷体" w:eastAsia="楷体" w:cs="Times New Roman"/>
          <w:b w:val="0"/>
        </w:rPr>
      </w:pPr>
      <w:bookmarkStart w:id="249" w:name="_Toc917"/>
      <w:bookmarkStart w:id="250" w:name="_Toc123809386"/>
      <w:bookmarkStart w:id="251" w:name="_Toc16402"/>
      <w:bookmarkStart w:id="252" w:name="_Toc946"/>
      <w:bookmarkStart w:id="253" w:name="_Toc30792"/>
      <w:bookmarkStart w:id="254" w:name="_Toc30714"/>
      <w:bookmarkStart w:id="255" w:name="_Toc21634"/>
      <w:r>
        <w:rPr>
          <w:rFonts w:hint="eastAsia" w:ascii="楷体" w:hAnsi="楷体" w:eastAsia="楷体" w:cs="Times New Roman"/>
          <w:b w:val="0"/>
        </w:rPr>
        <w:t>（二）通用回购交易申报</w:t>
      </w:r>
      <w:bookmarkEnd w:id="249"/>
      <w:bookmarkEnd w:id="250"/>
      <w:bookmarkEnd w:id="251"/>
      <w:bookmarkEnd w:id="252"/>
      <w:bookmarkEnd w:id="253"/>
      <w:bookmarkEnd w:id="254"/>
      <w:bookmarkEnd w:id="255"/>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目前通用回购交易可采用匹配成交方式达成交易，仅支持限价申报委托。申报要素以及信息包括证券代码、交易方向、价格、数量、证券账户号码、本方申报交易单元代码等内容。其中：</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“通用回购的证券代码”为“1318**”，证券简称为“R-***”，证券简称后三位是以天数表示的通用回购期限，详见下表。通用回购交易的期限按自然日计算，到期日为非交易日的，顺延至下一个交易日；</w:t>
      </w:r>
    </w:p>
    <w:p>
      <w:pPr>
        <w:spacing w:line="560" w:lineRule="exact"/>
        <w:jc w:val="center"/>
        <w:rPr>
          <w:rFonts w:hint="eastAsia" w:ascii="仿宋" w:hAnsi="仿宋" w:eastAsia="仿宋"/>
          <w:sz w:val="24"/>
          <w:szCs w:val="28"/>
        </w:rPr>
      </w:pPr>
    </w:p>
    <w:p>
      <w:pPr>
        <w:spacing w:line="560" w:lineRule="exact"/>
        <w:jc w:val="center"/>
        <w:rPr>
          <w:rFonts w:hint="eastAsia" w:ascii="仿宋" w:hAnsi="仿宋" w:eastAsia="仿宋"/>
          <w:sz w:val="24"/>
          <w:szCs w:val="28"/>
        </w:rPr>
      </w:pPr>
    </w:p>
    <w:p>
      <w:pPr>
        <w:spacing w:line="560" w:lineRule="exact"/>
        <w:jc w:val="center"/>
        <w:rPr>
          <w:rFonts w:ascii="Times New Roman" w:hAnsi="Times New Roman" w:eastAsia="仿宋" w:cs="Times New Roman"/>
          <w:sz w:val="24"/>
          <w:szCs w:val="28"/>
        </w:rPr>
      </w:pPr>
      <w:r>
        <w:rPr>
          <w:rFonts w:hint="eastAsia" w:ascii="仿宋" w:hAnsi="仿宋" w:eastAsia="仿宋"/>
          <w:sz w:val="24"/>
          <w:szCs w:val="28"/>
        </w:rPr>
        <w:t>表</w:t>
      </w:r>
      <w:r>
        <w:rPr>
          <w:rFonts w:hint="eastAsia" w:ascii="仿宋" w:hAnsi="仿宋" w:eastAsia="仿宋"/>
          <w:sz w:val="24"/>
          <w:szCs w:val="28"/>
          <w:lang w:val="en-US" w:eastAsia="zh-CN"/>
        </w:rPr>
        <w:t>5</w:t>
      </w:r>
      <w:r>
        <w:rPr>
          <w:rFonts w:hint="eastAsia" w:ascii="仿宋" w:hAnsi="仿宋" w:eastAsia="仿宋"/>
          <w:sz w:val="24"/>
          <w:szCs w:val="28"/>
        </w:rPr>
        <w:t>-通用回购证券代码以及简称</w:t>
      </w:r>
    </w:p>
    <w:tbl>
      <w:tblPr>
        <w:tblStyle w:val="27"/>
        <w:tblW w:w="6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209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b/>
                <w:sz w:val="24"/>
                <w:szCs w:val="28"/>
              </w:rPr>
            </w:pPr>
            <w:r>
              <w:rPr>
                <w:rFonts w:ascii="Times New Roman" w:hAnsi="Times New Roman" w:eastAsia="仿宋" w:cs="Times New Roman"/>
                <w:b/>
                <w:sz w:val="24"/>
                <w:szCs w:val="28"/>
              </w:rPr>
              <w:t>通用回购期限</w:t>
            </w:r>
          </w:p>
        </w:tc>
        <w:tc>
          <w:tcPr>
            <w:tcW w:w="2095" w:type="dxa"/>
            <w:vAlign w:val="center"/>
          </w:tcPr>
          <w:p>
            <w:pPr>
              <w:snapToGrid w:val="0"/>
              <w:jc w:val="center"/>
              <w:rPr>
                <w:rFonts w:ascii="Times New Roman" w:hAnsi="Times New Roman" w:eastAsia="仿宋" w:cs="Times New Roman"/>
                <w:b/>
                <w:sz w:val="24"/>
                <w:szCs w:val="28"/>
              </w:rPr>
            </w:pPr>
            <w:r>
              <w:rPr>
                <w:rFonts w:ascii="Times New Roman" w:hAnsi="Times New Roman" w:eastAsia="仿宋" w:cs="Times New Roman"/>
                <w:b/>
                <w:sz w:val="24"/>
                <w:szCs w:val="28"/>
              </w:rPr>
              <w:t>证券简称</w:t>
            </w:r>
          </w:p>
        </w:tc>
        <w:tc>
          <w:tcPr>
            <w:tcW w:w="1985" w:type="dxa"/>
            <w:vAlign w:val="center"/>
          </w:tcPr>
          <w:p>
            <w:pPr>
              <w:snapToGrid w:val="0"/>
              <w:jc w:val="center"/>
              <w:rPr>
                <w:rFonts w:ascii="Times New Roman" w:hAnsi="Times New Roman" w:eastAsia="仿宋" w:cs="Times New Roman"/>
                <w:b/>
                <w:sz w:val="24"/>
                <w:szCs w:val="28"/>
              </w:rPr>
            </w:pPr>
            <w:r>
              <w:rPr>
                <w:rFonts w:ascii="Times New Roman" w:hAnsi="Times New Roman" w:eastAsia="仿宋" w:cs="Times New Roman"/>
                <w:b/>
                <w:sz w:val="24"/>
                <w:szCs w:val="28"/>
              </w:rPr>
              <w:t>证券代码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1天</w:t>
            </w:r>
          </w:p>
        </w:tc>
        <w:tc>
          <w:tcPr>
            <w:tcW w:w="209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R</w:t>
            </w:r>
            <w:r>
              <w:rPr>
                <w:rFonts w:hint="eastAsia" w:ascii="Times New Roman" w:hAnsi="Times New Roman" w:eastAsia="仿宋" w:cs="Times New Roman"/>
                <w:sz w:val="24"/>
                <w:szCs w:val="28"/>
              </w:rPr>
              <w:t>-</w:t>
            </w:r>
            <w:r>
              <w:rPr>
                <w:rFonts w:ascii="Times New Roman" w:hAnsi="Times New Roman" w:eastAsia="仿宋" w:cs="Times New Roman"/>
                <w:sz w:val="24"/>
                <w:szCs w:val="28"/>
              </w:rPr>
              <w:t>001</w:t>
            </w:r>
          </w:p>
        </w:tc>
        <w:tc>
          <w:tcPr>
            <w:tcW w:w="198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131810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2天</w:t>
            </w:r>
          </w:p>
        </w:tc>
        <w:tc>
          <w:tcPr>
            <w:tcW w:w="209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R</w:t>
            </w:r>
            <w:r>
              <w:rPr>
                <w:rFonts w:hint="eastAsia" w:ascii="Times New Roman" w:hAnsi="Times New Roman" w:eastAsia="仿宋" w:cs="Times New Roman"/>
                <w:sz w:val="24"/>
                <w:szCs w:val="28"/>
              </w:rPr>
              <w:t>-</w:t>
            </w:r>
            <w:r>
              <w:rPr>
                <w:rFonts w:ascii="Times New Roman" w:hAnsi="Times New Roman" w:eastAsia="仿宋" w:cs="Times New Roman"/>
                <w:sz w:val="24"/>
                <w:szCs w:val="28"/>
              </w:rPr>
              <w:t>002</w:t>
            </w:r>
          </w:p>
        </w:tc>
        <w:tc>
          <w:tcPr>
            <w:tcW w:w="198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131811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3天</w:t>
            </w:r>
          </w:p>
        </w:tc>
        <w:tc>
          <w:tcPr>
            <w:tcW w:w="209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R</w:t>
            </w:r>
            <w:r>
              <w:rPr>
                <w:rFonts w:hint="eastAsia" w:ascii="Times New Roman" w:hAnsi="Times New Roman" w:eastAsia="仿宋" w:cs="Times New Roman"/>
                <w:sz w:val="24"/>
                <w:szCs w:val="28"/>
              </w:rPr>
              <w:t>-</w:t>
            </w:r>
            <w:r>
              <w:rPr>
                <w:rFonts w:ascii="Times New Roman" w:hAnsi="Times New Roman" w:eastAsia="仿宋" w:cs="Times New Roman"/>
                <w:sz w:val="24"/>
                <w:szCs w:val="28"/>
              </w:rPr>
              <w:t>003</w:t>
            </w:r>
          </w:p>
        </w:tc>
        <w:tc>
          <w:tcPr>
            <w:tcW w:w="198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131800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4天</w:t>
            </w:r>
          </w:p>
        </w:tc>
        <w:tc>
          <w:tcPr>
            <w:tcW w:w="209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R</w:t>
            </w:r>
            <w:r>
              <w:rPr>
                <w:rFonts w:hint="eastAsia" w:ascii="Times New Roman" w:hAnsi="Times New Roman" w:eastAsia="仿宋" w:cs="Times New Roman"/>
                <w:sz w:val="24"/>
                <w:szCs w:val="28"/>
              </w:rPr>
              <w:t>-</w:t>
            </w:r>
            <w:r>
              <w:rPr>
                <w:rFonts w:ascii="Times New Roman" w:hAnsi="Times New Roman" w:eastAsia="仿宋" w:cs="Times New Roman"/>
                <w:sz w:val="24"/>
                <w:szCs w:val="28"/>
              </w:rPr>
              <w:t>004</w:t>
            </w:r>
          </w:p>
        </w:tc>
        <w:tc>
          <w:tcPr>
            <w:tcW w:w="198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131809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7天</w:t>
            </w:r>
          </w:p>
        </w:tc>
        <w:tc>
          <w:tcPr>
            <w:tcW w:w="209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R</w:t>
            </w:r>
            <w:r>
              <w:rPr>
                <w:rFonts w:hint="eastAsia" w:ascii="Times New Roman" w:hAnsi="Times New Roman" w:eastAsia="仿宋" w:cs="Times New Roman"/>
                <w:sz w:val="24"/>
                <w:szCs w:val="28"/>
              </w:rPr>
              <w:t>-</w:t>
            </w:r>
            <w:r>
              <w:rPr>
                <w:rFonts w:ascii="Times New Roman" w:hAnsi="Times New Roman" w:eastAsia="仿宋" w:cs="Times New Roman"/>
                <w:sz w:val="24"/>
                <w:szCs w:val="28"/>
              </w:rPr>
              <w:t>007</w:t>
            </w:r>
          </w:p>
        </w:tc>
        <w:tc>
          <w:tcPr>
            <w:tcW w:w="198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131801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14天</w:t>
            </w:r>
          </w:p>
        </w:tc>
        <w:tc>
          <w:tcPr>
            <w:tcW w:w="209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R</w:t>
            </w:r>
            <w:r>
              <w:rPr>
                <w:rFonts w:hint="eastAsia" w:ascii="Times New Roman" w:hAnsi="Times New Roman" w:eastAsia="仿宋" w:cs="Times New Roman"/>
                <w:sz w:val="24"/>
                <w:szCs w:val="28"/>
              </w:rPr>
              <w:t>-</w:t>
            </w:r>
            <w:r>
              <w:rPr>
                <w:rFonts w:ascii="Times New Roman" w:hAnsi="Times New Roman" w:eastAsia="仿宋" w:cs="Times New Roman"/>
                <w:sz w:val="24"/>
                <w:szCs w:val="28"/>
              </w:rPr>
              <w:t>014</w:t>
            </w:r>
          </w:p>
        </w:tc>
        <w:tc>
          <w:tcPr>
            <w:tcW w:w="198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131802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28天</w:t>
            </w:r>
          </w:p>
        </w:tc>
        <w:tc>
          <w:tcPr>
            <w:tcW w:w="209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R</w:t>
            </w:r>
            <w:r>
              <w:rPr>
                <w:rFonts w:hint="eastAsia" w:ascii="Times New Roman" w:hAnsi="Times New Roman" w:eastAsia="仿宋" w:cs="Times New Roman"/>
                <w:sz w:val="24"/>
                <w:szCs w:val="28"/>
              </w:rPr>
              <w:t>-</w:t>
            </w:r>
            <w:r>
              <w:rPr>
                <w:rFonts w:ascii="Times New Roman" w:hAnsi="Times New Roman" w:eastAsia="仿宋" w:cs="Times New Roman"/>
                <w:sz w:val="24"/>
                <w:szCs w:val="28"/>
              </w:rPr>
              <w:t>028</w:t>
            </w:r>
          </w:p>
        </w:tc>
        <w:tc>
          <w:tcPr>
            <w:tcW w:w="198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131003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91天</w:t>
            </w:r>
          </w:p>
        </w:tc>
        <w:tc>
          <w:tcPr>
            <w:tcW w:w="209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R</w:t>
            </w:r>
            <w:r>
              <w:rPr>
                <w:rFonts w:hint="eastAsia" w:ascii="Times New Roman" w:hAnsi="Times New Roman" w:eastAsia="仿宋" w:cs="Times New Roman"/>
                <w:sz w:val="24"/>
                <w:szCs w:val="28"/>
              </w:rPr>
              <w:t>-</w:t>
            </w:r>
            <w:r>
              <w:rPr>
                <w:rFonts w:ascii="Times New Roman" w:hAnsi="Times New Roman" w:eastAsia="仿宋" w:cs="Times New Roman"/>
                <w:sz w:val="24"/>
                <w:szCs w:val="28"/>
              </w:rPr>
              <w:t>091</w:t>
            </w:r>
          </w:p>
        </w:tc>
        <w:tc>
          <w:tcPr>
            <w:tcW w:w="198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131805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1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182天</w:t>
            </w:r>
          </w:p>
        </w:tc>
        <w:tc>
          <w:tcPr>
            <w:tcW w:w="209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R</w:t>
            </w:r>
            <w:r>
              <w:rPr>
                <w:rFonts w:hint="eastAsia" w:ascii="Times New Roman" w:hAnsi="Times New Roman" w:eastAsia="仿宋" w:cs="Times New Roman"/>
                <w:sz w:val="24"/>
                <w:szCs w:val="28"/>
              </w:rPr>
              <w:t>-</w:t>
            </w:r>
            <w:r>
              <w:rPr>
                <w:rFonts w:ascii="Times New Roman" w:hAnsi="Times New Roman" w:eastAsia="仿宋" w:cs="Times New Roman"/>
                <w:sz w:val="24"/>
                <w:szCs w:val="28"/>
              </w:rPr>
              <w:t>182</w:t>
            </w:r>
          </w:p>
        </w:tc>
        <w:tc>
          <w:tcPr>
            <w:tcW w:w="1985" w:type="dxa"/>
            <w:vAlign w:val="center"/>
          </w:tcPr>
          <w:p>
            <w:pPr>
              <w:snapToGrid w:val="0"/>
              <w:jc w:val="center"/>
              <w:rPr>
                <w:rFonts w:ascii="Times New Roman" w:hAnsi="Times New Roman" w:eastAsia="仿宋" w:cs="Times New Roman"/>
                <w:sz w:val="24"/>
                <w:szCs w:val="28"/>
              </w:rPr>
            </w:pPr>
            <w:r>
              <w:rPr>
                <w:rFonts w:ascii="Times New Roman" w:hAnsi="Times New Roman" w:eastAsia="仿宋" w:cs="Times New Roman"/>
                <w:sz w:val="24"/>
                <w:szCs w:val="28"/>
              </w:rPr>
              <w:t>131806</w:t>
            </w:r>
          </w:p>
        </w:tc>
      </w:tr>
    </w:tbl>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“交易方向”可填写买入或者卖出，资金融入方申报的交易方向为买入，资金融出方申报的交易方向为卖出；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“数量”可填写1,000元面额或者其整数倍，单笔最大申报数量不得超过100亿元面额。正回购方可以在其质押券对应的融资额度内进行融资回购交易申报，质押券余额不足的，通用回购融资交易的申报无效；</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价格”单位为“每百元资金到期年收益”，采用匹配成交申报价格最小变动单位为0.005元（即年化收益率0.005%），且必须满足有效申报价格范围的要求。开盘集合匹配阶段，通用回购的有效申报价格范围为前收盘价格的上下100%；连续匹配、盘中临时停牌复牌集合匹配阶段，通用回购的有效申报价格不得高于匹配成交最新成交价格的100个基点（即百元资金到期年收益1元）。</w:t>
      </w:r>
    </w:p>
    <w:p>
      <w:pPr>
        <w:keepNext/>
        <w:keepLines/>
        <w:spacing w:line="560" w:lineRule="exact"/>
        <w:ind w:firstLine="640" w:firstLineChars="200"/>
        <w:outlineLvl w:val="1"/>
        <w:rPr>
          <w:rFonts w:ascii="Times New Roman" w:hAnsi="Times New Roman" w:eastAsia="仿宋" w:cs="Times New Roman"/>
          <w:b/>
          <w:bCs/>
          <w:sz w:val="32"/>
          <w:szCs w:val="32"/>
        </w:rPr>
      </w:pPr>
      <w:bookmarkStart w:id="256" w:name="_Toc29566"/>
      <w:bookmarkStart w:id="257" w:name="_Toc18847"/>
      <w:bookmarkStart w:id="258" w:name="_Toc21890"/>
      <w:bookmarkStart w:id="259" w:name="_Toc123809387"/>
      <w:bookmarkStart w:id="260" w:name="_Toc8239"/>
      <w:bookmarkStart w:id="261" w:name="_Toc32720"/>
      <w:bookmarkStart w:id="262" w:name="_Toc1548"/>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信用保护工具</w:t>
      </w:r>
      <w:bookmarkEnd w:id="256"/>
      <w:bookmarkEnd w:id="257"/>
      <w:bookmarkEnd w:id="258"/>
      <w:bookmarkEnd w:id="259"/>
      <w:bookmarkEnd w:id="260"/>
      <w:bookmarkEnd w:id="261"/>
      <w:bookmarkEnd w:id="262"/>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信用保护工具</w:t>
      </w:r>
      <w:r>
        <w:rPr>
          <w:rStyle w:val="33"/>
          <w:rFonts w:ascii="Times New Roman" w:hAnsi="Times New Roman" w:eastAsia="仿宋"/>
          <w:sz w:val="32"/>
          <w:szCs w:val="32"/>
        </w:rPr>
        <w:footnoteReference w:id="9"/>
      </w:r>
      <w:r>
        <w:rPr>
          <w:rFonts w:hint="eastAsia" w:ascii="Times New Roman" w:hAnsi="Times New Roman" w:eastAsia="仿宋" w:cs="Times New Roman"/>
          <w:sz w:val="32"/>
          <w:szCs w:val="32"/>
        </w:rPr>
        <w:t>，是指信用保护卖方和信用保护买方达成的，约定在未来一定期限内，买方按照约定的标准和方式向卖方支付信用保护费用，由卖方就约定的一个或者多个参考实体或者其符合特定债务种类和债务特征的一个或者多个、一类或者多类债务向买方提供信用风险保护的金融工具。信用保护工具包括信用保护合约（含组合型信用保护合约，即CDX合约）和信用保护凭证。</w:t>
      </w:r>
    </w:p>
    <w:p>
      <w:pPr>
        <w:spacing w:line="560" w:lineRule="exact"/>
        <w:ind w:firstLine="480"/>
        <w:jc w:val="center"/>
        <w:rPr>
          <w:rFonts w:ascii="Times New Roman" w:hAnsi="Times New Roman" w:eastAsia="仿宋" w:cs="Times New Roman"/>
          <w:sz w:val="24"/>
          <w:szCs w:val="28"/>
        </w:rPr>
      </w:pPr>
      <w:r>
        <w:rPr>
          <w:rFonts w:hint="eastAsia" w:ascii="仿宋" w:hAnsi="仿宋" w:eastAsia="仿宋"/>
          <w:sz w:val="24"/>
          <w:szCs w:val="28"/>
        </w:rPr>
        <w:t>表</w:t>
      </w:r>
      <w:r>
        <w:rPr>
          <w:rFonts w:hint="eastAsia" w:ascii="仿宋" w:hAnsi="仿宋" w:eastAsia="仿宋"/>
          <w:sz w:val="24"/>
          <w:szCs w:val="28"/>
          <w:lang w:val="en-US" w:eastAsia="zh-CN"/>
        </w:rPr>
        <w:t>6</w:t>
      </w:r>
      <w:r>
        <w:rPr>
          <w:rFonts w:hint="eastAsia" w:ascii="仿宋" w:hAnsi="仿宋" w:eastAsia="仿宋"/>
          <w:sz w:val="24"/>
          <w:szCs w:val="28"/>
        </w:rPr>
        <w:t>-信用保护合约以及凭证概览</w:t>
      </w:r>
    </w:p>
    <w:tbl>
      <w:tblPr>
        <w:tblStyle w:val="26"/>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56"/>
        <w:gridCol w:w="3406"/>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jc w:val="center"/>
        </w:trPr>
        <w:tc>
          <w:tcPr>
            <w:tcW w:w="2156"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b/>
                <w:sz w:val="24"/>
                <w:szCs w:val="24"/>
              </w:rPr>
            </w:pPr>
          </w:p>
        </w:tc>
        <w:tc>
          <w:tcPr>
            <w:tcW w:w="3406"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b/>
                <w:sz w:val="24"/>
                <w:szCs w:val="24"/>
              </w:rPr>
            </w:pPr>
            <w:r>
              <w:rPr>
                <w:rFonts w:hint="eastAsia" w:ascii="仿宋" w:hAnsi="仿宋" w:eastAsia="仿宋" w:cs="Times New Roman"/>
                <w:b/>
                <w:sz w:val="24"/>
                <w:szCs w:val="24"/>
              </w:rPr>
              <w:t>信用保护合约</w:t>
            </w:r>
          </w:p>
        </w:tc>
        <w:tc>
          <w:tcPr>
            <w:tcW w:w="3374"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b/>
                <w:sz w:val="24"/>
                <w:szCs w:val="24"/>
              </w:rPr>
            </w:pPr>
            <w:r>
              <w:rPr>
                <w:rFonts w:hint="eastAsia" w:ascii="仿宋" w:hAnsi="仿宋" w:eastAsia="仿宋" w:cs="Times New Roman"/>
                <w:b/>
                <w:sz w:val="24"/>
                <w:szCs w:val="24"/>
              </w:rPr>
              <w:t>信用保护凭证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2" w:hRule="atLeast"/>
          <w:jc w:val="center"/>
        </w:trPr>
        <w:tc>
          <w:tcPr>
            <w:tcW w:w="2156"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b/>
                <w:sz w:val="24"/>
                <w:szCs w:val="24"/>
              </w:rPr>
            </w:pPr>
            <w:r>
              <w:rPr>
                <w:rFonts w:hint="eastAsia" w:ascii="仿宋" w:hAnsi="仿宋" w:eastAsia="仿宋" w:cs="Times New Roman"/>
                <w:b/>
                <w:sz w:val="24"/>
                <w:szCs w:val="24"/>
              </w:rPr>
              <w:t>产品特性</w:t>
            </w:r>
          </w:p>
        </w:tc>
        <w:tc>
          <w:tcPr>
            <w:tcW w:w="3406"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sz w:val="24"/>
                <w:szCs w:val="24"/>
              </w:rPr>
            </w:pPr>
            <w:r>
              <w:rPr>
                <w:rFonts w:hint="eastAsia" w:ascii="仿宋" w:hAnsi="仿宋" w:eastAsia="仿宋" w:cs="Times New Roman"/>
                <w:sz w:val="24"/>
                <w:szCs w:val="24"/>
              </w:rPr>
              <w:t>一对一达成，其中必须至少有一方为核心交易商</w:t>
            </w:r>
          </w:p>
        </w:tc>
        <w:tc>
          <w:tcPr>
            <w:tcW w:w="3374"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sz w:val="24"/>
                <w:szCs w:val="24"/>
              </w:rPr>
            </w:pPr>
            <w:r>
              <w:rPr>
                <w:rFonts w:hint="eastAsia" w:ascii="仿宋" w:hAnsi="仿宋" w:eastAsia="仿宋" w:cs="Times New Roman"/>
                <w:sz w:val="24"/>
                <w:szCs w:val="24"/>
              </w:rPr>
              <w:t>由创设机构创设，创设时以及转让后的投资者合计不得超过200人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 w:hRule="atLeast"/>
          <w:jc w:val="center"/>
        </w:trPr>
        <w:tc>
          <w:tcPr>
            <w:tcW w:w="2156" w:type="dxa"/>
            <w:shd w:val="clear" w:color="auto" w:fill="auto"/>
            <w:tcMar>
              <w:top w:w="120" w:type="dxa"/>
              <w:left w:w="375" w:type="dxa"/>
              <w:bottom w:w="120" w:type="dxa"/>
              <w:right w:w="450" w:type="dxa"/>
            </w:tcMar>
          </w:tcPr>
          <w:p>
            <w:pPr>
              <w:spacing w:before="100" w:beforeAutospacing="1" w:after="100" w:afterAutospacing="1"/>
              <w:jc w:val="center"/>
              <w:rPr>
                <w:rFonts w:ascii="仿宋" w:hAnsi="仿宋" w:eastAsia="仿宋" w:cs="Times New Roman"/>
                <w:b/>
                <w:sz w:val="24"/>
                <w:szCs w:val="24"/>
              </w:rPr>
            </w:pPr>
            <w:r>
              <w:rPr>
                <w:rFonts w:hint="eastAsia" w:ascii="仿宋" w:hAnsi="仿宋" w:eastAsia="仿宋" w:cs="Times New Roman"/>
                <w:b/>
                <w:sz w:val="24"/>
                <w:szCs w:val="24"/>
              </w:rPr>
              <w:t>是否可转让</w:t>
            </w:r>
          </w:p>
        </w:tc>
        <w:tc>
          <w:tcPr>
            <w:tcW w:w="3406"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sz w:val="24"/>
                <w:szCs w:val="24"/>
              </w:rPr>
            </w:pPr>
            <w:r>
              <w:rPr>
                <w:rFonts w:hint="eastAsia" w:ascii="仿宋" w:hAnsi="仿宋" w:eastAsia="仿宋" w:cs="Times New Roman"/>
                <w:sz w:val="24"/>
                <w:szCs w:val="24"/>
              </w:rPr>
              <w:t>否</w:t>
            </w:r>
          </w:p>
        </w:tc>
        <w:tc>
          <w:tcPr>
            <w:tcW w:w="3374"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sz w:val="24"/>
                <w:szCs w:val="24"/>
              </w:rPr>
            </w:pPr>
            <w:r>
              <w:rPr>
                <w:rFonts w:hint="eastAsia" w:ascii="仿宋" w:hAnsi="仿宋" w:eastAsia="仿宋" w:cs="Times New Roman"/>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2156" w:type="dxa"/>
            <w:shd w:val="clear" w:color="auto" w:fill="auto"/>
            <w:tcMar>
              <w:top w:w="120" w:type="dxa"/>
              <w:left w:w="375" w:type="dxa"/>
              <w:bottom w:w="120" w:type="dxa"/>
              <w:right w:w="450" w:type="dxa"/>
            </w:tcMar>
          </w:tcPr>
          <w:p>
            <w:pPr>
              <w:spacing w:before="100" w:beforeAutospacing="1" w:after="100" w:afterAutospacing="1"/>
              <w:jc w:val="center"/>
              <w:rPr>
                <w:rFonts w:ascii="仿宋" w:hAnsi="仿宋" w:eastAsia="仿宋" w:cs="Times New Roman"/>
                <w:b/>
                <w:sz w:val="24"/>
                <w:szCs w:val="24"/>
              </w:rPr>
            </w:pPr>
            <w:r>
              <w:rPr>
                <w:rFonts w:hint="eastAsia" w:ascii="仿宋" w:hAnsi="仿宋" w:eastAsia="仿宋" w:cs="Times New Roman"/>
                <w:b/>
                <w:sz w:val="24"/>
                <w:szCs w:val="24"/>
              </w:rPr>
              <w:t>是否需签署主协议</w:t>
            </w:r>
          </w:p>
        </w:tc>
        <w:tc>
          <w:tcPr>
            <w:tcW w:w="3406"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sz w:val="24"/>
                <w:szCs w:val="24"/>
              </w:rPr>
            </w:pPr>
            <w:r>
              <w:rPr>
                <w:rFonts w:hint="eastAsia" w:ascii="仿宋" w:hAnsi="仿宋" w:eastAsia="仿宋" w:cs="Times New Roman"/>
                <w:sz w:val="24"/>
                <w:szCs w:val="24"/>
              </w:rPr>
              <w:t>合约达成前应当签署主协议</w:t>
            </w:r>
          </w:p>
        </w:tc>
        <w:tc>
          <w:tcPr>
            <w:tcW w:w="3374"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sz w:val="24"/>
                <w:szCs w:val="24"/>
              </w:rPr>
            </w:pPr>
            <w:r>
              <w:rPr>
                <w:rFonts w:hint="eastAsia" w:ascii="仿宋" w:hAnsi="仿宋" w:eastAsia="仿宋" w:cs="Times New Roman"/>
                <w:sz w:val="24"/>
                <w:szCs w:val="24"/>
              </w:rPr>
              <w:t>不需签署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9" w:hRule="atLeast"/>
          <w:jc w:val="center"/>
        </w:trPr>
        <w:tc>
          <w:tcPr>
            <w:tcW w:w="2156" w:type="dxa"/>
            <w:shd w:val="clear" w:color="auto" w:fill="auto"/>
            <w:tcMar>
              <w:top w:w="120" w:type="dxa"/>
              <w:left w:w="375" w:type="dxa"/>
              <w:bottom w:w="120" w:type="dxa"/>
              <w:right w:w="450" w:type="dxa"/>
            </w:tcMar>
          </w:tcPr>
          <w:p>
            <w:pPr>
              <w:spacing w:before="100" w:beforeAutospacing="1" w:after="100" w:afterAutospacing="1"/>
              <w:jc w:val="center"/>
              <w:rPr>
                <w:rFonts w:ascii="仿宋" w:hAnsi="仿宋" w:eastAsia="仿宋" w:cs="Times New Roman"/>
                <w:b/>
                <w:sz w:val="24"/>
                <w:szCs w:val="24"/>
              </w:rPr>
            </w:pPr>
            <w:r>
              <w:rPr>
                <w:rFonts w:hint="eastAsia" w:ascii="仿宋" w:hAnsi="仿宋" w:eastAsia="仿宋" w:cs="Times New Roman"/>
                <w:b/>
                <w:sz w:val="24"/>
                <w:szCs w:val="24"/>
              </w:rPr>
              <w:t>保护费支付方式</w:t>
            </w:r>
          </w:p>
        </w:tc>
        <w:tc>
          <w:tcPr>
            <w:tcW w:w="3406"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sz w:val="24"/>
                <w:szCs w:val="24"/>
              </w:rPr>
            </w:pPr>
            <w:r>
              <w:rPr>
                <w:rFonts w:hint="eastAsia" w:ascii="仿宋" w:hAnsi="仿宋" w:eastAsia="仿宋" w:cs="Times New Roman"/>
                <w:sz w:val="24"/>
                <w:szCs w:val="24"/>
              </w:rPr>
              <w:t>按季支付约定保护费、季度标准保护费和前端费用相结合、或者前端一次性支付保护费</w:t>
            </w:r>
          </w:p>
        </w:tc>
        <w:tc>
          <w:tcPr>
            <w:tcW w:w="3374" w:type="dxa"/>
            <w:shd w:val="clear" w:color="auto" w:fill="auto"/>
            <w:tcMar>
              <w:top w:w="120" w:type="dxa"/>
              <w:left w:w="375" w:type="dxa"/>
              <w:bottom w:w="120" w:type="dxa"/>
              <w:right w:w="450" w:type="dxa"/>
            </w:tcMar>
            <w:vAlign w:val="center"/>
          </w:tcPr>
          <w:p>
            <w:pPr>
              <w:spacing w:before="100" w:beforeAutospacing="1" w:after="100" w:afterAutospacing="1"/>
              <w:jc w:val="center"/>
              <w:rPr>
                <w:rFonts w:ascii="仿宋" w:hAnsi="仿宋" w:eastAsia="仿宋" w:cs="Times New Roman"/>
                <w:sz w:val="24"/>
                <w:szCs w:val="24"/>
              </w:rPr>
            </w:pPr>
            <w:r>
              <w:rPr>
                <w:rFonts w:hint="eastAsia" w:ascii="仿宋" w:hAnsi="仿宋" w:eastAsia="仿宋" w:cs="Times New Roman"/>
                <w:sz w:val="24"/>
                <w:szCs w:val="24"/>
              </w:rPr>
              <w:t>由买方在凭证创设时一次性向创设机构支付</w:t>
            </w:r>
          </w:p>
        </w:tc>
      </w:tr>
    </w:tbl>
    <w:p>
      <w:pPr>
        <w:spacing w:before="120" w:beforeLines="50" w:after="120" w:afterLines="50" w:line="560" w:lineRule="exact"/>
        <w:jc w:val="center"/>
        <w:outlineLvl w:val="9"/>
        <w:rPr>
          <w:rFonts w:ascii="Times New Roman" w:hAnsi="Times New Roman" w:eastAsia="仿宋" w:cs="Times New Roman"/>
          <w:bCs w:val="0"/>
          <w:kern w:val="2"/>
          <w:sz w:val="32"/>
          <w:szCs w:val="32"/>
        </w:rPr>
      </w:pPr>
      <w:bookmarkStart w:id="263" w:name="_Toc123809388"/>
      <w:bookmarkStart w:id="264" w:name="_Toc15348"/>
      <w:bookmarkStart w:id="265" w:name="_Toc8922"/>
      <w:bookmarkStart w:id="266" w:name="_Toc6242"/>
      <w:bookmarkStart w:id="267" w:name="_Toc27222"/>
      <w:bookmarkStart w:id="268" w:name="_Toc70416378"/>
      <w:bookmarkStart w:id="269" w:name="_Toc70416331"/>
      <w:bookmarkStart w:id="270" w:name="_Toc5193308"/>
      <w:bookmarkStart w:id="271" w:name="_Toc70416573"/>
    </w:p>
    <w:p>
      <w:pPr>
        <w:pStyle w:val="2"/>
        <w:spacing w:before="120" w:beforeLines="50" w:after="120" w:afterLines="50" w:line="560" w:lineRule="exact"/>
        <w:jc w:val="center"/>
        <w:rPr>
          <w:rFonts w:ascii="Times New Roman" w:hAnsi="Times New Roman" w:eastAsia="仿宋" w:cs="Times New Roman"/>
          <w:bCs w:val="0"/>
          <w:kern w:val="2"/>
          <w:sz w:val="32"/>
          <w:szCs w:val="32"/>
        </w:rPr>
      </w:pPr>
      <w:bookmarkStart w:id="272" w:name="_Toc22246"/>
      <w:bookmarkStart w:id="273" w:name="_Toc31434"/>
      <w:r>
        <w:rPr>
          <w:rFonts w:ascii="Times New Roman" w:hAnsi="Times New Roman" w:eastAsia="仿宋" w:cs="Times New Roman"/>
          <w:bCs w:val="0"/>
          <w:kern w:val="2"/>
          <w:sz w:val="32"/>
          <w:szCs w:val="32"/>
        </w:rPr>
        <w:t>第</w:t>
      </w:r>
      <w:r>
        <w:rPr>
          <w:rFonts w:hint="eastAsia" w:ascii="Times New Roman" w:hAnsi="Times New Roman" w:eastAsia="仿宋" w:cs="Times New Roman"/>
          <w:bCs w:val="0"/>
          <w:kern w:val="2"/>
          <w:sz w:val="32"/>
          <w:szCs w:val="32"/>
        </w:rPr>
        <w:t>四</w:t>
      </w:r>
      <w:r>
        <w:rPr>
          <w:rFonts w:ascii="Times New Roman" w:hAnsi="Times New Roman" w:eastAsia="仿宋" w:cs="Times New Roman"/>
          <w:bCs w:val="0"/>
          <w:kern w:val="2"/>
          <w:sz w:val="32"/>
          <w:szCs w:val="32"/>
        </w:rPr>
        <w:t xml:space="preserve">章 </w:t>
      </w:r>
      <w:r>
        <w:rPr>
          <w:rFonts w:hint="eastAsia" w:ascii="Times New Roman" w:hAnsi="Times New Roman" w:eastAsia="仿宋" w:cs="Times New Roman"/>
          <w:bCs w:val="0"/>
          <w:kern w:val="2"/>
          <w:sz w:val="32"/>
          <w:szCs w:val="32"/>
        </w:rPr>
        <w:t>交易信息</w:t>
      </w:r>
      <w:bookmarkEnd w:id="263"/>
      <w:bookmarkEnd w:id="264"/>
      <w:bookmarkEnd w:id="265"/>
      <w:bookmarkEnd w:id="266"/>
      <w:bookmarkEnd w:id="267"/>
      <w:bookmarkEnd w:id="272"/>
      <w:bookmarkEnd w:id="273"/>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本所将通过交易系统和官网发布债券交易以及统计信息。</w:t>
      </w:r>
    </w:p>
    <w:p>
      <w:pPr>
        <w:pStyle w:val="4"/>
        <w:keepNext w:val="0"/>
        <w:keepLines w:val="0"/>
        <w:spacing w:before="0" w:after="0" w:line="560" w:lineRule="exact"/>
        <w:ind w:firstLine="640" w:firstLineChars="200"/>
        <w:rPr>
          <w:rFonts w:ascii="楷体" w:hAnsi="楷体" w:eastAsia="楷体" w:cs="Times New Roman"/>
          <w:b w:val="0"/>
        </w:rPr>
      </w:pPr>
      <w:bookmarkStart w:id="274" w:name="_Toc17577"/>
      <w:bookmarkStart w:id="275" w:name="_Toc123809389"/>
      <w:bookmarkStart w:id="276" w:name="_Toc5974"/>
      <w:bookmarkStart w:id="277" w:name="_Toc26124"/>
      <w:bookmarkStart w:id="278" w:name="_Toc49"/>
      <w:bookmarkStart w:id="279" w:name="_Toc3942"/>
      <w:bookmarkStart w:id="280" w:name="_Toc17985"/>
      <w:r>
        <w:rPr>
          <w:rFonts w:hint="eastAsia" w:ascii="楷体" w:hAnsi="楷体" w:eastAsia="楷体" w:cs="Times New Roman"/>
          <w:b w:val="0"/>
        </w:rPr>
        <w:t>（一）现券交易信息</w:t>
      </w:r>
      <w:bookmarkEnd w:id="274"/>
      <w:bookmarkEnd w:id="275"/>
      <w:bookmarkEnd w:id="276"/>
      <w:bookmarkEnd w:id="277"/>
      <w:bookmarkEnd w:id="278"/>
      <w:bookmarkEnd w:id="279"/>
      <w:bookmarkEnd w:id="280"/>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1．交易申报信息</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本所向全市场发布匹配成交、点击成交以及竞买成交相关申报信息，具体安排如下：</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（1）匹配成交</w:t>
      </w:r>
    </w:p>
    <w:p>
      <w:pPr>
        <w:pStyle w:val="24"/>
        <w:widowControl w:val="0"/>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本所通过交易系统和官网在集合匹配阶段发布参考价格、匹配量、未匹配量等信息，在连续匹配阶段发布最优五档买卖申报价格、数量等信息。债券临时停牌期间不揭示集合匹配参考价、匹配量和未匹配量。</w:t>
      </w:r>
    </w:p>
    <w:p>
      <w:pPr>
        <w:pStyle w:val="24"/>
        <w:widowControl w:val="0"/>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本所通过</w:t>
      </w:r>
      <w:r>
        <w:rPr>
          <w:rFonts w:hint="eastAsia" w:ascii="Times New Roman" w:hAnsi="Times New Roman" w:eastAsia="仿宋" w:cs="Times New Roman"/>
          <w:sz w:val="32"/>
          <w:szCs w:val="32"/>
        </w:rPr>
        <w:t>交易系统</w:t>
      </w:r>
      <w:r>
        <w:rPr>
          <w:rFonts w:hint="eastAsia" w:ascii="仿宋" w:hAnsi="仿宋" w:eastAsia="仿宋"/>
          <w:color w:val="000000"/>
          <w:sz w:val="32"/>
          <w:szCs w:val="32"/>
        </w:rPr>
        <w:t>发布成交数量</w:t>
      </w:r>
      <w:r>
        <w:rPr>
          <w:rFonts w:ascii="仿宋" w:hAnsi="仿宋" w:eastAsia="仿宋"/>
          <w:color w:val="000000"/>
          <w:sz w:val="32"/>
          <w:szCs w:val="32"/>
        </w:rPr>
        <w:t>1</w:t>
      </w:r>
      <w:r>
        <w:rPr>
          <w:rFonts w:hint="eastAsia" w:ascii="仿宋" w:hAnsi="仿宋" w:eastAsia="仿宋"/>
          <w:color w:val="000000"/>
          <w:sz w:val="32"/>
          <w:szCs w:val="32"/>
        </w:rPr>
        <w:t>00万元及以上的逐笔交易申报信息，包括证券代码、价格、数量、买卖方向、申报时间等。</w:t>
      </w:r>
    </w:p>
    <w:p>
      <w:pPr>
        <w:pStyle w:val="24"/>
        <w:widowControl w:val="0"/>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Times New Roman" w:hAnsi="Times New Roman" w:eastAsia="仿宋" w:cs="Times New Roman"/>
          <w:sz w:val="32"/>
          <w:szCs w:val="32"/>
        </w:rPr>
        <w:t>（2）点击成交</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本所通过交易系统发布面向全市场的</w:t>
      </w:r>
      <w:r>
        <w:rPr>
          <w:rFonts w:hint="eastAsia" w:ascii="仿宋" w:hAnsi="仿宋" w:eastAsia="仿宋"/>
          <w:color w:val="000000"/>
          <w:sz w:val="32"/>
          <w:szCs w:val="32"/>
        </w:rPr>
        <w:t>点击成交申报信息，包括交易商、交易主体类型、交易员、证券代码、价格、数量、买卖方向、申报时间等。</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（3）竞买成交</w:t>
      </w:r>
    </w:p>
    <w:p>
      <w:pPr>
        <w:overflowPunct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w:instrText>
      </w:r>
      <w:r>
        <w:rPr>
          <w:rFonts w:hint="eastAsia" w:ascii="Times New Roman" w:hAnsi="Times New Roman" w:eastAsia="仿宋" w:cs="Times New Roman"/>
          <w:sz w:val="32"/>
          <w:szCs w:val="32"/>
        </w:rPr>
        <w:instrText xml:space="preserve">= 1 \* GB3</w:instrText>
      </w:r>
      <w:r>
        <w:rPr>
          <w:rFonts w:ascii="Times New Roman" w:hAnsi="Times New Roman" w:eastAsia="仿宋" w:cs="Times New Roman"/>
          <w:sz w:val="32"/>
          <w:szCs w:val="32"/>
        </w:rPr>
        <w:instrText xml:space="preserve"> </w:instrText>
      </w:r>
      <w:r>
        <w:rPr>
          <w:rFonts w:ascii="Times New Roman" w:hAnsi="Times New Roman" w:eastAsia="仿宋" w:cs="Times New Roman"/>
          <w:sz w:val="32"/>
          <w:szCs w:val="32"/>
        </w:rPr>
        <w:fldChar w:fldCharType="separate"/>
      </w:r>
      <w:r>
        <w:rPr>
          <w:rFonts w:hint="eastAsia" w:ascii="Times New Roman" w:hAnsi="Times New Roman" w:eastAsia="仿宋" w:cs="Times New Roman"/>
          <w:sz w:val="32"/>
          <w:szCs w:val="32"/>
        </w:rPr>
        <w:t>①</w:t>
      </w:r>
      <w:r>
        <w:rPr>
          <w:rFonts w:ascii="Times New Roman" w:hAnsi="Times New Roman" w:eastAsia="仿宋" w:cs="Times New Roman"/>
          <w:sz w:val="32"/>
          <w:szCs w:val="32"/>
        </w:rPr>
        <w:fldChar w:fldCharType="end"/>
      </w:r>
      <w:r>
        <w:rPr>
          <w:rFonts w:hint="eastAsia" w:ascii="Times New Roman" w:hAnsi="Times New Roman" w:eastAsia="仿宋" w:cs="Times New Roman"/>
          <w:sz w:val="32"/>
          <w:szCs w:val="32"/>
        </w:rPr>
        <w:t>竞买预约信息：本所通过交易系统发布逐笔竞买预约信息，包括竞买场次编号、证券代码、交易商、交易主体类型、竞买方式、价格区间、数量、最低成交总量（如有）、竞买时间（即竞买日）、申报时间等。同时，本所还将通过官网</w:t>
      </w:r>
      <w:r>
        <w:rPr>
          <w:rStyle w:val="33"/>
          <w:rFonts w:ascii="Times New Roman" w:hAnsi="Times New Roman" w:eastAsia="仿宋"/>
          <w:sz w:val="32"/>
          <w:szCs w:val="32"/>
        </w:rPr>
        <w:footnoteReference w:id="10"/>
      </w:r>
      <w:r>
        <w:rPr>
          <w:rFonts w:hint="eastAsia" w:ascii="Times New Roman" w:hAnsi="Times New Roman" w:eastAsia="仿宋" w:cs="Times New Roman"/>
          <w:sz w:val="32"/>
          <w:szCs w:val="32"/>
        </w:rPr>
        <w:t>发布竞买预约信息。</w:t>
      </w:r>
    </w:p>
    <w:p>
      <w:pPr>
        <w:overflowPunct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w:instrText>
      </w:r>
      <w:r>
        <w:rPr>
          <w:rFonts w:hint="eastAsia" w:ascii="Times New Roman" w:hAnsi="Times New Roman" w:eastAsia="仿宋" w:cs="Times New Roman"/>
          <w:sz w:val="32"/>
          <w:szCs w:val="32"/>
        </w:rPr>
        <w:instrText xml:space="preserve">= 2 \* GB3</w:instrText>
      </w:r>
      <w:r>
        <w:rPr>
          <w:rFonts w:ascii="Times New Roman" w:hAnsi="Times New Roman" w:eastAsia="仿宋" w:cs="Times New Roman"/>
          <w:sz w:val="32"/>
          <w:szCs w:val="32"/>
        </w:rPr>
        <w:instrText xml:space="preserve"> </w:instrText>
      </w:r>
      <w:r>
        <w:rPr>
          <w:rFonts w:ascii="Times New Roman" w:hAnsi="Times New Roman" w:eastAsia="仿宋" w:cs="Times New Roman"/>
          <w:sz w:val="32"/>
          <w:szCs w:val="32"/>
        </w:rPr>
        <w:fldChar w:fldCharType="separate"/>
      </w:r>
      <w:r>
        <w:rPr>
          <w:rFonts w:hint="eastAsia" w:ascii="Times New Roman" w:hAnsi="Times New Roman" w:eastAsia="仿宋" w:cs="Times New Roman"/>
          <w:sz w:val="32"/>
          <w:szCs w:val="32"/>
        </w:rPr>
        <w:t>②</w:t>
      </w:r>
      <w:r>
        <w:rPr>
          <w:rFonts w:ascii="Times New Roman" w:hAnsi="Times New Roman" w:eastAsia="仿宋" w:cs="Times New Roman"/>
          <w:sz w:val="32"/>
          <w:szCs w:val="32"/>
        </w:rPr>
        <w:fldChar w:fldCharType="end"/>
      </w:r>
      <w:r>
        <w:rPr>
          <w:rFonts w:hint="eastAsia" w:ascii="Times New Roman" w:hAnsi="Times New Roman" w:eastAsia="仿宋" w:cs="Times New Roman"/>
          <w:sz w:val="32"/>
          <w:szCs w:val="32"/>
        </w:rPr>
        <w:t>竞买发起申报信息：本所通过交易系统发布逐笔竞买发起申报信息，包括竞买场次编号、证券代码、交易商、交易主体类型、竞买方式、价格区间、数量、最低成交总量（如有）、申报时间、备注等。</w:t>
      </w:r>
    </w:p>
    <w:p>
      <w:pPr>
        <w:overflowPunct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w:instrText>
      </w:r>
      <w:r>
        <w:rPr>
          <w:rFonts w:hint="eastAsia" w:ascii="Times New Roman" w:hAnsi="Times New Roman" w:eastAsia="仿宋" w:cs="Times New Roman"/>
          <w:sz w:val="32"/>
          <w:szCs w:val="32"/>
        </w:rPr>
        <w:instrText xml:space="preserve">= 3 \* GB3</w:instrText>
      </w:r>
      <w:r>
        <w:rPr>
          <w:rFonts w:ascii="Times New Roman" w:hAnsi="Times New Roman" w:eastAsia="仿宋" w:cs="Times New Roman"/>
          <w:sz w:val="32"/>
          <w:szCs w:val="32"/>
        </w:rPr>
        <w:instrText xml:space="preserve"> </w:instrText>
      </w:r>
      <w:r>
        <w:rPr>
          <w:rFonts w:ascii="Times New Roman" w:hAnsi="Times New Roman" w:eastAsia="仿宋" w:cs="Times New Roman"/>
          <w:sz w:val="32"/>
          <w:szCs w:val="32"/>
        </w:rPr>
        <w:fldChar w:fldCharType="separate"/>
      </w:r>
      <w:r>
        <w:rPr>
          <w:rFonts w:hint="eastAsia" w:ascii="Times New Roman" w:hAnsi="Times New Roman" w:eastAsia="仿宋" w:cs="Times New Roman"/>
          <w:sz w:val="32"/>
          <w:szCs w:val="32"/>
        </w:rPr>
        <w:t>③</w:t>
      </w:r>
      <w:r>
        <w:rPr>
          <w:rFonts w:ascii="Times New Roman" w:hAnsi="Times New Roman" w:eastAsia="仿宋" w:cs="Times New Roman"/>
          <w:sz w:val="32"/>
          <w:szCs w:val="32"/>
        </w:rPr>
        <w:fldChar w:fldCharType="end"/>
      </w:r>
      <w:r>
        <w:rPr>
          <w:rFonts w:hint="eastAsia" w:ascii="Times New Roman" w:hAnsi="Times New Roman" w:eastAsia="仿宋" w:cs="Times New Roman"/>
          <w:sz w:val="32"/>
          <w:szCs w:val="32"/>
        </w:rPr>
        <w:t>应价申报信息：本所通过交易系统发布单一主体中标方式下的逐笔应价申报信息，包括竞买场次编号、证券代码、交易商、交易主体类型、竞买方式、数量、价格、申报时间等。</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2．成交信息</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（1）即时成交行情</w:t>
      </w:r>
    </w:p>
    <w:p>
      <w:pPr>
        <w:pStyle w:val="78"/>
        <w:widowControl/>
        <w:ind w:firstLine="600" w:firstLineChars="0"/>
        <w:rPr>
          <w:rFonts w:ascii="Times New Roman" w:hAnsi="Times New Roman" w:eastAsia="仿宋"/>
        </w:rPr>
      </w:pPr>
      <w:r>
        <w:rPr>
          <w:rFonts w:hint="eastAsia" w:ascii="Times New Roman" w:hAnsi="Times New Roman" w:eastAsia="仿宋"/>
        </w:rPr>
        <w:t>本所通过交易系统以及</w:t>
      </w:r>
      <w:r>
        <w:rPr>
          <w:rFonts w:hint="eastAsia" w:ascii="仿宋" w:eastAsia="仿宋"/>
        </w:rPr>
        <w:t>官网</w:t>
      </w:r>
      <w:r>
        <w:rPr>
          <w:rFonts w:hint="eastAsia" w:ascii="Times New Roman" w:hAnsi="Times New Roman" w:eastAsia="仿宋"/>
        </w:rPr>
        <w:t>发布每只债券的即时成交行情，具体信息包括证券代码、前收盘价、开盘价、最近成交价、</w:t>
      </w:r>
      <w:r>
        <w:rPr>
          <w:rFonts w:hint="eastAsia" w:ascii="仿宋" w:eastAsia="仿宋"/>
          <w:color w:val="000000"/>
        </w:rPr>
        <w:t>最近成交方式、当日最高价、当日最低价、当日累计成交数量、当日累计成交金额</w:t>
      </w:r>
      <w:r>
        <w:rPr>
          <w:rFonts w:hint="eastAsia" w:ascii="Times New Roman" w:hAnsi="Times New Roman" w:eastAsia="仿宋"/>
        </w:rPr>
        <w:t>等。交易系统发布的即时成交行情还包括当日加权平均价、当日累计成交笔数等。</w:t>
      </w:r>
    </w:p>
    <w:p>
      <w:pPr>
        <w:pStyle w:val="78"/>
        <w:widowControl/>
        <w:ind w:firstLine="600" w:firstLineChars="0"/>
        <w:rPr>
          <w:rFonts w:ascii="Times New Roman" w:hAnsi="Times New Roman" w:eastAsia="仿宋"/>
        </w:rPr>
      </w:pPr>
      <w:r>
        <w:rPr>
          <w:rFonts w:hint="eastAsia" w:ascii="Times New Roman" w:hAnsi="Times New Roman" w:eastAsia="仿宋"/>
        </w:rPr>
        <w:t>上述指标采用的成交数据为五种交易方式达成的成交数据。其中，开盘价为当日第一笔成交价格。收盘价为当日15:30（含）前最后一笔交易（含）前一小时内的成交量加权平均价。</w:t>
      </w:r>
      <w:r>
        <w:rPr>
          <w:rFonts w:hint="eastAsia" w:ascii="仿宋" w:eastAsia="仿宋"/>
        </w:rPr>
        <w:t>当日无成交的，以前收盘价为当日收盘价。</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此外，即时成交行情还提供了个券匹配成交信息，包括</w:t>
      </w:r>
      <w:r>
        <w:rPr>
          <w:rFonts w:hint="eastAsia" w:ascii="仿宋" w:hAnsi="仿宋" w:eastAsia="仿宋"/>
          <w:sz w:val="32"/>
          <w:szCs w:val="32"/>
        </w:rPr>
        <w:t>匹配最近成交价</w:t>
      </w:r>
      <w:r>
        <w:rPr>
          <w:rFonts w:hint="eastAsia" w:ascii="Times New Roman" w:hAnsi="Times New Roman" w:eastAsia="仿宋" w:cs="Times New Roman"/>
          <w:sz w:val="32"/>
          <w:szCs w:val="32"/>
        </w:rPr>
        <w:t>、匹配累计成交数量、匹配累计成交金额等。</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（2）逐笔成交行情</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本所通过交易系统实时发布债券现券的逐笔成交行情。本所于收市后在</w:t>
      </w:r>
      <w:r>
        <w:rPr>
          <w:rFonts w:hint="eastAsia" w:ascii="仿宋" w:hAnsi="仿宋" w:eastAsia="仿宋" w:cs="Times New Roman"/>
          <w:sz w:val="32"/>
          <w:szCs w:val="32"/>
        </w:rPr>
        <w:t>官网</w:t>
      </w:r>
      <w:r>
        <w:rPr>
          <w:rStyle w:val="33"/>
          <w:rFonts w:ascii="Times New Roman" w:hAnsi="Times New Roman" w:eastAsia="仿宋"/>
          <w:sz w:val="32"/>
          <w:szCs w:val="32"/>
        </w:rPr>
        <w:footnoteReference w:id="11"/>
      </w:r>
      <w:r>
        <w:rPr>
          <w:rFonts w:hint="eastAsia" w:ascii="Times New Roman" w:hAnsi="Times New Roman" w:eastAsia="仿宋" w:cs="Times New Roman"/>
          <w:sz w:val="32"/>
          <w:szCs w:val="32"/>
        </w:rPr>
        <w:t>发布逐笔成交信息。</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逐笔成交信息包括证券代码、交易方式、成交价格、成交数量、成交金额等。其中，匹配成交仅发布</w:t>
      </w:r>
      <w:r>
        <w:rPr>
          <w:rFonts w:hint="eastAsia" w:ascii="仿宋" w:hAnsi="仿宋" w:eastAsia="仿宋"/>
          <w:color w:val="000000"/>
          <w:sz w:val="32"/>
          <w:szCs w:val="32"/>
        </w:rPr>
        <w:t>成交数量为100</w:t>
      </w:r>
      <w:r>
        <w:rPr>
          <w:rFonts w:hint="eastAsia" w:ascii="Times New Roman" w:hAnsi="Times New Roman" w:eastAsia="仿宋" w:cs="Times New Roman"/>
          <w:sz w:val="32"/>
          <w:szCs w:val="32"/>
        </w:rPr>
        <w:t>万元面额及以上的逐笔成交信息；竞买成交除前述逐笔成交信息外，还发布竞买成交结果</w:t>
      </w:r>
      <w:r>
        <w:rPr>
          <w:rStyle w:val="33"/>
          <w:rFonts w:ascii="Times New Roman" w:hAnsi="Times New Roman" w:eastAsia="仿宋"/>
          <w:sz w:val="32"/>
          <w:szCs w:val="32"/>
        </w:rPr>
        <w:footnoteReference w:id="12"/>
      </w:r>
      <w:r>
        <w:rPr>
          <w:rFonts w:hint="eastAsia" w:ascii="Times New Roman" w:hAnsi="Times New Roman" w:eastAsia="仿宋" w:cs="Times New Roman"/>
          <w:sz w:val="32"/>
          <w:szCs w:val="32"/>
        </w:rPr>
        <w:t>信息，包括竞买场次编号、竞买方式以及边际价格（适用于多主体中标）。</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3．特定债交易信息</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对于特定债券，本所通过交易系统实时发布面向全市场成交方式下的特定债逐笔成交行情，收市后发布汇总成交行情。其中，竞买多主体中标方式下的逐笔成交行情中暂不包含成交价格以及成交金额等信息。</w:t>
      </w:r>
    </w:p>
    <w:p>
      <w:pPr>
        <w:pStyle w:val="4"/>
        <w:keepNext w:val="0"/>
        <w:keepLines w:val="0"/>
        <w:spacing w:before="0" w:after="0" w:line="560" w:lineRule="exact"/>
        <w:ind w:firstLine="640" w:firstLineChars="200"/>
        <w:rPr>
          <w:rFonts w:ascii="楷体" w:hAnsi="楷体" w:eastAsia="楷体" w:cs="Times New Roman"/>
          <w:b w:val="0"/>
        </w:rPr>
      </w:pPr>
      <w:bookmarkStart w:id="281" w:name="_Toc2669"/>
      <w:bookmarkStart w:id="282" w:name="_Toc19576"/>
      <w:bookmarkStart w:id="283" w:name="_Toc123809390"/>
      <w:bookmarkStart w:id="284" w:name="_Toc32193"/>
      <w:bookmarkStart w:id="285" w:name="_Toc12032"/>
      <w:bookmarkStart w:id="286" w:name="_Toc3177"/>
      <w:bookmarkStart w:id="287" w:name="_Toc24119"/>
      <w:r>
        <w:rPr>
          <w:rFonts w:hint="eastAsia" w:ascii="楷体" w:hAnsi="楷体" w:eastAsia="楷体" w:cs="Times New Roman"/>
          <w:b w:val="0"/>
        </w:rPr>
        <w:t>（二）回购交易信息</w:t>
      </w:r>
      <w:bookmarkEnd w:id="281"/>
      <w:bookmarkEnd w:id="282"/>
      <w:bookmarkEnd w:id="283"/>
      <w:bookmarkEnd w:id="284"/>
      <w:bookmarkEnd w:id="285"/>
      <w:bookmarkEnd w:id="286"/>
      <w:bookmarkEnd w:id="287"/>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通用质押式回购，本所通过交易系统以及官网发布各期限品种的即时行情。即时行情包括证券代码、前收盘价、开盘价、最近成交价、当日最高价、当日最低价、当日加权平均利率、当日累计成交金额、最优五档买卖盘等。其中，开盘价为当日第一笔成交价格。收盘价为当日15:30（含）前最后一笔交易（含）前一小时内的成交量加权平均价。当日无成交的，以前收盘价为当日收盘价。</w:t>
      </w:r>
    </w:p>
    <w:p>
      <w:pPr>
        <w:spacing w:line="560" w:lineRule="exact"/>
        <w:ind w:firstLine="643" w:firstLineChars="201"/>
        <w:jc w:val="left"/>
        <w:rPr>
          <w:rFonts w:ascii="仿宋" w:hAnsi="仿宋" w:eastAsia="仿宋" w:cs="Times New Roman"/>
          <w:sz w:val="32"/>
          <w:szCs w:val="32"/>
        </w:rPr>
      </w:pPr>
      <w:r>
        <w:rPr>
          <w:rFonts w:hint="eastAsia" w:ascii="Times New Roman" w:hAnsi="Times New Roman" w:eastAsia="仿宋" w:cs="Times New Roman"/>
          <w:sz w:val="32"/>
          <w:szCs w:val="32"/>
        </w:rPr>
        <w:t>对于质押式协议回购业务，本所通过官网发布</w:t>
      </w:r>
      <w:r>
        <w:rPr>
          <w:rFonts w:hint="eastAsia" w:ascii="仿宋" w:hAnsi="仿宋" w:eastAsia="仿宋" w:cs="Times New Roman"/>
          <w:sz w:val="32"/>
          <w:szCs w:val="32"/>
        </w:rPr>
        <w:t>当日交易汇总信息，包括最高利率、最低利率、加权平均利率、加权涨跌幅度、初始交易以及续做成交金额、购回交易金额以及续做对应的购回金额等信息。</w:t>
      </w:r>
      <w:r>
        <w:rPr>
          <w:rFonts w:hint="eastAsia" w:ascii="Times New Roman" w:hAnsi="Times New Roman" w:eastAsia="仿宋" w:cs="Times New Roman"/>
          <w:sz w:val="32"/>
          <w:szCs w:val="32"/>
        </w:rPr>
        <w:t>详见《深圳证券交易所交易业务指南第</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号</w:t>
      </w:r>
      <w:r>
        <w:rPr>
          <w:rFonts w:ascii="Times New Roman" w:hAnsi="Times New Roman" w:eastAsia="仿宋" w:cs="Times New Roman"/>
          <w:sz w:val="32"/>
          <w:szCs w:val="32"/>
        </w:rPr>
        <w:t>—</w:t>
      </w:r>
      <w:r>
        <w:rPr>
          <w:rFonts w:hint="eastAsia" w:ascii="Times New Roman" w:hAnsi="Times New Roman" w:eastAsia="仿宋" w:cs="Times New Roman"/>
          <w:sz w:val="32"/>
          <w:szCs w:val="32"/>
        </w:rPr>
        <w:t>债券质押式协议回购》第四章“信息披露”相关安排。</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对于质押式三方回购业务，本所通过官网发布实时成交行情、上一交易日逐笔行情和汇总行情。详见《深圳证券交易所债券质押式三方回购交易业务指南》第七章“行情及信息披露”相关安排。</w:t>
      </w:r>
    </w:p>
    <w:p>
      <w:pPr>
        <w:pStyle w:val="4"/>
        <w:keepNext w:val="0"/>
        <w:keepLines w:val="0"/>
        <w:spacing w:before="0" w:after="0" w:line="560" w:lineRule="exact"/>
        <w:ind w:firstLine="640" w:firstLineChars="200"/>
        <w:rPr>
          <w:rFonts w:ascii="楷体" w:hAnsi="楷体" w:eastAsia="楷体" w:cs="Times New Roman"/>
          <w:b w:val="0"/>
        </w:rPr>
      </w:pPr>
      <w:bookmarkStart w:id="288" w:name="_Toc123809391"/>
      <w:bookmarkStart w:id="289" w:name="_Toc29121"/>
      <w:bookmarkStart w:id="290" w:name="_Toc9762"/>
      <w:bookmarkStart w:id="291" w:name="_Toc6635"/>
      <w:bookmarkStart w:id="292" w:name="_Toc26573"/>
      <w:bookmarkStart w:id="293" w:name="_Toc11400"/>
      <w:bookmarkStart w:id="294" w:name="_Toc5013"/>
      <w:r>
        <w:rPr>
          <w:rFonts w:hint="eastAsia" w:ascii="楷体" w:hAnsi="楷体" w:eastAsia="楷体" w:cs="Times New Roman"/>
          <w:b w:val="0"/>
        </w:rPr>
        <w:t>（三）统计信息</w:t>
      </w:r>
      <w:bookmarkEnd w:id="288"/>
      <w:bookmarkEnd w:id="289"/>
      <w:bookmarkEnd w:id="290"/>
      <w:bookmarkEnd w:id="291"/>
      <w:bookmarkEnd w:id="292"/>
      <w:bookmarkEnd w:id="293"/>
      <w:bookmarkEnd w:id="294"/>
    </w:p>
    <w:p>
      <w:pPr>
        <w:overflowPunct w:val="0"/>
        <w:spacing w:line="56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本所通过官网定期发布债券交易的统计信息，包括各类债券托管情况、各类债券现券交易情况、个券当日交易汇总以及交易排名情况等。</w:t>
      </w:r>
    </w:p>
    <w:p>
      <w:pPr>
        <w:overflowPunct w:val="0"/>
        <w:spacing w:line="560" w:lineRule="exact"/>
        <w:ind w:firstLine="640" w:firstLineChars="200"/>
        <w:rPr>
          <w:rFonts w:hint="eastAsia" w:ascii="Times New Roman" w:hAnsi="Times New Roman" w:eastAsia="仿宋" w:cs="Times New Roman"/>
          <w:sz w:val="32"/>
          <w:szCs w:val="32"/>
        </w:rPr>
      </w:pPr>
    </w:p>
    <w:bookmarkEnd w:id="268"/>
    <w:bookmarkEnd w:id="269"/>
    <w:bookmarkEnd w:id="270"/>
    <w:bookmarkEnd w:id="271"/>
    <w:p>
      <w:pPr>
        <w:pStyle w:val="2"/>
        <w:spacing w:before="120" w:beforeLines="50" w:after="120" w:afterLines="50" w:line="560" w:lineRule="exact"/>
        <w:jc w:val="center"/>
        <w:rPr>
          <w:rFonts w:ascii="Times New Roman" w:hAnsi="Times New Roman" w:eastAsia="仿宋" w:cs="Times New Roman"/>
          <w:bCs w:val="0"/>
          <w:kern w:val="2"/>
          <w:sz w:val="32"/>
          <w:szCs w:val="32"/>
        </w:rPr>
      </w:pPr>
      <w:bookmarkStart w:id="295" w:name="_Toc894"/>
      <w:bookmarkStart w:id="296" w:name="_Toc123809392"/>
      <w:bookmarkStart w:id="297" w:name="_Toc11562"/>
      <w:bookmarkStart w:id="298" w:name="_Toc9894"/>
      <w:bookmarkStart w:id="299" w:name="_Toc7185"/>
      <w:bookmarkStart w:id="300" w:name="_Toc7855"/>
      <w:bookmarkStart w:id="301" w:name="_Toc17901"/>
      <w:r>
        <w:rPr>
          <w:rFonts w:ascii="Times New Roman" w:hAnsi="Times New Roman" w:eastAsia="仿宋" w:cs="Times New Roman"/>
          <w:bCs w:val="0"/>
          <w:kern w:val="2"/>
          <w:sz w:val="32"/>
          <w:szCs w:val="32"/>
        </w:rPr>
        <w:t>第</w:t>
      </w:r>
      <w:r>
        <w:rPr>
          <w:rFonts w:hint="eastAsia" w:ascii="Times New Roman" w:hAnsi="Times New Roman" w:eastAsia="仿宋" w:cs="Times New Roman"/>
          <w:bCs w:val="0"/>
          <w:kern w:val="2"/>
          <w:sz w:val="32"/>
          <w:szCs w:val="32"/>
        </w:rPr>
        <w:t>五</w:t>
      </w:r>
      <w:r>
        <w:rPr>
          <w:rFonts w:ascii="Times New Roman" w:hAnsi="Times New Roman" w:eastAsia="仿宋" w:cs="Times New Roman"/>
          <w:bCs w:val="0"/>
          <w:kern w:val="2"/>
          <w:sz w:val="32"/>
          <w:szCs w:val="32"/>
        </w:rPr>
        <w:t xml:space="preserve">章 </w:t>
      </w:r>
      <w:r>
        <w:rPr>
          <w:rFonts w:hint="eastAsia" w:ascii="Times New Roman" w:hAnsi="Times New Roman" w:eastAsia="仿宋" w:cs="Times New Roman"/>
          <w:bCs w:val="0"/>
          <w:kern w:val="2"/>
          <w:sz w:val="32"/>
          <w:szCs w:val="32"/>
        </w:rPr>
        <w:t>交易价格偏离报备</w:t>
      </w:r>
      <w:bookmarkEnd w:id="295"/>
      <w:bookmarkEnd w:id="296"/>
      <w:bookmarkEnd w:id="297"/>
      <w:bookmarkEnd w:id="298"/>
      <w:bookmarkEnd w:id="299"/>
      <w:bookmarkEnd w:id="300"/>
      <w:bookmarkEnd w:id="301"/>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w:t>
      </w:r>
      <w:r>
        <w:rPr>
          <w:rFonts w:ascii="Times New Roman" w:hAnsi="Times New Roman" w:eastAsia="仿宋" w:cs="Times New Roman"/>
          <w:sz w:val="32"/>
          <w:szCs w:val="32"/>
        </w:rPr>
        <w:t>《</w:t>
      </w:r>
      <w:r>
        <w:rPr>
          <w:rFonts w:hint="eastAsia" w:ascii="Times New Roman" w:hAnsi="Times New Roman" w:eastAsia="仿宋" w:cs="Times New Roman"/>
          <w:sz w:val="32"/>
          <w:szCs w:val="32"/>
        </w:rPr>
        <w:t>债券交易规则</w:t>
      </w:r>
      <w:r>
        <w:rPr>
          <w:rFonts w:ascii="Times New Roman" w:hAnsi="Times New Roman" w:eastAsia="仿宋" w:cs="Times New Roman"/>
          <w:sz w:val="32"/>
          <w:szCs w:val="32"/>
        </w:rPr>
        <w:t>》</w:t>
      </w:r>
      <w:r>
        <w:rPr>
          <w:rFonts w:hint="eastAsia" w:ascii="Times New Roman" w:hAnsi="Times New Roman" w:eastAsia="仿宋" w:cs="Times New Roman"/>
          <w:sz w:val="32"/>
          <w:szCs w:val="32"/>
        </w:rPr>
        <w:t>相关规定，债券交易价格偏离比较基准超过本所规定范围的，债券交易参与人应当</w:t>
      </w:r>
      <w:r>
        <w:rPr>
          <w:rFonts w:hint="eastAsia" w:ascii="仿宋" w:hAnsi="仿宋" w:eastAsia="仿宋"/>
          <w:color w:val="000000"/>
          <w:sz w:val="32"/>
          <w:szCs w:val="32"/>
        </w:rPr>
        <w:t>向本所提交说明。</w:t>
      </w:r>
    </w:p>
    <w:p>
      <w:pPr>
        <w:pStyle w:val="4"/>
        <w:keepNext w:val="0"/>
        <w:keepLines w:val="0"/>
        <w:spacing w:before="0" w:after="0" w:line="560" w:lineRule="exact"/>
        <w:ind w:firstLine="640" w:firstLineChars="200"/>
        <w:rPr>
          <w:rFonts w:ascii="楷体" w:hAnsi="楷体" w:eastAsia="楷体" w:cs="Times New Roman"/>
          <w:b w:val="0"/>
        </w:rPr>
      </w:pPr>
      <w:bookmarkStart w:id="302" w:name="_Toc4973"/>
      <w:bookmarkStart w:id="303" w:name="_Toc14962"/>
      <w:bookmarkStart w:id="304" w:name="_Toc18790"/>
      <w:bookmarkStart w:id="305" w:name="_Toc123809393"/>
      <w:bookmarkStart w:id="306" w:name="_Toc10204"/>
      <w:bookmarkStart w:id="307" w:name="_Toc19741"/>
      <w:bookmarkStart w:id="308" w:name="_Toc2318"/>
      <w:r>
        <w:rPr>
          <w:rFonts w:hint="eastAsia" w:ascii="楷体" w:hAnsi="楷体" w:eastAsia="楷体" w:cs="Times New Roman"/>
          <w:b w:val="0"/>
        </w:rPr>
        <w:t>（一）报备情形</w:t>
      </w:r>
      <w:bookmarkEnd w:id="302"/>
      <w:bookmarkEnd w:id="303"/>
      <w:bookmarkEnd w:id="304"/>
      <w:bookmarkEnd w:id="305"/>
      <w:bookmarkEnd w:id="306"/>
      <w:bookmarkEnd w:id="307"/>
      <w:bookmarkEnd w:id="308"/>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通过点击成交、询价成交、协商成交参与本所债券现券交易（特定债除外），交易价格同时偏离当日日终中债估值和中证估值的幅度大于或者等于2%的，债券交易参与人应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不晚于次一交易日向本所报告该笔交易，并说明价格偏离的原因以及其合理性。债券上市的两个交易日内发生上述价格偏离的，可以豁免报告义务。经纪客户由</w:t>
      </w:r>
      <w:r>
        <w:rPr>
          <w:rFonts w:ascii="Times New Roman" w:hAnsi="Times New Roman" w:eastAsia="仿宋" w:cs="Times New Roman"/>
          <w:sz w:val="32"/>
          <w:szCs w:val="32"/>
        </w:rPr>
        <w:t>所在证券公司统一报备</w:t>
      </w:r>
      <w:r>
        <w:rPr>
          <w:rFonts w:hint="eastAsia" w:ascii="Times New Roman" w:hAnsi="Times New Roman" w:eastAsia="仿宋" w:cs="Times New Roman"/>
          <w:sz w:val="32"/>
          <w:szCs w:val="32"/>
        </w:rPr>
        <w:t>。</w:t>
      </w:r>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本所可以视情况要求债券交易参与人以及相关主体就价格偏离的其他特殊情形提交相应说明。</w:t>
      </w:r>
    </w:p>
    <w:p>
      <w:pPr>
        <w:pStyle w:val="4"/>
        <w:keepNext w:val="0"/>
        <w:keepLines w:val="0"/>
        <w:spacing w:before="0" w:after="0" w:line="560" w:lineRule="exact"/>
        <w:ind w:firstLine="640" w:firstLineChars="200"/>
        <w:rPr>
          <w:rFonts w:ascii="楷体" w:hAnsi="楷体" w:eastAsia="楷体" w:cs="Times New Roman"/>
          <w:b w:val="0"/>
        </w:rPr>
      </w:pPr>
      <w:bookmarkStart w:id="309" w:name="_Toc3842"/>
      <w:bookmarkStart w:id="310" w:name="_Toc123809394"/>
      <w:bookmarkStart w:id="311" w:name="_Toc29269"/>
      <w:bookmarkStart w:id="312" w:name="_Toc28011"/>
      <w:bookmarkStart w:id="313" w:name="_Toc31475"/>
      <w:bookmarkStart w:id="314" w:name="_Toc15933"/>
      <w:bookmarkStart w:id="315" w:name="_Toc32539"/>
      <w:r>
        <w:rPr>
          <w:rFonts w:hint="eastAsia" w:ascii="楷体" w:hAnsi="楷体" w:eastAsia="楷体" w:cs="Times New Roman"/>
          <w:b w:val="0"/>
        </w:rPr>
        <w:t>（二）报备内容</w:t>
      </w:r>
      <w:bookmarkEnd w:id="309"/>
      <w:bookmarkEnd w:id="310"/>
      <w:bookmarkEnd w:id="311"/>
      <w:bookmarkEnd w:id="312"/>
      <w:bookmarkEnd w:id="313"/>
      <w:bookmarkEnd w:id="314"/>
      <w:bookmarkEnd w:id="315"/>
    </w:p>
    <w:p>
      <w:pPr>
        <w:overflowPunct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债券交易参与人应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填写《债券交易价格偏离情况说明表》（详见附件3），报告内容包括交易方的基本信息、交易要素、交易情况以及偏离原因等。债券交易参与人应当确保其报告的信息真实、准确、完整、及时。</w:t>
      </w:r>
    </w:p>
    <w:p>
      <w:pPr>
        <w:spacing w:line="560" w:lineRule="exact"/>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316" w:name="_Toc28116"/>
      <w:bookmarkStart w:id="317" w:name="_Toc123809395"/>
      <w:bookmarkStart w:id="318" w:name="_Toc4238"/>
      <w:bookmarkStart w:id="319" w:name="_Toc131"/>
      <w:bookmarkStart w:id="320" w:name="_Toc26624"/>
      <w:bookmarkStart w:id="321" w:name="_Toc22351"/>
      <w:bookmarkStart w:id="322" w:name="_Toc28827"/>
      <w:r>
        <w:rPr>
          <w:rFonts w:hint="eastAsia" w:ascii="楷体" w:hAnsi="楷体" w:eastAsia="楷体" w:cs="Times New Roman"/>
          <w:color w:val="000000" w:themeColor="text1"/>
          <w:sz w:val="32"/>
          <w:szCs w:val="32"/>
          <w14:textFill>
            <w14:solidFill>
              <w14:schemeClr w14:val="tx1"/>
            </w14:solidFill>
          </w14:textFill>
        </w:rPr>
        <w:t>（三）报备方式</w:t>
      </w:r>
      <w:bookmarkEnd w:id="316"/>
      <w:bookmarkEnd w:id="317"/>
      <w:bookmarkEnd w:id="318"/>
      <w:bookmarkEnd w:id="319"/>
      <w:bookmarkEnd w:id="320"/>
      <w:bookmarkEnd w:id="321"/>
      <w:bookmarkEnd w:id="322"/>
    </w:p>
    <w:p>
      <w:pPr>
        <w:overflowPunct w:val="0"/>
        <w:spacing w:line="560" w:lineRule="exact"/>
        <w:ind w:firstLine="640" w:firstLineChars="200"/>
        <w:rPr>
          <w:rFonts w:ascii="Times New Roman" w:hAnsi="Times New Roman" w:eastAsia="仿宋"/>
          <w:sz w:val="32"/>
          <w:szCs w:val="32"/>
        </w:rPr>
      </w:pPr>
      <w:r>
        <w:rPr>
          <w:rFonts w:hint="eastAsia" w:ascii="Times New Roman" w:hAnsi="Times New Roman" w:eastAsia="仿宋" w:cs="Times New Roman"/>
          <w:sz w:val="32"/>
          <w:szCs w:val="32"/>
        </w:rPr>
        <w:t>债券交易参与人应</w:t>
      </w:r>
      <w:r>
        <w:rPr>
          <w:rFonts w:hint="eastAsia" w:ascii="仿宋" w:hAnsi="仿宋" w:eastAsia="仿宋"/>
          <w:color w:val="000000" w:themeColor="text1"/>
          <w:sz w:val="32"/>
          <w:szCs w:val="32"/>
          <w14:textFill>
            <w14:solidFill>
              <w14:schemeClr w14:val="tx1"/>
            </w14:solidFill>
          </w14:textFill>
        </w:rPr>
        <w:t>当</w:t>
      </w:r>
      <w:r>
        <w:rPr>
          <w:rFonts w:hint="eastAsia" w:ascii="Times New Roman" w:hAnsi="Times New Roman" w:eastAsia="仿宋" w:cs="Times New Roman"/>
          <w:sz w:val="32"/>
          <w:szCs w:val="32"/>
        </w:rPr>
        <w:t>将《债券交易价格偏离情况说明表》扫描件发送至邮箱（</w:t>
      </w:r>
      <w:r>
        <w:fldChar w:fldCharType="begin"/>
      </w:r>
      <w:r>
        <w:instrText xml:space="preserve"> HYPERLINK "mailto:bond_report@szse.cn" </w:instrText>
      </w:r>
      <w:r>
        <w:fldChar w:fldCharType="separate"/>
      </w:r>
      <w:r>
        <w:rPr>
          <w:rStyle w:val="31"/>
          <w:rFonts w:hint="eastAsia" w:ascii="Times New Roman" w:hAnsi="Times New Roman" w:eastAsia="仿宋" w:cs="Times New Roman"/>
          <w:sz w:val="32"/>
          <w:szCs w:val="32"/>
        </w:rPr>
        <w:t>bond_report@szse.cn</w:t>
      </w:r>
      <w:r>
        <w:rPr>
          <w:rStyle w:val="31"/>
          <w:rFonts w:hint="eastAsia" w:ascii="Times New Roman" w:hAnsi="Times New Roman" w:eastAsia="仿宋" w:cs="Times New Roman"/>
          <w:sz w:val="32"/>
          <w:szCs w:val="32"/>
        </w:rPr>
        <w:fldChar w:fldCharType="end"/>
      </w:r>
      <w:r>
        <w:rPr>
          <w:rFonts w:hint="eastAsia" w:ascii="Times New Roman" w:hAnsi="Times New Roman" w:eastAsia="仿宋" w:cs="Times New Roman"/>
          <w:sz w:val="32"/>
          <w:szCs w:val="32"/>
        </w:rPr>
        <w:t>），邮件以及文件统一命名为</w:t>
      </w:r>
      <w:r>
        <w:rPr>
          <w:rFonts w:ascii="仿宋" w:hAnsi="仿宋" w:eastAsia="仿宋" w:cs="Times New Roman"/>
          <w:sz w:val="32"/>
          <w:szCs w:val="32"/>
        </w:rPr>
        <w:t>“</w:t>
      </w:r>
      <w:r>
        <w:rPr>
          <w:rFonts w:hint="eastAsia" w:ascii="仿宋" w:hAnsi="仿宋" w:eastAsia="仿宋" w:cs="Times New Roman"/>
          <w:sz w:val="32"/>
          <w:szCs w:val="32"/>
        </w:rPr>
        <w:t>机构名称+交易日期+证券代码+账户名称</w:t>
      </w:r>
      <w:r>
        <w:rPr>
          <w:rFonts w:ascii="仿宋" w:hAnsi="仿宋" w:eastAsia="仿宋" w:cs="Times New Roman"/>
          <w:sz w:val="32"/>
          <w:szCs w:val="32"/>
        </w:rPr>
        <w:t>”</w:t>
      </w:r>
      <w:r>
        <w:rPr>
          <w:rFonts w:hint="eastAsia" w:ascii="仿宋" w:hAnsi="仿宋" w:eastAsia="仿宋" w:cs="Times New Roman"/>
          <w:sz w:val="32"/>
          <w:szCs w:val="32"/>
        </w:rPr>
        <w:t>，</w:t>
      </w:r>
      <w:r>
        <w:rPr>
          <w:rFonts w:hint="eastAsia" w:ascii="Times New Roman" w:hAnsi="Times New Roman" w:eastAsia="仿宋" w:cs="Times New Roman"/>
          <w:sz w:val="32"/>
          <w:szCs w:val="32"/>
        </w:rPr>
        <w:t>报备文件需加盖公司公章或经公司授权的业务专用章。</w:t>
      </w:r>
      <w:bookmarkStart w:id="323" w:name="_Toc94194423"/>
    </w:p>
    <w:p>
      <w:pPr>
        <w:rPr>
          <w:rFonts w:ascii="Times New Roman" w:hAnsi="Times New Roman" w:eastAsia="仿宋"/>
          <w:sz w:val="32"/>
          <w:szCs w:val="32"/>
        </w:rPr>
      </w:pPr>
      <w:r>
        <w:rPr>
          <w:rFonts w:ascii="Times New Roman" w:hAnsi="Times New Roman" w:eastAsia="仿宋"/>
          <w:sz w:val="32"/>
          <w:szCs w:val="32"/>
        </w:rPr>
        <w:br w:type="page"/>
      </w:r>
    </w:p>
    <w:p>
      <w:pPr>
        <w:overflowPunct w:val="0"/>
        <w:spacing w:line="560" w:lineRule="exact"/>
        <w:rPr>
          <w:rFonts w:ascii="Times New Roman" w:hAnsi="Times New Roman" w:eastAsia="仿宋"/>
          <w:sz w:val="32"/>
          <w:szCs w:val="32"/>
        </w:rPr>
      </w:pPr>
    </w:p>
    <w:p>
      <w:pPr>
        <w:pStyle w:val="4"/>
        <w:rPr>
          <w:rFonts w:ascii="Times New Roman" w:hAnsi="Times New Roman" w:cs="Times New Roman"/>
          <w:bCs w:val="0"/>
        </w:rPr>
      </w:pPr>
      <w:bookmarkStart w:id="324" w:name="_Toc20314"/>
      <w:bookmarkStart w:id="325" w:name="_Toc4600"/>
      <w:bookmarkStart w:id="326" w:name="_Toc2777"/>
      <w:bookmarkStart w:id="327" w:name="_Toc11189"/>
      <w:bookmarkStart w:id="328" w:name="_Toc123809396"/>
      <w:bookmarkStart w:id="329" w:name="_Toc28073"/>
      <w:bookmarkStart w:id="330" w:name="_Toc23962"/>
      <w:r>
        <w:rPr>
          <w:rFonts w:hint="eastAsia" w:ascii="Times New Roman" w:hAnsi="Times New Roman" w:cs="Times New Roman"/>
          <w:bCs w:val="0"/>
        </w:rPr>
        <w:t>附件</w:t>
      </w:r>
      <w:r>
        <w:rPr>
          <w:rFonts w:ascii="Times New Roman" w:hAnsi="Times New Roman" w:cs="Times New Roman"/>
          <w:bCs w:val="0"/>
        </w:rPr>
        <w:t>1</w:t>
      </w:r>
      <w:bookmarkEnd w:id="323"/>
      <w:r>
        <w:rPr>
          <w:rFonts w:hint="eastAsia" w:ascii="Times New Roman" w:hAnsi="Times New Roman" w:cs="Times New Roman"/>
          <w:bCs w:val="0"/>
        </w:rPr>
        <w:t>：债券交易参与人申请模板</w:t>
      </w:r>
      <w:bookmarkEnd w:id="324"/>
      <w:bookmarkEnd w:id="325"/>
      <w:bookmarkEnd w:id="326"/>
      <w:bookmarkEnd w:id="327"/>
      <w:bookmarkEnd w:id="328"/>
      <w:bookmarkEnd w:id="329"/>
      <w:bookmarkEnd w:id="330"/>
    </w:p>
    <w:p>
      <w:pPr>
        <w:snapToGrid w:val="0"/>
        <w:jc w:val="center"/>
        <w:rPr>
          <w:rFonts w:ascii="Times New Roman" w:hAnsi="Times New Roman" w:eastAsia="方正小标宋简体" w:cs="Times New Roman"/>
          <w:sz w:val="44"/>
          <w:szCs w:val="40"/>
        </w:rPr>
      </w:pPr>
      <w:r>
        <w:rPr>
          <w:rFonts w:hint="eastAsia" w:ascii="Times New Roman" w:hAnsi="Times New Roman" w:eastAsia="方正小标宋简体" w:cs="Times New Roman"/>
          <w:sz w:val="44"/>
          <w:szCs w:val="40"/>
        </w:rPr>
        <w:t>深圳证券交易所债券交易参与人申请书</w:t>
      </w:r>
    </w:p>
    <w:p>
      <w:pPr>
        <w:snapToGrid w:val="0"/>
        <w:jc w:val="center"/>
        <w:rPr>
          <w:rFonts w:ascii="Times New Roman" w:hAnsi="Times New Roman" w:eastAsia="方正小标宋简体"/>
          <w:sz w:val="44"/>
          <w:szCs w:val="40"/>
        </w:rPr>
      </w:pPr>
      <w:r>
        <w:rPr>
          <w:rFonts w:hint="eastAsia" w:ascii="Times New Roman" w:hAnsi="Times New Roman" w:eastAsia="方正小标宋简体" w:cs="Times New Roman"/>
          <w:sz w:val="44"/>
          <w:szCs w:val="40"/>
        </w:rPr>
        <w:t>（模版，以红头文件提供）</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深圳证券交易所：</w:t>
      </w:r>
    </w:p>
    <w:p>
      <w:pPr>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根据《深圳证券交易所债券交易规则》及《深圳证券交易所债券交易业务指引第1号—债券交易参与人管理》，现特向贵所申请成为债券交易参与人。我公司承诺：</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一、</w:t>
      </w:r>
      <w:r>
        <w:rPr>
          <w:rFonts w:hint="eastAsia" w:ascii="Times New Roman" w:hAnsi="Times New Roman" w:eastAsia="仿宋" w:cs="Times New Roman"/>
          <w:sz w:val="24"/>
        </w:rPr>
        <w:t>具备较强的资本、资金实力与持续经营能力，具有参与本所债券交易的相应功能</w:t>
      </w:r>
      <w:r>
        <w:rPr>
          <w:rFonts w:ascii="Times New Roman" w:hAnsi="Times New Roman" w:eastAsia="仿宋" w:cs="Times New Roman"/>
          <w:sz w:val="24"/>
        </w:rPr>
        <w:t>。</w:t>
      </w:r>
      <w:r>
        <w:rPr>
          <w:rFonts w:hint="eastAsia" w:ascii="Times New Roman" w:hAnsi="Times New Roman" w:eastAsia="仿宋" w:cs="Times New Roman"/>
          <w:sz w:val="24"/>
        </w:rPr>
        <w:t>具有独立的债券交易团队、完善的交易业务管理制度和风险控制制度以及能够支持开展债券交易的相关技术系统。</w:t>
      </w:r>
    </w:p>
    <w:p>
      <w:pPr>
        <w:spacing w:line="360" w:lineRule="auto"/>
        <w:jc w:val="left"/>
        <w:rPr>
          <w:rFonts w:ascii="Times New Roman" w:hAnsi="Times New Roman" w:eastAsia="仿宋" w:cs="Times New Roman"/>
          <w:sz w:val="24"/>
        </w:rPr>
      </w:pPr>
      <w:r>
        <w:rPr>
          <w:rFonts w:hint="eastAsia" w:ascii="Times New Roman" w:hAnsi="Times New Roman" w:eastAsia="仿宋" w:cs="Times New Roman"/>
          <w:sz w:val="24"/>
        </w:rPr>
        <w:t>二、债券投资交易量较大，具有较强的债券交易需求。</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三、具有较好的持续经营能力，近两年债券交易结算未发生重大违法违规事件。</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四、申请材料真实准确完整。</w:t>
      </w:r>
    </w:p>
    <w:p>
      <w:pPr>
        <w:spacing w:line="360" w:lineRule="auto"/>
        <w:jc w:val="left"/>
        <w:rPr>
          <w:rFonts w:ascii="Times New Roman" w:hAnsi="Times New Roman" w:eastAsia="仿宋" w:cs="Times New Roman"/>
          <w:sz w:val="24"/>
        </w:rPr>
      </w:pPr>
      <w:r>
        <w:rPr>
          <w:rFonts w:hint="eastAsia" w:ascii="Times New Roman" w:hAnsi="Times New Roman" w:eastAsia="仿宋" w:cs="Times New Roman"/>
          <w:sz w:val="24"/>
        </w:rPr>
        <w:t>五、严格</w:t>
      </w:r>
      <w:r>
        <w:rPr>
          <w:rFonts w:ascii="Times New Roman" w:hAnsi="Times New Roman" w:eastAsia="仿宋" w:cs="Times New Roman"/>
          <w:sz w:val="24"/>
        </w:rPr>
        <w:t>按照相关法律法规、</w:t>
      </w:r>
      <w:r>
        <w:rPr>
          <w:rFonts w:hint="eastAsia" w:ascii="Times New Roman" w:hAnsi="Times New Roman" w:eastAsia="仿宋" w:cs="Times New Roman"/>
          <w:sz w:val="24"/>
        </w:rPr>
        <w:t>自律</w:t>
      </w:r>
      <w:r>
        <w:rPr>
          <w:rFonts w:ascii="Times New Roman" w:hAnsi="Times New Roman" w:eastAsia="仿宋" w:cs="Times New Roman"/>
          <w:sz w:val="24"/>
        </w:rPr>
        <w:t>规则</w:t>
      </w:r>
      <w:r>
        <w:rPr>
          <w:rFonts w:hint="eastAsia" w:ascii="Times New Roman" w:hAnsi="Times New Roman" w:eastAsia="仿宋" w:cs="Times New Roman"/>
          <w:sz w:val="24"/>
        </w:rPr>
        <w:t>要求</w:t>
      </w:r>
      <w:r>
        <w:rPr>
          <w:rFonts w:ascii="Times New Roman" w:hAnsi="Times New Roman" w:eastAsia="仿宋" w:cs="Times New Roman"/>
          <w:sz w:val="24"/>
        </w:rPr>
        <w:t>，合规开展交易所业务</w:t>
      </w:r>
      <w:r>
        <w:rPr>
          <w:rFonts w:hint="eastAsia" w:ascii="Times New Roman" w:hAnsi="Times New Roman" w:eastAsia="仿宋" w:cs="Times New Roman"/>
          <w:sz w:val="24"/>
        </w:rPr>
        <w:t>，不将交易单元提供他人使用，不超越权限违规代理其他投资者从事债券交易</w:t>
      </w:r>
      <w:r>
        <w:rPr>
          <w:rFonts w:ascii="Times New Roman" w:hAnsi="Times New Roman" w:eastAsia="仿宋" w:cs="Times New Roman"/>
          <w:sz w:val="24"/>
        </w:rPr>
        <w:t>。</w:t>
      </w:r>
    </w:p>
    <w:p>
      <w:pPr>
        <w:spacing w:line="360" w:lineRule="auto"/>
        <w:jc w:val="left"/>
        <w:rPr>
          <w:rFonts w:ascii="Times New Roman" w:hAnsi="Times New Roman" w:eastAsia="仿宋" w:cs="Times New Roman"/>
          <w:sz w:val="24"/>
        </w:rPr>
      </w:pPr>
      <w:r>
        <w:rPr>
          <w:rFonts w:hint="eastAsia" w:ascii="Times New Roman" w:hAnsi="Times New Roman" w:eastAsia="仿宋" w:cs="Times New Roman"/>
          <w:sz w:val="24"/>
        </w:rPr>
        <w:t>六</w:t>
      </w:r>
      <w:r>
        <w:rPr>
          <w:rFonts w:ascii="Times New Roman" w:hAnsi="Times New Roman" w:eastAsia="仿宋" w:cs="Times New Roman"/>
          <w:sz w:val="24"/>
        </w:rPr>
        <w:t>、遵守深圳证券交易所自律规则并接受自律监管，如违反法律、法规、规章、深圳证券交易所相关业务规则，接受深圳证券交易所作出的包括但不限于暂停或</w:t>
      </w:r>
      <w:r>
        <w:rPr>
          <w:rFonts w:hint="eastAsia" w:ascii="Times New Roman" w:hAnsi="Times New Roman" w:eastAsia="仿宋" w:cs="Times New Roman"/>
          <w:sz w:val="24"/>
        </w:rPr>
        <w:t>者</w:t>
      </w:r>
      <w:r>
        <w:rPr>
          <w:rFonts w:ascii="Times New Roman" w:hAnsi="Times New Roman" w:eastAsia="仿宋" w:cs="Times New Roman"/>
          <w:sz w:val="24"/>
        </w:rPr>
        <w:t>限制参与债券市场业务等决定，并承担由此</w:t>
      </w:r>
      <w:r>
        <w:rPr>
          <w:rFonts w:hint="eastAsia" w:ascii="Times New Roman" w:hAnsi="Times New Roman" w:eastAsia="仿宋" w:cs="Times New Roman"/>
          <w:sz w:val="24"/>
        </w:rPr>
        <w:t>产生的</w:t>
      </w:r>
      <w:r>
        <w:rPr>
          <w:rFonts w:ascii="Times New Roman" w:hAnsi="Times New Roman" w:eastAsia="仿宋" w:cs="Times New Roman"/>
          <w:sz w:val="24"/>
        </w:rPr>
        <w:t>一切法律责任。</w:t>
      </w:r>
    </w:p>
    <w:p>
      <w:pPr>
        <w:spacing w:line="360" w:lineRule="auto"/>
        <w:ind w:firstLine="480" w:firstLineChars="200"/>
        <w:jc w:val="left"/>
        <w:rPr>
          <w:rFonts w:ascii="Times New Roman" w:hAnsi="Times New Roman" w:eastAsia="仿宋" w:cs="Times New Roman"/>
          <w:sz w:val="24"/>
        </w:rPr>
      </w:pPr>
    </w:p>
    <w:p>
      <w:pPr>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特此申请</w:t>
      </w:r>
    </w:p>
    <w:p>
      <w:pPr>
        <w:spacing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附件：债券交易参与人基本信息登记表</w:t>
      </w:r>
    </w:p>
    <w:p>
      <w:pPr>
        <w:spacing w:line="360" w:lineRule="auto"/>
        <w:ind w:firstLine="480" w:firstLineChars="200"/>
        <w:jc w:val="left"/>
        <w:rPr>
          <w:rFonts w:ascii="Times New Roman" w:hAnsi="Times New Roman" w:eastAsia="仿宋" w:cs="Times New Roman"/>
          <w:sz w:val="24"/>
        </w:rPr>
      </w:pPr>
    </w:p>
    <w:p>
      <w:pPr>
        <w:adjustRightInd w:val="0"/>
        <w:snapToGrid w:val="0"/>
        <w:spacing w:line="360" w:lineRule="auto"/>
        <w:ind w:firstLine="3720" w:firstLineChars="1550"/>
        <w:rPr>
          <w:rFonts w:ascii="Times New Roman" w:hAnsi="Times New Roman" w:eastAsia="仿宋" w:cs="Times New Roman"/>
          <w:sz w:val="24"/>
        </w:rPr>
      </w:pPr>
      <w:r>
        <w:rPr>
          <w:rFonts w:ascii="Times New Roman" w:hAnsi="Times New Roman" w:eastAsia="仿宋" w:cs="Times New Roman"/>
          <w:sz w:val="24"/>
        </w:rPr>
        <w:t xml:space="preserve">                       申请方单位公章</w:t>
      </w:r>
    </w:p>
    <w:p>
      <w:pPr>
        <w:spacing w:line="360" w:lineRule="auto"/>
        <w:ind w:firstLine="3840" w:firstLineChars="1600"/>
        <w:rPr>
          <w:rFonts w:ascii="Times New Roman" w:hAnsi="Times New Roman" w:eastAsia="仿宋" w:cs="Times New Roman"/>
          <w:sz w:val="24"/>
        </w:rPr>
      </w:pPr>
      <w:r>
        <w:rPr>
          <w:rFonts w:ascii="Times New Roman" w:hAnsi="Times New Roman" w:eastAsia="仿宋" w:cs="Times New Roman"/>
          <w:sz w:val="24"/>
        </w:rPr>
        <w:t xml:space="preserve">               法定代表人签字（或盖章）</w:t>
      </w:r>
    </w:p>
    <w:p>
      <w:pPr>
        <w:spacing w:line="360" w:lineRule="auto"/>
        <w:ind w:firstLine="480" w:firstLineChars="200"/>
        <w:jc w:val="right"/>
        <w:rPr>
          <w:rFonts w:ascii="Times New Roman" w:hAnsi="Times New Roman" w:eastAsia="仿宋" w:cs="Times New Roman"/>
          <w:sz w:val="24"/>
        </w:rPr>
      </w:pPr>
      <w:r>
        <w:rPr>
          <w:rFonts w:ascii="Times New Roman" w:hAnsi="Times New Roman" w:eastAsia="仿宋" w:cs="Times New Roman"/>
          <w:sz w:val="24"/>
        </w:rPr>
        <w:t xml:space="preserve">                         年   月   日</w:t>
      </w:r>
    </w:p>
    <w:tbl>
      <w:tblPr>
        <w:tblStyle w:val="26"/>
        <w:tblpPr w:leftFromText="180" w:rightFromText="180" w:vertAnchor="page" w:horzAnchor="margin" w:tblpXSpec="center" w:tblpY="1291"/>
        <w:tblW w:w="98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725"/>
        <w:gridCol w:w="1299"/>
        <w:gridCol w:w="51"/>
        <w:gridCol w:w="1461"/>
        <w:gridCol w:w="98"/>
        <w:gridCol w:w="1627"/>
        <w:gridCol w:w="1299"/>
        <w:gridCol w:w="1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817" w:type="dxa"/>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9073" w:type="dxa"/>
            <w:gridSpan w:val="8"/>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snapToGrid w:val="0"/>
              <w:jc w:val="center"/>
              <w:rPr>
                <w:rFonts w:ascii="仿宋" w:hAnsi="仿宋" w:eastAsia="仿宋" w:cs="宋体"/>
                <w:b/>
                <w:bCs/>
                <w:color w:val="000000"/>
                <w:kern w:val="0"/>
                <w:sz w:val="28"/>
                <w:szCs w:val="32"/>
              </w:rPr>
            </w:pPr>
            <w:r>
              <w:rPr>
                <w:rFonts w:hint="eastAsia" w:ascii="Times New Roman" w:hAnsi="Times New Roman" w:eastAsia="方正小标宋简体" w:cs="Times New Roman"/>
                <w:sz w:val="36"/>
                <w:szCs w:val="40"/>
              </w:rPr>
              <w:t>债券交易参与人基本信息登记表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817" w:type="dxa"/>
            <w:vMerge w:val="restart"/>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机构信息</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机构简称</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机构全称</w:t>
            </w:r>
          </w:p>
        </w:tc>
        <w:tc>
          <w:tcPr>
            <w:tcW w:w="443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机构类别</w:t>
            </w:r>
          </w:p>
        </w:tc>
        <w:tc>
          <w:tcPr>
            <w:tcW w:w="734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□政策性银行 □商业银行 □银行理财子公司</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□保险公司 □保险资管机构 □养老金管理公司</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□基金管理公司</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□其他：</w:t>
            </w:r>
            <w:r>
              <w:rPr>
                <w:rFonts w:ascii="仿宋" w:hAnsi="仿宋" w:eastAsia="仿宋" w:cs="宋体"/>
                <w:b/>
                <w:bCs/>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机构地区</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省</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市</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注册资本</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法定代表人</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统一社会信用代码</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最近一年申请人债券交易情况</w:t>
            </w:r>
          </w:p>
        </w:tc>
        <w:tc>
          <w:tcPr>
            <w:tcW w:w="734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债券交易量    亿元，</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其中，现券交易量     亿元、回购交易量     亿元。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机构通信地址</w:t>
            </w:r>
          </w:p>
        </w:tc>
        <w:tc>
          <w:tcPr>
            <w:tcW w:w="734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817" w:type="dxa"/>
            <w:vMerge w:val="restart"/>
            <w:tcBorders>
              <w:top w:val="single" w:color="auto" w:sz="4" w:space="0"/>
              <w:left w:val="single" w:color="auto" w:sz="4" w:space="0"/>
              <w:right w:val="single" w:color="auto" w:sz="4" w:space="0"/>
            </w:tcBorders>
            <w:vAlign w:val="center"/>
          </w:tcPr>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资本资金情况</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最近一个会计年度年末净资产</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（资产管理机构以外的其他机构填写）</w:t>
            </w:r>
          </w:p>
        </w:tc>
        <w:tc>
          <w:tcPr>
            <w:tcW w:w="453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资本情况</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（资产管理机构填写）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817" w:type="dxa"/>
            <w:vMerge w:val="continue"/>
            <w:tcBorders>
              <w:left w:val="single" w:color="auto" w:sz="4" w:space="0"/>
              <w:right w:val="single" w:color="auto" w:sz="4" w:space="0"/>
            </w:tcBorders>
            <w:vAlign w:val="center"/>
          </w:tcPr>
          <w:p>
            <w:pPr>
              <w:widowControl/>
              <w:snapToGrid w:val="0"/>
              <w:jc w:val="center"/>
              <w:rPr>
                <w:rFonts w:ascii="仿宋" w:hAnsi="仿宋" w:eastAsia="仿宋" w:cs="宋体"/>
                <w:b/>
                <w:bCs/>
                <w:color w:val="000000"/>
                <w:kern w:val="0"/>
                <w:szCs w:val="21"/>
              </w:rPr>
            </w:pPr>
          </w:p>
        </w:tc>
        <w:tc>
          <w:tcPr>
            <w:tcW w:w="4536" w:type="dxa"/>
            <w:gridSpan w:val="4"/>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亿元</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具备发行公募资管产品资格</w:t>
            </w:r>
          </w:p>
        </w:tc>
        <w:tc>
          <w:tcPr>
            <w:tcW w:w="28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若否，填写下一行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817" w:type="dxa"/>
            <w:vMerge w:val="continue"/>
            <w:tcBorders>
              <w:left w:val="single" w:color="auto" w:sz="4" w:space="0"/>
              <w:right w:val="single" w:color="auto" w:sz="4" w:space="0"/>
            </w:tcBorders>
            <w:vAlign w:val="center"/>
          </w:tcPr>
          <w:p>
            <w:pPr>
              <w:widowControl/>
              <w:snapToGrid w:val="0"/>
              <w:jc w:val="center"/>
              <w:rPr>
                <w:rFonts w:ascii="仿宋" w:hAnsi="仿宋" w:eastAsia="仿宋" w:cs="宋体"/>
                <w:b/>
                <w:bCs/>
                <w:color w:val="000000"/>
                <w:kern w:val="0"/>
                <w:szCs w:val="21"/>
              </w:rPr>
            </w:pPr>
          </w:p>
        </w:tc>
        <w:tc>
          <w:tcPr>
            <w:tcW w:w="4536" w:type="dxa"/>
            <w:gridSpan w:val="4"/>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最近一个会计年末管理资产规模</w:t>
            </w:r>
          </w:p>
        </w:tc>
        <w:tc>
          <w:tcPr>
            <w:tcW w:w="28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亿元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restart"/>
            <w:tcBorders>
              <w:top w:val="single" w:color="auto" w:sz="4" w:space="0"/>
              <w:left w:val="single" w:color="auto" w:sz="4" w:space="0"/>
              <w:right w:val="single" w:color="auto" w:sz="4" w:space="0"/>
            </w:tcBorders>
            <w:vAlign w:val="center"/>
          </w:tcPr>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联</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络</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人</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信</w:t>
            </w:r>
          </w:p>
          <w:p>
            <w:pPr>
              <w:widowControl/>
              <w:snapToGrid w:val="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息</w:t>
            </w:r>
          </w:p>
          <w:p>
            <w:pPr>
              <w:widowControl/>
              <w:snapToGrid w:val="0"/>
              <w:jc w:val="center"/>
              <w:rPr>
                <w:rFonts w:ascii="仿宋" w:hAnsi="仿宋" w:eastAsia="仿宋" w:cs="宋体"/>
                <w:b/>
                <w:bCs/>
                <w:color w:val="000000"/>
                <w:kern w:val="0"/>
                <w:szCs w:val="21"/>
              </w:rPr>
            </w:pPr>
          </w:p>
        </w:tc>
        <w:tc>
          <w:tcPr>
            <w:tcW w:w="90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债券业务负责人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姓名</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部门</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职务</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是否法定代表人</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手机号码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电子邮件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传真</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电话区号</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90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债券交易业务联络人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姓名</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部门</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职务</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continue"/>
            <w:tcBorders>
              <w:left w:val="single" w:color="auto" w:sz="4" w:space="0"/>
              <w:right w:val="single" w:color="auto" w:sz="4" w:space="0"/>
            </w:tcBorders>
            <w:textDirection w:val="tbRlV"/>
            <w:vAlign w:val="center"/>
          </w:tcPr>
          <w:p>
            <w:pPr>
              <w:widowControl/>
              <w:snapToGrid w:val="0"/>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是否法定代表人</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手机号码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电子邮件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continue"/>
            <w:tcBorders>
              <w:left w:val="single" w:color="auto" w:sz="4" w:space="0"/>
              <w:right w:val="single" w:color="auto" w:sz="4" w:space="0"/>
            </w:tcBorders>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传真</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电话区号</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continue"/>
            <w:tcBorders>
              <w:left w:val="single" w:color="auto" w:sz="4" w:space="0"/>
              <w:right w:val="single" w:color="auto" w:sz="4" w:space="0"/>
            </w:tcBorders>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90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技术联络人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continue"/>
            <w:tcBorders>
              <w:left w:val="single" w:color="auto" w:sz="4" w:space="0"/>
              <w:right w:val="single" w:color="auto" w:sz="4" w:space="0"/>
            </w:tcBorders>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姓名</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部门</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职务</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vMerge w:val="continue"/>
            <w:tcBorders>
              <w:left w:val="single" w:color="auto" w:sz="4" w:space="0"/>
              <w:right w:val="single" w:color="auto" w:sz="4" w:space="0"/>
            </w:tcBorders>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是否法定代表人</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手机号码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电子邮件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17" w:type="dxa"/>
            <w:tcBorders>
              <w:left w:val="single" w:color="auto" w:sz="4" w:space="0"/>
              <w:bottom w:val="single" w:color="auto" w:sz="4" w:space="0"/>
              <w:right w:val="single" w:color="auto" w:sz="4" w:space="0"/>
            </w:tcBorders>
            <w:textDirection w:val="tbRlV"/>
            <w:vAlign w:val="center"/>
          </w:tcPr>
          <w:p>
            <w:pPr>
              <w:adjustRightInd w:val="0"/>
              <w:snapToGrid w:val="0"/>
              <w:ind w:left="113" w:right="113"/>
              <w:jc w:val="center"/>
              <w:rPr>
                <w:rFonts w:ascii="仿宋" w:hAnsi="仿宋" w:eastAsia="仿宋" w:cs="宋体"/>
                <w:b/>
                <w:bCs/>
                <w:color w:val="000000"/>
                <w:kern w:val="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传真</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电话区号</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电话</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r>
    </w:tbl>
    <w:p>
      <w:pPr>
        <w:widowControl/>
        <w:jc w:val="left"/>
        <w:sectPr>
          <w:pgSz w:w="11910" w:h="16840"/>
          <w:pgMar w:top="1420" w:right="1660" w:bottom="1780" w:left="1660" w:header="852" w:footer="1583" w:gutter="0"/>
          <w:pgNumType w:start="1"/>
          <w:cols w:space="720" w:num="1"/>
          <w:docGrid w:linePitch="286" w:charSpace="0"/>
        </w:sectPr>
      </w:pPr>
    </w:p>
    <w:p>
      <w:pPr>
        <w:pStyle w:val="4"/>
        <w:rPr>
          <w:rFonts w:ascii="Times New Roman" w:hAnsi="Times New Roman" w:cs="Times New Roman"/>
          <w:bCs w:val="0"/>
        </w:rPr>
      </w:pPr>
      <w:bookmarkStart w:id="331" w:name="_Toc14870"/>
      <w:bookmarkStart w:id="332" w:name="_Toc13908"/>
      <w:bookmarkStart w:id="333" w:name="_Toc600"/>
      <w:bookmarkStart w:id="334" w:name="_Toc30255"/>
      <w:bookmarkStart w:id="335" w:name="_Toc122379728"/>
      <w:bookmarkStart w:id="336" w:name="_Toc7179"/>
      <w:bookmarkStart w:id="337" w:name="_Toc109306068"/>
      <w:bookmarkStart w:id="338" w:name="_Toc22126"/>
      <w:bookmarkStart w:id="339" w:name="_Toc123809397"/>
      <w:r>
        <w:rPr>
          <w:rFonts w:hint="eastAsia" w:ascii="Times New Roman" w:hAnsi="Times New Roman" w:cs="Times New Roman"/>
          <w:bCs w:val="0"/>
        </w:rPr>
        <w:t>附件</w:t>
      </w:r>
      <w:r>
        <w:rPr>
          <w:rFonts w:ascii="Times New Roman" w:hAnsi="Times New Roman" w:cs="Times New Roman"/>
          <w:bCs w:val="0"/>
        </w:rPr>
        <w:t>2</w:t>
      </w:r>
      <w:r>
        <w:rPr>
          <w:rFonts w:hint="eastAsia" w:ascii="Times New Roman" w:hAnsi="Times New Roman" w:cs="Times New Roman"/>
          <w:bCs w:val="0"/>
        </w:rPr>
        <w:t>：境外机构投资者信息报送表</w:t>
      </w:r>
      <w:bookmarkEnd w:id="331"/>
      <w:bookmarkEnd w:id="332"/>
      <w:bookmarkEnd w:id="333"/>
      <w:bookmarkEnd w:id="334"/>
      <w:bookmarkEnd w:id="335"/>
      <w:bookmarkEnd w:id="336"/>
      <w:bookmarkEnd w:id="337"/>
      <w:bookmarkEnd w:id="338"/>
      <w:bookmarkEnd w:id="339"/>
    </w:p>
    <w:p>
      <w:pPr>
        <w:spacing w:line="560" w:lineRule="exact"/>
        <w:rPr>
          <w:color w:val="000000" w:themeColor="text1"/>
          <w14:textFill>
            <w14:solidFill>
              <w14:schemeClr w14:val="tx1"/>
            </w14:solidFill>
          </w14:textFill>
        </w:rPr>
      </w:pPr>
    </w:p>
    <w:tbl>
      <w:tblPr>
        <w:tblStyle w:val="2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311"/>
        <w:gridCol w:w="775"/>
        <w:gridCol w:w="962"/>
        <w:gridCol w:w="314"/>
        <w:gridCol w:w="850"/>
        <w:gridCol w:w="44"/>
        <w:gridCol w:w="807"/>
        <w:gridCol w:w="14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22" w:type="dxa"/>
            <w:gridSpan w:val="10"/>
            <w:tcBorders>
              <w:top w:val="nil"/>
              <w:left w:val="nil"/>
              <w:bottom w:val="nil"/>
              <w:right w:val="nil"/>
            </w:tcBorders>
            <w:noWrap/>
            <w:vAlign w:val="bottom"/>
          </w:tcPr>
          <w:p>
            <w:pPr>
              <w:snapToGrid w:val="0"/>
              <w:jc w:val="center"/>
              <w:rPr>
                <w:rFonts w:ascii="Times New Roman" w:hAnsi="Times New Roman" w:eastAsia="方正小标宋简体" w:cs="Times New Roman"/>
                <w:sz w:val="44"/>
                <w:szCs w:val="40"/>
              </w:rPr>
            </w:pPr>
            <w:r>
              <w:rPr>
                <w:rFonts w:hint="eastAsia" w:ascii="Times New Roman" w:hAnsi="Times New Roman" w:eastAsia="方正小标宋简体" w:cs="Times New Roman"/>
                <w:sz w:val="44"/>
                <w:szCs w:val="40"/>
              </w:rPr>
              <w:t>境外机构投资者信息报送表</w:t>
            </w:r>
          </w:p>
          <w:p>
            <w:pPr>
              <w:snapToGrid w:val="0"/>
              <w:jc w:val="center"/>
              <w:rPr>
                <w:rFonts w:ascii="Times New Roman" w:hAnsi="Times New Roman" w:eastAsia="方正小标宋简体" w:cs="Times New Roman"/>
                <w:sz w:val="44"/>
                <w:szCs w:val="40"/>
              </w:rPr>
            </w:pPr>
            <w:r>
              <w:rPr>
                <w:rFonts w:ascii="Times New Roman" w:hAnsi="Times New Roman" w:eastAsia="方正小标宋简体" w:cs="Times New Roman"/>
                <w:sz w:val="44"/>
                <w:szCs w:val="40"/>
              </w:rPr>
              <w:t>Information Form For Foreign Institutional Investors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222" w:type="dxa"/>
            <w:gridSpan w:val="10"/>
            <w:tcBorders>
              <w:top w:val="nil"/>
              <w:left w:val="nil"/>
              <w:bottom w:val="single" w:color="auto" w:sz="4" w:space="0"/>
              <w:right w:val="nil"/>
            </w:tcBorders>
            <w:noWrap/>
            <w:vAlign w:val="bottom"/>
          </w:tcPr>
          <w:p>
            <w:pPr>
              <w:keepNext/>
              <w:keepLines/>
              <w:widowControl/>
              <w:spacing w:line="560" w:lineRule="exact"/>
              <w:jc w:val="left"/>
              <w:rPr>
                <w:rFonts w:ascii="Times New Roman" w:hAnsi="Times New Roman" w:eastAsia="仿宋"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tcBorders>
              <w:top w:val="single" w:color="auto" w:sz="4" w:space="0"/>
            </w:tcBorders>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申报类别</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Types</w:t>
            </w:r>
          </w:p>
        </w:tc>
        <w:tc>
          <w:tcPr>
            <w:tcW w:w="6197" w:type="dxa"/>
            <w:gridSpan w:val="9"/>
            <w:tcBorders>
              <w:top w:val="single" w:color="auto" w:sz="4" w:space="0"/>
            </w:tcBorders>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法人</w:t>
            </w:r>
            <w:r>
              <w:rPr>
                <w:rFonts w:ascii="Times New Roman" w:hAnsi="Times New Roman" w:eastAsia="仿宋" w:cs="Times New Roman"/>
                <w:b/>
                <w:bCs/>
                <w:color w:val="000000" w:themeColor="text1"/>
                <w14:textFill>
                  <w14:solidFill>
                    <w14:schemeClr w14:val="tx1"/>
                  </w14:solidFill>
                </w14:textFill>
              </w:rPr>
              <w:t>/</w:t>
            </w:r>
            <w:r>
              <w:rPr>
                <w:rFonts w:hint="eastAsia" w:ascii="Times New Roman" w:hAnsi="Times New Roman" w:eastAsia="仿宋" w:cs="Times New Roman"/>
                <w:b/>
                <w:bCs/>
                <w:color w:val="000000" w:themeColor="text1"/>
                <w14:textFill>
                  <w14:solidFill>
                    <w14:schemeClr w14:val="tx1"/>
                  </w14:solidFill>
                </w14:textFill>
              </w:rPr>
              <w:t>非法人产品的资产管理人</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Incorporated Entity/Asset Management Company of Unincorporated Fund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机构全称</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Full Name of Applicant Institution</w:t>
            </w:r>
          </w:p>
        </w:tc>
        <w:tc>
          <w:tcPr>
            <w:tcW w:w="6197" w:type="dxa"/>
            <w:gridSpan w:val="9"/>
            <w:vAlign w:val="center"/>
          </w:tcPr>
          <w:p>
            <w:pPr>
              <w:rPr>
                <w:rFonts w:ascii="Times New Roman" w:hAnsi="Times New Roman" w:eastAsia="仿宋" w:cs="Times New Roman"/>
                <w:b/>
                <w:bCs/>
                <w:color w:val="000000" w:themeColor="text1"/>
                <w14:textFill>
                  <w14:solidFill>
                    <w14:schemeClr w14:val="tx1"/>
                  </w14:solidFill>
                </w14:textFill>
              </w:rPr>
            </w:pPr>
          </w:p>
          <w:p>
            <w:pPr>
              <w:rPr>
                <w:rFonts w:ascii="Times New Roman" w:hAnsi="Times New Roman" w:eastAsia="仿宋"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机构类别</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Type of Institution</w:t>
            </w:r>
          </w:p>
        </w:tc>
        <w:tc>
          <w:tcPr>
            <w:tcW w:w="6197" w:type="dxa"/>
            <w:gridSpan w:val="9"/>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□主权机构</w:t>
            </w:r>
            <w:r>
              <w:rPr>
                <w:rFonts w:ascii="Times New Roman" w:hAnsi="Times New Roman" w:eastAsia="仿宋" w:cs="Times New Roman"/>
                <w:bCs/>
                <w:color w:val="000000" w:themeColor="text1"/>
                <w14:textFill>
                  <w14:solidFill>
                    <w14:schemeClr w14:val="tx1"/>
                  </w14:solidFill>
                </w14:textFill>
              </w:rPr>
              <w:t xml:space="preserve"> Sovereign Fund</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□商业银行</w:t>
            </w:r>
            <w:r>
              <w:rPr>
                <w:rFonts w:ascii="Times New Roman" w:hAnsi="Times New Roman" w:eastAsia="仿宋" w:cs="Times New Roman"/>
                <w:bCs/>
                <w:color w:val="000000" w:themeColor="text1"/>
                <w14:textFill>
                  <w14:solidFill>
                    <w14:schemeClr w14:val="tx1"/>
                  </w14:solidFill>
                </w14:textFill>
              </w:rPr>
              <w:t>Commercial Bank</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□保险公司</w:t>
            </w:r>
            <w:r>
              <w:rPr>
                <w:rFonts w:ascii="Times New Roman" w:hAnsi="Times New Roman" w:eastAsia="仿宋" w:cs="Times New Roman"/>
                <w:bCs/>
                <w:color w:val="000000" w:themeColor="text1"/>
                <w14:textFill>
                  <w14:solidFill>
                    <w14:schemeClr w14:val="tx1"/>
                  </w14:solidFill>
                </w14:textFill>
              </w:rPr>
              <w:t>Insurance Company</w:t>
            </w:r>
          </w:p>
          <w:p>
            <w:pPr>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□证券公司</w:t>
            </w:r>
            <w:r>
              <w:rPr>
                <w:rFonts w:ascii="Times New Roman" w:hAnsi="Times New Roman" w:eastAsia="仿宋" w:cs="Times New Roman"/>
                <w:bCs/>
                <w:color w:val="000000" w:themeColor="text1"/>
                <w14:textFill>
                  <w14:solidFill>
                    <w14:schemeClr w14:val="tx1"/>
                  </w14:solidFill>
                </w14:textFill>
              </w:rPr>
              <w:t>Securities Company</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□基金管理公司</w:t>
            </w:r>
            <w:r>
              <w:rPr>
                <w:rFonts w:ascii="Times New Roman" w:hAnsi="Times New Roman" w:eastAsia="仿宋" w:cs="Times New Roman"/>
                <w:bCs/>
                <w:color w:val="000000" w:themeColor="text1"/>
                <w14:textFill>
                  <w14:solidFill>
                    <w14:schemeClr w14:val="tx1"/>
                  </w14:solidFill>
                </w14:textFill>
              </w:rPr>
              <w:t>Fund management Company</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□期货公司</w:t>
            </w:r>
            <w:r>
              <w:rPr>
                <w:rFonts w:ascii="Times New Roman" w:hAnsi="Times New Roman" w:eastAsia="仿宋" w:cs="Times New Roman"/>
                <w:b/>
                <w:bCs/>
                <w:color w:val="000000" w:themeColor="text1"/>
                <w14:textFill>
                  <w14:solidFill>
                    <w14:schemeClr w14:val="tx1"/>
                  </w14:solidFill>
                </w14:textFill>
              </w:rPr>
              <w:t xml:space="preserve"> </w:t>
            </w:r>
            <w:r>
              <w:rPr>
                <w:rFonts w:ascii="Times New Roman" w:hAnsi="Times New Roman" w:eastAsia="仿宋" w:cs="Times New Roman"/>
                <w:bCs/>
                <w:color w:val="000000" w:themeColor="text1"/>
                <w14:textFill>
                  <w14:solidFill>
                    <w14:schemeClr w14:val="tx1"/>
                  </w14:solidFill>
                </w14:textFill>
              </w:rPr>
              <w:t>Futures Company</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□信托公司</w:t>
            </w:r>
            <w:r>
              <w:rPr>
                <w:rFonts w:ascii="Times New Roman" w:hAnsi="Times New Roman" w:eastAsia="仿宋" w:cs="Times New Roman"/>
                <w:b/>
                <w:bCs/>
                <w:color w:val="000000" w:themeColor="text1"/>
                <w14:textFill>
                  <w14:solidFill>
                    <w14:schemeClr w14:val="tx1"/>
                  </w14:solidFill>
                </w14:textFill>
              </w:rPr>
              <w:t xml:space="preserve"> </w:t>
            </w:r>
            <w:r>
              <w:rPr>
                <w:rFonts w:ascii="Times New Roman" w:hAnsi="Times New Roman" w:eastAsia="仿宋" w:cs="Times New Roman"/>
                <w:bCs/>
                <w:color w:val="000000" w:themeColor="text1"/>
                <w14:textFill>
                  <w14:solidFill>
                    <w14:schemeClr w14:val="tx1"/>
                  </w14:solidFill>
                </w14:textFill>
              </w:rPr>
              <w:t>Trust Company</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□其他机构</w:t>
            </w:r>
            <w:r>
              <w:rPr>
                <w:rFonts w:ascii="Times New Roman" w:hAnsi="Times New Roman" w:eastAsia="仿宋" w:cs="Times New Roman"/>
                <w:b/>
                <w:bCs/>
                <w:color w:val="000000" w:themeColor="text1"/>
                <w14:textFill>
                  <w14:solidFill>
                    <w14:schemeClr w14:val="tx1"/>
                  </w14:solidFill>
                </w14:textFill>
              </w:rPr>
              <w:t>(</w:t>
            </w:r>
            <w:r>
              <w:rPr>
                <w:rFonts w:hint="eastAsia" w:ascii="Times New Roman" w:hAnsi="Times New Roman" w:eastAsia="仿宋" w:cs="Times New Roman"/>
                <w:b/>
                <w:bCs/>
                <w:color w:val="000000" w:themeColor="text1"/>
                <w14:textFill>
                  <w14:solidFill>
                    <w14:schemeClr w14:val="tx1"/>
                  </w14:solidFill>
                </w14:textFill>
              </w:rPr>
              <w:t>请说明</w:t>
            </w:r>
            <w:r>
              <w:rPr>
                <w:rFonts w:ascii="Times New Roman" w:hAnsi="Times New Roman" w:eastAsia="仿宋" w:cs="Times New Roman"/>
                <w:b/>
                <w:bCs/>
                <w:color w:val="000000" w:themeColor="text1"/>
                <w14:textFill>
                  <w14:solidFill>
                    <w14:schemeClr w14:val="tx1"/>
                  </w14:solidFill>
                </w14:textFill>
              </w:rPr>
              <w:t xml:space="preserve">) </w:t>
            </w:r>
            <w:r>
              <w:rPr>
                <w:rFonts w:ascii="Times New Roman" w:hAnsi="Times New Roman" w:eastAsia="仿宋" w:cs="Times New Roman"/>
                <w:bCs/>
                <w:color w:val="000000" w:themeColor="text1"/>
                <w14:textFill>
                  <w14:solidFill>
                    <w14:schemeClr w14:val="tx1"/>
                  </w14:solidFill>
                </w14:textFill>
              </w:rPr>
              <w:t>Other</w:t>
            </w:r>
            <w:r>
              <w:rPr>
                <w:rFonts w:hint="eastAsia" w:ascii="Times New Roman" w:hAnsi="Times New Roman" w:eastAsia="仿宋" w:cs="Times New Roman"/>
                <w:bCs/>
                <w:color w:val="000000" w:themeColor="text1"/>
                <w14:textFill>
                  <w14:solidFill>
                    <w14:schemeClr w14:val="tx1"/>
                  </w14:solidFill>
                </w14:textFill>
              </w:rPr>
              <w:t>（</w:t>
            </w:r>
            <w:r>
              <w:rPr>
                <w:rFonts w:ascii="Times New Roman" w:hAnsi="Times New Roman" w:eastAsia="仿宋" w:cs="Times New Roman"/>
                <w:bCs/>
                <w:color w:val="000000" w:themeColor="text1"/>
                <w14:textFill>
                  <w14:solidFill>
                    <w14:schemeClr w14:val="tx1"/>
                  </w14:solidFill>
                </w14:textFill>
              </w:rPr>
              <w:t>Please Specify</w:t>
            </w:r>
            <w:r>
              <w:rPr>
                <w:rFonts w:hint="eastAsia" w:ascii="Times New Roman" w:hAnsi="Times New Roman" w:eastAsia="仿宋" w:cs="Times New Roman"/>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所在国家/</w:t>
            </w:r>
            <w:r>
              <w:rPr>
                <w:rFonts w:hint="eastAsia" w:ascii="Times New Roman" w:hAnsi="Times New Roman" w:eastAsia="仿宋" w:cs="Times New Roman"/>
                <w:b/>
                <w:bCs/>
                <w:color w:val="000000" w:themeColor="text1"/>
                <w14:textFill>
                  <w14:solidFill>
                    <w14:schemeClr w14:val="tx1"/>
                  </w14:solidFill>
                </w14:textFill>
              </w:rPr>
              <w:t>地区</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Country/Region</w:t>
            </w:r>
          </w:p>
        </w:tc>
        <w:tc>
          <w:tcPr>
            <w:tcW w:w="6197" w:type="dxa"/>
            <w:gridSpan w:val="9"/>
            <w:vAlign w:val="center"/>
          </w:tcPr>
          <w:p>
            <w:pPr>
              <w:rPr>
                <w:rFonts w:ascii="Times New Roman" w:hAnsi="Times New Roman" w:eastAsia="仿宋"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证券</w:t>
            </w:r>
            <w:r>
              <w:rPr>
                <w:rFonts w:hint="eastAsia" w:ascii="Times New Roman" w:hAnsi="Times New Roman" w:eastAsia="仿宋" w:cs="Times New Roman"/>
                <w:b/>
                <w:bCs/>
                <w:color w:val="000000" w:themeColor="text1"/>
                <w14:textFill>
                  <w14:solidFill>
                    <w14:schemeClr w14:val="tx1"/>
                  </w14:solidFill>
                </w14:textFill>
              </w:rPr>
              <w:t>账</w:t>
            </w:r>
            <w:r>
              <w:rPr>
                <w:rFonts w:ascii="Times New Roman" w:hAnsi="Times New Roman" w:eastAsia="仿宋" w:cs="Times New Roman"/>
                <w:b/>
                <w:bCs/>
                <w:color w:val="000000" w:themeColor="text1"/>
                <w14:textFill>
                  <w14:solidFill>
                    <w14:schemeClr w14:val="tx1"/>
                  </w14:solidFill>
                </w14:textFill>
              </w:rPr>
              <w:t>户</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Security Account(s)</w:t>
            </w:r>
          </w:p>
        </w:tc>
        <w:tc>
          <w:tcPr>
            <w:tcW w:w="6197" w:type="dxa"/>
            <w:gridSpan w:val="9"/>
            <w:vAlign w:val="center"/>
          </w:tcPr>
          <w:p>
            <w:pPr>
              <w:ind w:left="211" w:hanging="211" w:hangingChars="100"/>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（可填多项）</w:t>
            </w:r>
          </w:p>
          <w:p>
            <w:pPr>
              <w:ind w:left="210" w:leftChars="50" w:hanging="105" w:hangingChars="50"/>
              <w:rPr>
                <w:rFonts w:ascii="Times New Roman" w:hAnsi="Times New Roman" w:eastAsia="仿宋"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账户名称</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Account Name(s)</w:t>
            </w:r>
          </w:p>
        </w:tc>
        <w:tc>
          <w:tcPr>
            <w:tcW w:w="6197" w:type="dxa"/>
            <w:gridSpan w:val="9"/>
            <w:vAlign w:val="center"/>
          </w:tcPr>
          <w:p>
            <w:pPr>
              <w:ind w:left="211" w:hanging="211" w:hangingChars="100"/>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（可填多项）</w:t>
            </w:r>
          </w:p>
          <w:p>
            <w:pPr>
              <w:ind w:left="210" w:leftChars="50" w:hanging="105" w:hangingChars="50"/>
              <w:rPr>
                <w:rFonts w:ascii="Times New Roman" w:hAnsi="Times New Roman" w:eastAsia="仿宋"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vAlign w:val="center"/>
          </w:tcPr>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报送内容</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Contents</w:t>
            </w:r>
          </w:p>
        </w:tc>
        <w:tc>
          <w:tcPr>
            <w:tcW w:w="6197" w:type="dxa"/>
            <w:gridSpan w:val="9"/>
            <w:vAlign w:val="center"/>
          </w:tcPr>
          <w:p>
            <w:pPr>
              <w:ind w:left="211" w:hanging="211"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□初始报送</w:t>
            </w:r>
            <w:r>
              <w:rPr>
                <w:rFonts w:ascii="Times New Roman" w:hAnsi="Times New Roman" w:eastAsia="仿宋" w:cs="Times New Roman"/>
                <w:bCs/>
                <w:color w:val="000000" w:themeColor="text1"/>
                <w14:textFill>
                  <w14:solidFill>
                    <w14:schemeClr w14:val="tx1"/>
                  </w14:solidFill>
                </w14:textFill>
              </w:rPr>
              <w:t>Initial Registration</w:t>
            </w:r>
          </w:p>
          <w:p>
            <w:pPr>
              <w:ind w:left="211" w:hanging="211" w:hangingChars="100"/>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□信息变更</w:t>
            </w:r>
            <w:r>
              <w:rPr>
                <w:rFonts w:ascii="Times New Roman" w:hAnsi="Times New Roman" w:eastAsia="仿宋" w:cs="Times New Roman"/>
                <w:bCs/>
                <w:color w:val="000000" w:themeColor="text1"/>
                <w14:textFill>
                  <w14:solidFill>
                    <w14:schemeClr w14:val="tx1"/>
                  </w14:solidFill>
                </w14:textFill>
              </w:rPr>
              <w:t>Information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rPr>
                <w:rFonts w:ascii="Times New Roman" w:hAnsi="Times New Roman" w:eastAsia="仿宋" w:cs="Times New Roman"/>
                <w:b/>
                <w:bCs/>
                <w:color w:val="000000" w:themeColor="text1"/>
                <w14:textFill>
                  <w14:solidFill>
                    <w14:schemeClr w14:val="tx1"/>
                  </w14:solidFill>
                </w14:textFill>
              </w:rPr>
            </w:pPr>
          </w:p>
        </w:tc>
        <w:tc>
          <w:tcPr>
            <w:tcW w:w="6197" w:type="dxa"/>
            <w:gridSpan w:val="9"/>
            <w:vAlign w:val="center"/>
          </w:tcPr>
          <w:p>
            <w:pPr>
              <w:ind w:left="211" w:hanging="211" w:hangingChars="100"/>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变更事项（可添加多项）</w:t>
            </w:r>
          </w:p>
          <w:p>
            <w:pPr>
              <w:ind w:left="210" w:hanging="210" w:hangingChars="100"/>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 xml:space="preserve">Update Item(s):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vAlign w:val="center"/>
          </w:tcPr>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法人/</w:t>
            </w:r>
            <w:r>
              <w:rPr>
                <w:rFonts w:hint="eastAsia" w:ascii="Times New Roman" w:hAnsi="Times New Roman" w:eastAsia="仿宋" w:cs="Times New Roman"/>
                <w:b/>
                <w:bCs/>
                <w:color w:val="000000" w:themeColor="text1"/>
                <w14:textFill>
                  <w14:solidFill>
                    <w14:schemeClr w14:val="tx1"/>
                  </w14:solidFill>
                </w14:textFill>
              </w:rPr>
              <w:t>管理人</w:t>
            </w:r>
            <w:r>
              <w:rPr>
                <w:rFonts w:ascii="Times New Roman" w:hAnsi="Times New Roman" w:eastAsia="仿宋" w:cs="Times New Roman"/>
                <w:b/>
                <w:bCs/>
                <w:color w:val="000000" w:themeColor="text1"/>
                <w14:textFill>
                  <w14:solidFill>
                    <w14:schemeClr w14:val="tx1"/>
                  </w14:solidFill>
                </w14:textFill>
              </w:rPr>
              <w:t>/</w:t>
            </w:r>
            <w:r>
              <w:rPr>
                <w:rFonts w:hint="eastAsia" w:ascii="Times New Roman" w:hAnsi="Times New Roman" w:eastAsia="仿宋" w:cs="Times New Roman"/>
                <w:b/>
                <w:bCs/>
                <w:color w:val="000000" w:themeColor="text1"/>
                <w14:textFill>
                  <w14:solidFill>
                    <w14:schemeClr w14:val="tx1"/>
                  </w14:solidFill>
                </w14:textFill>
              </w:rPr>
              <w:t>合规联络人</w:t>
            </w:r>
          </w:p>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等联系方式</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Contact of Incorporated Entity / Asset Management Company</w:t>
            </w: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部门名称</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Department Name</w:t>
            </w:r>
          </w:p>
        </w:tc>
        <w:tc>
          <w:tcPr>
            <w:tcW w:w="4886" w:type="dxa"/>
            <w:gridSpan w:val="8"/>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ind w:left="210" w:hanging="210" w:hangingChars="100"/>
              <w:rPr>
                <w:rFonts w:ascii="Times New Roman" w:hAnsi="Times New Roman" w:eastAsia="仿宋" w:cs="Times New Roman"/>
                <w:color w:val="000000" w:themeColor="text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负责人职务</w:t>
            </w:r>
          </w:p>
          <w:p>
            <w:pPr>
              <w:tabs>
                <w:tab w:val="center" w:pos="4153"/>
                <w:tab w:val="right" w:pos="8306"/>
              </w:tabs>
              <w:snapToGrid w:val="0"/>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Title of Person in Charge</w:t>
            </w:r>
          </w:p>
        </w:tc>
        <w:tc>
          <w:tcPr>
            <w:tcW w:w="775" w:type="dxa"/>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c>
          <w:tcPr>
            <w:tcW w:w="1276" w:type="dxa"/>
            <w:gridSpan w:val="2"/>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负责人姓名</w:t>
            </w:r>
          </w:p>
          <w:p>
            <w:pPr>
              <w:tabs>
                <w:tab w:val="center" w:pos="4153"/>
                <w:tab w:val="right" w:pos="8306"/>
              </w:tabs>
              <w:snapToGrid w:val="0"/>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Name of Person in Charge</w:t>
            </w:r>
          </w:p>
        </w:tc>
        <w:tc>
          <w:tcPr>
            <w:tcW w:w="894" w:type="dxa"/>
            <w:gridSpan w:val="2"/>
            <w:noWrap/>
            <w:vAlign w:val="center"/>
          </w:tcPr>
          <w:p>
            <w:pPr>
              <w:ind w:left="210" w:hanging="210" w:hangingChars="100"/>
              <w:rPr>
                <w:rFonts w:ascii="Times New Roman" w:hAnsi="Times New Roman" w:eastAsia="仿宋" w:cs="Times New Roman"/>
                <w:color w:val="000000" w:themeColor="text1"/>
                <w:szCs w:val="20"/>
                <w14:textFill>
                  <w14:solidFill>
                    <w14:schemeClr w14:val="tx1"/>
                  </w14:solidFill>
                </w14:textFill>
              </w:rPr>
            </w:pPr>
            <w:r>
              <w:rPr>
                <w:rFonts w:hint="eastAsia" w:ascii="Times New Roman" w:hAnsi="Times New Roman" w:eastAsia="仿宋" w:cs="Times New Roman"/>
                <w:color w:val="000000" w:themeColor="text1"/>
                <w:szCs w:val="20"/>
                <w14:textFill>
                  <w14:solidFill>
                    <w14:schemeClr w14:val="tx1"/>
                  </w14:solidFill>
                </w14:textFill>
              </w:rPr>
              <w:t>　</w:t>
            </w:r>
          </w:p>
        </w:tc>
        <w:tc>
          <w:tcPr>
            <w:tcW w:w="807"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联系电话</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Tel</w:t>
            </w:r>
            <w:r>
              <w:rPr>
                <w:rFonts w:ascii="Times New Roman" w:hAnsi="Times New Roman" w:eastAsia="仿宋" w:cs="Times New Roman"/>
                <w:b/>
                <w:bCs/>
                <w:color w:val="000000" w:themeColor="text1"/>
                <w14:textFill>
                  <w14:solidFill>
                    <w14:schemeClr w14:val="tx1"/>
                  </w14:solidFill>
                </w14:textFill>
              </w:rPr>
              <w:t>.</w:t>
            </w:r>
          </w:p>
        </w:tc>
        <w:tc>
          <w:tcPr>
            <w:tcW w:w="1134" w:type="dxa"/>
            <w:gridSpan w:val="2"/>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ind w:left="210" w:hanging="210" w:hangingChars="100"/>
              <w:rPr>
                <w:rFonts w:ascii="Times New Roman" w:hAnsi="Times New Roman" w:eastAsia="仿宋" w:cs="Times New Roman"/>
                <w:color w:val="000000" w:themeColor="text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合规联络人职务</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Title of Compliance Person</w:t>
            </w:r>
          </w:p>
        </w:tc>
        <w:tc>
          <w:tcPr>
            <w:tcW w:w="775" w:type="dxa"/>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c>
          <w:tcPr>
            <w:tcW w:w="1276" w:type="dxa"/>
            <w:gridSpan w:val="2"/>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合规联络人姓名</w:t>
            </w:r>
          </w:p>
          <w:p>
            <w:pPr>
              <w:jc w:val="left"/>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Name of Compliance Person</w:t>
            </w:r>
          </w:p>
        </w:tc>
        <w:tc>
          <w:tcPr>
            <w:tcW w:w="894" w:type="dxa"/>
            <w:gridSpan w:val="2"/>
            <w:noWrap/>
            <w:vAlign w:val="center"/>
          </w:tcPr>
          <w:p>
            <w:pPr>
              <w:ind w:left="210" w:hanging="210" w:hangingChars="100"/>
              <w:rPr>
                <w:rFonts w:ascii="Times New Roman" w:hAnsi="Times New Roman" w:eastAsia="仿宋" w:cs="Times New Roman"/>
                <w:color w:val="000000" w:themeColor="text1"/>
                <w:szCs w:val="20"/>
                <w14:textFill>
                  <w14:solidFill>
                    <w14:schemeClr w14:val="tx1"/>
                  </w14:solidFill>
                </w14:textFill>
              </w:rPr>
            </w:pPr>
            <w:r>
              <w:rPr>
                <w:rFonts w:hint="eastAsia" w:ascii="Times New Roman" w:hAnsi="Times New Roman" w:eastAsia="仿宋" w:cs="Times New Roman"/>
                <w:color w:val="000000" w:themeColor="text1"/>
                <w:szCs w:val="20"/>
                <w14:textFill>
                  <w14:solidFill>
                    <w14:schemeClr w14:val="tx1"/>
                  </w14:solidFill>
                </w14:textFill>
              </w:rPr>
              <w:t>　</w:t>
            </w:r>
          </w:p>
        </w:tc>
        <w:tc>
          <w:tcPr>
            <w:tcW w:w="807"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联系电话</w:t>
            </w:r>
          </w:p>
          <w:p>
            <w:pPr>
              <w:rPr>
                <w:rFonts w:ascii="Times New Roman" w:hAnsi="Times New Roman" w:eastAsia="仿宋" w:cs="Times New Roman"/>
                <w:b/>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Tel</w:t>
            </w:r>
            <w:r>
              <w:rPr>
                <w:rFonts w:ascii="Times New Roman" w:hAnsi="Times New Roman" w:eastAsia="仿宋" w:cs="Times New Roman"/>
                <w:b/>
                <w:bCs/>
                <w:color w:val="000000" w:themeColor="text1"/>
                <w14:textFill>
                  <w14:solidFill>
                    <w14:schemeClr w14:val="tx1"/>
                  </w14:solidFill>
                </w14:textFill>
              </w:rPr>
              <w:t>.</w:t>
            </w:r>
          </w:p>
        </w:tc>
        <w:tc>
          <w:tcPr>
            <w:tcW w:w="1134" w:type="dxa"/>
            <w:gridSpan w:val="2"/>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ind w:left="210" w:hanging="210" w:hangingChars="100"/>
              <w:rPr>
                <w:rFonts w:ascii="Times New Roman" w:hAnsi="Times New Roman" w:eastAsia="仿宋" w:cs="Times New Roman"/>
                <w:color w:val="000000" w:themeColor="text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经办人职务</w:t>
            </w:r>
          </w:p>
          <w:p>
            <w:pPr>
              <w:tabs>
                <w:tab w:val="center" w:pos="4153"/>
                <w:tab w:val="right" w:pos="8306"/>
              </w:tabs>
              <w:snapToGrid w:val="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Title of Handling Person</w:t>
            </w:r>
          </w:p>
        </w:tc>
        <w:tc>
          <w:tcPr>
            <w:tcW w:w="775" w:type="dxa"/>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c>
          <w:tcPr>
            <w:tcW w:w="1276" w:type="dxa"/>
            <w:gridSpan w:val="2"/>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经办人姓名</w:t>
            </w:r>
          </w:p>
          <w:p>
            <w:pPr>
              <w:tabs>
                <w:tab w:val="center" w:pos="4153"/>
                <w:tab w:val="right" w:pos="8306"/>
              </w:tabs>
              <w:snapToGrid w:val="0"/>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Name of Handling Person</w:t>
            </w:r>
          </w:p>
        </w:tc>
        <w:tc>
          <w:tcPr>
            <w:tcW w:w="894" w:type="dxa"/>
            <w:gridSpan w:val="2"/>
            <w:noWrap/>
            <w:vAlign w:val="center"/>
          </w:tcPr>
          <w:p>
            <w:pPr>
              <w:rPr>
                <w:rFonts w:ascii="Times New Roman" w:hAnsi="Times New Roman" w:eastAsia="仿宋" w:cs="Times New Roman"/>
                <w:color w:val="000000" w:themeColor="text1"/>
                <w:szCs w:val="20"/>
                <w14:textFill>
                  <w14:solidFill>
                    <w14:schemeClr w14:val="tx1"/>
                  </w14:solidFill>
                </w14:textFill>
              </w:rPr>
            </w:pPr>
            <w:r>
              <w:rPr>
                <w:rFonts w:hint="eastAsia" w:ascii="Times New Roman" w:hAnsi="Times New Roman" w:eastAsia="仿宋" w:cs="Times New Roman"/>
                <w:color w:val="000000" w:themeColor="text1"/>
                <w:szCs w:val="20"/>
                <w14:textFill>
                  <w14:solidFill>
                    <w14:schemeClr w14:val="tx1"/>
                  </w14:solidFill>
                </w14:textFill>
              </w:rPr>
              <w:t>　</w:t>
            </w:r>
          </w:p>
        </w:tc>
        <w:tc>
          <w:tcPr>
            <w:tcW w:w="807"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联系电话</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Tel.</w:t>
            </w:r>
          </w:p>
        </w:tc>
        <w:tc>
          <w:tcPr>
            <w:tcW w:w="1134" w:type="dxa"/>
            <w:gridSpan w:val="2"/>
            <w:vAlign w:val="center"/>
          </w:tcPr>
          <w:p>
            <w:pPr>
              <w:ind w:left="210" w:hanging="210" w:hangingChars="100"/>
              <w:rPr>
                <w:rFonts w:ascii="Times New Roman" w:hAnsi="Times New Roman" w:eastAsia="仿宋" w:cs="Times New Roman"/>
                <w:color w:val="000000" w:themeColor="text1"/>
                <w:szCs w:val="20"/>
                <w14:textFill>
                  <w14:solidFill>
                    <w14:schemeClr w14:val="tx1"/>
                  </w14:solidFill>
                </w14:textFill>
              </w:rPr>
            </w:pPr>
            <w:r>
              <w:rPr>
                <w:rFonts w:hint="eastAsia" w:ascii="Times New Roman" w:hAnsi="Times New Roman" w:eastAsia="仿宋" w:cs="Times New Roman"/>
                <w:color w:val="000000" w:themeColor="text1"/>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ind w:left="210" w:hanging="210" w:hangingChars="100"/>
              <w:rPr>
                <w:rFonts w:ascii="Times New Roman" w:hAnsi="Times New Roman" w:eastAsia="仿宋" w:cs="Times New Roman"/>
                <w:color w:val="000000" w:themeColor="text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传真</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Fax</w:t>
            </w:r>
          </w:p>
        </w:tc>
        <w:tc>
          <w:tcPr>
            <w:tcW w:w="2051" w:type="dxa"/>
            <w:gridSpan w:val="3"/>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color w:val="000000" w:themeColor="text1"/>
                <w:szCs w:val="20"/>
                <w14:textFill>
                  <w14:solidFill>
                    <w14:schemeClr w14:val="tx1"/>
                  </w14:solidFill>
                </w14:textFill>
              </w:rPr>
              <w:t>　</w:t>
            </w:r>
          </w:p>
        </w:tc>
        <w:tc>
          <w:tcPr>
            <w:tcW w:w="894" w:type="dxa"/>
            <w:gridSpan w:val="2"/>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邮件</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Email</w:t>
            </w:r>
          </w:p>
        </w:tc>
        <w:tc>
          <w:tcPr>
            <w:tcW w:w="1941" w:type="dxa"/>
            <w:gridSpan w:val="3"/>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ind w:left="210" w:hanging="210" w:hangingChars="100"/>
              <w:rPr>
                <w:rFonts w:ascii="Times New Roman" w:hAnsi="Times New Roman" w:eastAsia="仿宋" w:cs="Times New Roman"/>
                <w:color w:val="000000" w:themeColor="text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详细地址</w:t>
            </w:r>
          </w:p>
          <w:p>
            <w:pP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Address</w:t>
            </w:r>
          </w:p>
        </w:tc>
        <w:tc>
          <w:tcPr>
            <w:tcW w:w="4886" w:type="dxa"/>
            <w:gridSpan w:val="8"/>
            <w:vAlign w:val="center"/>
          </w:tcPr>
          <w:p>
            <w:pPr>
              <w:ind w:left="210" w:hanging="210" w:hangingChars="100"/>
              <w:rPr>
                <w:rFonts w:ascii="Times New Roman" w:hAnsi="Times New Roman" w:eastAsia="仿宋" w:cs="Times New Roman"/>
                <w:bCs/>
                <w:color w:val="000000" w:themeColor="text1"/>
                <w14:textFill>
                  <w14:solidFill>
                    <w14:schemeClr w14:val="tx1"/>
                  </w14:solidFill>
                </w14:textFill>
              </w:rPr>
            </w:pPr>
            <w:r>
              <w:rPr>
                <w:rFonts w:hint="eastAsia" w:ascii="Times New Roman" w:hAnsi="Times New Roman" w:eastAsia="仿宋" w:cs="Times New Roman"/>
                <w:bCs/>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托管人联系方式</w:t>
            </w:r>
          </w:p>
          <w:p>
            <w:pPr>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Contact of Main Custodian</w:t>
            </w:r>
          </w:p>
        </w:tc>
        <w:tc>
          <w:tcPr>
            <w:tcW w:w="1311" w:type="dxa"/>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机构名称</w:t>
            </w:r>
          </w:p>
          <w:p>
            <w:pPr>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Company Name</w:t>
            </w:r>
          </w:p>
        </w:tc>
        <w:tc>
          <w:tcPr>
            <w:tcW w:w="4886" w:type="dxa"/>
            <w:gridSpan w:val="8"/>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部门名称</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Department Name</w:t>
            </w:r>
          </w:p>
        </w:tc>
        <w:tc>
          <w:tcPr>
            <w:tcW w:w="4886" w:type="dxa"/>
            <w:gridSpan w:val="8"/>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负责人职务</w:t>
            </w:r>
          </w:p>
          <w:p>
            <w:pPr>
              <w:tabs>
                <w:tab w:val="center" w:pos="4153"/>
                <w:tab w:val="right" w:pos="8306"/>
              </w:tabs>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Title of Person in Charge</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1276" w:type="dxa"/>
            <w:gridSpan w:val="2"/>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负责人姓名</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Person in Charge</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合规联络人职务</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Title of Compliance Person</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Cs/>
                <w:color w:val="000000" w:themeColor="text1"/>
                <w:sz w:val="21"/>
                <w14:textFill>
                  <w14:solidFill>
                    <w14:schemeClr w14:val="tx1"/>
                  </w14:solidFill>
                </w14:textFill>
              </w:rPr>
              <w:t>　</w:t>
            </w:r>
          </w:p>
        </w:tc>
        <w:tc>
          <w:tcPr>
            <w:tcW w:w="1276" w:type="dxa"/>
            <w:gridSpan w:val="2"/>
            <w:vAlign w:val="center"/>
          </w:tcPr>
          <w:p>
            <w:pPr>
              <w:jc w:val="left"/>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合规联络人姓名</w:t>
            </w:r>
          </w:p>
          <w:p>
            <w:pPr>
              <w:jc w:val="left"/>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Compliance Person</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color w:val="000000" w:themeColor="text1"/>
                <w:sz w:val="21"/>
                <w:szCs w:val="20"/>
                <w14:textFill>
                  <w14:solidFill>
                    <w14:schemeClr w14:val="tx1"/>
                  </w14:solidFill>
                </w14:textFill>
              </w:rPr>
              <w:t>　</w:t>
            </w: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r>
              <w:rPr>
                <w:rFonts w:ascii="Times New Roman" w:hAnsi="Times New Roman" w:eastAsia="仿宋" w:cs="Times New Roman"/>
                <w:b/>
                <w:bCs/>
                <w:color w:val="000000" w:themeColor="text1"/>
                <w:sz w:val="21"/>
                <w14:textFill>
                  <w14:solidFill>
                    <w14:schemeClr w14:val="tx1"/>
                  </w14:solidFill>
                </w14:textFill>
              </w:rPr>
              <w:t>.</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Cs/>
                <w:color w:val="000000" w:themeColor="text1"/>
                <w:sz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tabs>
                <w:tab w:val="center" w:pos="4153"/>
                <w:tab w:val="right" w:pos="8306"/>
              </w:tabs>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经办人职务</w:t>
            </w:r>
            <w:r>
              <w:rPr>
                <w:rFonts w:ascii="Times New Roman" w:hAnsi="Times New Roman" w:eastAsia="仿宋" w:cs="Times New Roman"/>
                <w:bCs/>
                <w:color w:val="000000" w:themeColor="text1"/>
                <w:sz w:val="21"/>
                <w14:textFill>
                  <w14:solidFill>
                    <w14:schemeClr w14:val="tx1"/>
                  </w14:solidFill>
                </w14:textFill>
              </w:rPr>
              <w:t>Title of Handling Person</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c>
          <w:tcPr>
            <w:tcW w:w="1276" w:type="dxa"/>
            <w:gridSpan w:val="2"/>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经办人姓名</w:t>
            </w:r>
          </w:p>
          <w:p>
            <w:pPr>
              <w:tabs>
                <w:tab w:val="center" w:pos="4153"/>
                <w:tab w:val="right" w:pos="8306"/>
              </w:tabs>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Handling Person</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传真</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Fax</w:t>
            </w:r>
          </w:p>
        </w:tc>
        <w:tc>
          <w:tcPr>
            <w:tcW w:w="2051"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c>
          <w:tcPr>
            <w:tcW w:w="850"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邮件</w:t>
            </w:r>
            <w:r>
              <w:rPr>
                <w:rFonts w:ascii="Times New Roman" w:hAnsi="Times New Roman" w:eastAsia="仿宋" w:cs="Times New Roman"/>
                <w:bCs/>
                <w:color w:val="000000" w:themeColor="text1"/>
                <w:sz w:val="21"/>
                <w14:textFill>
                  <w14:solidFill>
                    <w14:schemeClr w14:val="tx1"/>
                  </w14:solidFill>
                </w14:textFill>
              </w:rPr>
              <w:t>Email</w:t>
            </w:r>
          </w:p>
        </w:tc>
        <w:tc>
          <w:tcPr>
            <w:tcW w:w="1985" w:type="dxa"/>
            <w:gridSpan w:val="4"/>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详细地址</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Address</w:t>
            </w:r>
          </w:p>
          <w:p>
            <w:pPr>
              <w:rPr>
                <w:rFonts w:ascii="Times New Roman" w:hAnsi="Times New Roman" w:eastAsia="仿宋" w:cs="Times New Roman"/>
                <w:b/>
                <w:bCs/>
                <w:color w:val="000000" w:themeColor="text1"/>
                <w:sz w:val="21"/>
                <w14:textFill>
                  <w14:solidFill>
                    <w14:schemeClr w14:val="tx1"/>
                  </w14:solidFill>
                </w14:textFill>
              </w:rPr>
            </w:pPr>
          </w:p>
        </w:tc>
        <w:tc>
          <w:tcPr>
            <w:tcW w:w="4886" w:type="dxa"/>
            <w:gridSpan w:val="8"/>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交易参与人</w:t>
            </w:r>
          </w:p>
          <w:p>
            <w:pPr>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联系方式</w:t>
            </w:r>
          </w:p>
          <w:p>
            <w:pPr>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Contact of Trading Participant</w:t>
            </w:r>
          </w:p>
        </w:tc>
        <w:tc>
          <w:tcPr>
            <w:tcW w:w="1311" w:type="dxa"/>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机构名称</w:t>
            </w:r>
          </w:p>
          <w:p>
            <w:pPr>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Company Name</w:t>
            </w:r>
          </w:p>
        </w:tc>
        <w:tc>
          <w:tcPr>
            <w:tcW w:w="4886" w:type="dxa"/>
            <w:gridSpan w:val="8"/>
            <w:vAlign w:val="center"/>
          </w:tcPr>
          <w:p>
            <w:pPr>
              <w:snapToGrid w:val="0"/>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部门名称</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Department Name</w:t>
            </w:r>
          </w:p>
        </w:tc>
        <w:tc>
          <w:tcPr>
            <w:tcW w:w="4886" w:type="dxa"/>
            <w:gridSpan w:val="8"/>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负责人职务</w:t>
            </w:r>
          </w:p>
          <w:p>
            <w:pPr>
              <w:tabs>
                <w:tab w:val="center" w:pos="4153"/>
                <w:tab w:val="right" w:pos="8306"/>
              </w:tabs>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Title of Person in Charge</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1276" w:type="dxa"/>
            <w:gridSpan w:val="2"/>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负责人姓名</w:t>
            </w:r>
          </w:p>
          <w:p>
            <w:pPr>
              <w:tabs>
                <w:tab w:val="center" w:pos="4153"/>
                <w:tab w:val="right" w:pos="8306"/>
              </w:tabs>
              <w:snapToGrid w:val="0"/>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Person in Charge</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合规联络人职务</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Title of Compliance Person</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Cs/>
                <w:color w:val="000000" w:themeColor="text1"/>
                <w:sz w:val="21"/>
                <w14:textFill>
                  <w14:solidFill>
                    <w14:schemeClr w14:val="tx1"/>
                  </w14:solidFill>
                </w14:textFill>
              </w:rPr>
              <w:t>　</w:t>
            </w:r>
          </w:p>
        </w:tc>
        <w:tc>
          <w:tcPr>
            <w:tcW w:w="1276" w:type="dxa"/>
            <w:gridSpan w:val="2"/>
            <w:vAlign w:val="center"/>
          </w:tcPr>
          <w:p>
            <w:pPr>
              <w:jc w:val="left"/>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合规联络人姓名</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Compliance Person</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color w:val="000000" w:themeColor="text1"/>
                <w:sz w:val="21"/>
                <w:szCs w:val="20"/>
                <w14:textFill>
                  <w14:solidFill>
                    <w14:schemeClr w14:val="tx1"/>
                  </w14:solidFill>
                </w14:textFill>
              </w:rPr>
              <w:t>　</w:t>
            </w: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r>
              <w:rPr>
                <w:rFonts w:ascii="Times New Roman" w:hAnsi="Times New Roman" w:eastAsia="仿宋" w:cs="Times New Roman"/>
                <w:b/>
                <w:bCs/>
                <w:color w:val="000000" w:themeColor="text1"/>
                <w:sz w:val="21"/>
                <w14:textFill>
                  <w14:solidFill>
                    <w14:schemeClr w14:val="tx1"/>
                  </w14:solidFill>
                </w14:textFill>
              </w:rPr>
              <w:t>.</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Cs/>
                <w:color w:val="000000" w:themeColor="text1"/>
                <w:sz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经办人职务</w:t>
            </w:r>
            <w:r>
              <w:rPr>
                <w:rFonts w:ascii="Times New Roman" w:hAnsi="Times New Roman" w:eastAsia="仿宋" w:cs="Times New Roman"/>
                <w:bCs/>
                <w:color w:val="000000" w:themeColor="text1"/>
                <w:sz w:val="21"/>
                <w14:textFill>
                  <w14:solidFill>
                    <w14:schemeClr w14:val="tx1"/>
                  </w14:solidFill>
                </w14:textFill>
              </w:rPr>
              <w:t>Title of Handling Person</w:t>
            </w:r>
          </w:p>
        </w:tc>
        <w:tc>
          <w:tcPr>
            <w:tcW w:w="775"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c>
          <w:tcPr>
            <w:tcW w:w="1276" w:type="dxa"/>
            <w:gridSpan w:val="2"/>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经办人姓名</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Handling Person</w:t>
            </w:r>
          </w:p>
        </w:tc>
        <w:tc>
          <w:tcPr>
            <w:tcW w:w="850"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p>
        </w:tc>
        <w:tc>
          <w:tcPr>
            <w:tcW w:w="993"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联系电话</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Tel.</w:t>
            </w:r>
          </w:p>
        </w:tc>
        <w:tc>
          <w:tcPr>
            <w:tcW w:w="992" w:type="dxa"/>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传真</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Fax</w:t>
            </w:r>
          </w:p>
        </w:tc>
        <w:tc>
          <w:tcPr>
            <w:tcW w:w="2051"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c>
          <w:tcPr>
            <w:tcW w:w="850"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邮件</w:t>
            </w:r>
            <w:r>
              <w:rPr>
                <w:rFonts w:ascii="Times New Roman" w:hAnsi="Times New Roman" w:eastAsia="仿宋" w:cs="Times New Roman"/>
                <w:bCs/>
                <w:color w:val="000000" w:themeColor="text1"/>
                <w:sz w:val="21"/>
                <w14:textFill>
                  <w14:solidFill>
                    <w14:schemeClr w14:val="tx1"/>
                  </w14:solidFill>
                </w14:textFill>
              </w:rPr>
              <w:t>Email</w:t>
            </w:r>
          </w:p>
        </w:tc>
        <w:tc>
          <w:tcPr>
            <w:tcW w:w="1985" w:type="dxa"/>
            <w:gridSpan w:val="4"/>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vAlign w:val="center"/>
          </w:tcPr>
          <w:p>
            <w:pPr>
              <w:keepNext/>
              <w:keepLines/>
              <w:rPr>
                <w:rFonts w:ascii="Times New Roman" w:hAnsi="Times New Roman" w:eastAsia="仿宋" w:cs="Times New Roman"/>
                <w:b/>
                <w:bCs/>
                <w:color w:val="000000" w:themeColor="text1"/>
                <w:sz w:val="21"/>
                <w14:textFill>
                  <w14:solidFill>
                    <w14:schemeClr w14:val="tx1"/>
                  </w14:solidFill>
                </w14:textFill>
              </w:rPr>
            </w:pPr>
          </w:p>
        </w:tc>
        <w:tc>
          <w:tcPr>
            <w:tcW w:w="1311"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详细地址</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Address</w:t>
            </w:r>
          </w:p>
        </w:tc>
        <w:tc>
          <w:tcPr>
            <w:tcW w:w="4886" w:type="dxa"/>
            <w:gridSpan w:val="8"/>
            <w:vAlign w:val="center"/>
          </w:tcPr>
          <w:p>
            <w:pPr>
              <w:rPr>
                <w:rFonts w:ascii="Times New Roman" w:hAnsi="Times New Roman" w:eastAsia="仿宋" w:cs="Times New Roman"/>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报送机构</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of Submitting Institution</w:t>
            </w:r>
          </w:p>
        </w:tc>
        <w:tc>
          <w:tcPr>
            <w:tcW w:w="6197" w:type="dxa"/>
            <w:gridSpan w:val="9"/>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noWrap/>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提交人及联系方式</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Name and Contact of Submitter</w:t>
            </w:r>
          </w:p>
        </w:tc>
        <w:tc>
          <w:tcPr>
            <w:tcW w:w="3048" w:type="dxa"/>
            <w:gridSpan w:val="3"/>
            <w:noWrap/>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　</w:t>
            </w:r>
          </w:p>
        </w:tc>
        <w:tc>
          <w:tcPr>
            <w:tcW w:w="1208"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报送日期</w:t>
            </w:r>
          </w:p>
          <w:p>
            <w:pPr>
              <w:rPr>
                <w:rFonts w:ascii="Times New Roman" w:hAnsi="Times New Roman" w:eastAsia="仿宋" w:cs="Times New Roman"/>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Submission Date</w:t>
            </w:r>
          </w:p>
        </w:tc>
        <w:tc>
          <w:tcPr>
            <w:tcW w:w="1941" w:type="dxa"/>
            <w:gridSpan w:val="3"/>
            <w:vAlign w:val="center"/>
          </w:tcPr>
          <w:p>
            <w:pPr>
              <w:rPr>
                <w:rFonts w:ascii="Times New Roman" w:hAnsi="Times New Roman" w:eastAsia="仿宋" w:cs="Times New Roman"/>
                <w:b/>
                <w:bCs/>
                <w:color w:val="000000" w:themeColor="text1"/>
                <w:sz w:val="21"/>
                <w14:textFill>
                  <w14:solidFill>
                    <w14:schemeClr w14:val="tx1"/>
                  </w14:solidFill>
                </w14:textFill>
              </w:rPr>
            </w:pPr>
            <w:r>
              <w:rPr>
                <w:rFonts w:hint="eastAsia" w:ascii="Times New Roman" w:hAnsi="Times New Roman" w:eastAsia="仿宋" w:cs="Times New Roman"/>
                <w:b/>
                <w:bCs/>
                <w:color w:val="000000" w:themeColor="text1"/>
                <w:sz w:val="21"/>
                <w14:textFill>
                  <w14:solidFill>
                    <w14:schemeClr w14:val="tx1"/>
                  </w14:solidFill>
                </w14:textFill>
              </w:rPr>
              <w:t>年月日</w:t>
            </w:r>
          </w:p>
          <w:p>
            <w:pPr>
              <w:rPr>
                <w:rFonts w:ascii="Times New Roman" w:hAnsi="Times New Roman" w:eastAsia="仿宋" w:cs="Times New Roman"/>
                <w:b/>
                <w:bCs/>
                <w:color w:val="000000" w:themeColor="text1"/>
                <w:sz w:val="21"/>
                <w14:textFill>
                  <w14:solidFill>
                    <w14:schemeClr w14:val="tx1"/>
                  </w14:solidFill>
                </w14:textFill>
              </w:rPr>
            </w:pPr>
            <w:r>
              <w:rPr>
                <w:rFonts w:ascii="Times New Roman" w:hAnsi="Times New Roman" w:eastAsia="仿宋" w:cs="Times New Roman"/>
                <w:bCs/>
                <w:color w:val="000000" w:themeColor="text1"/>
                <w:sz w:val="21"/>
                <w14:textFill>
                  <w14:solidFill>
                    <w14:schemeClr w14:val="tx1"/>
                  </w14:solidFill>
                </w14:textFill>
              </w:rPr>
              <w:t>Year/Month/Date</w:t>
            </w:r>
          </w:p>
        </w:tc>
      </w:tr>
    </w:tbl>
    <w:p>
      <w:pPr>
        <w:spacing w:line="560" w:lineRule="exac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盖章</w:t>
      </w:r>
      <w:r>
        <w:rPr>
          <w:rFonts w:ascii="Times New Roman" w:hAnsi="Times New Roman" w:eastAsia="黑体" w:cs="Times New Roman"/>
          <w:b/>
          <w:color w:val="000000" w:themeColor="text1"/>
          <w14:textFill>
            <w14:solidFill>
              <w14:schemeClr w14:val="tx1"/>
            </w14:solidFill>
          </w14:textFill>
        </w:rPr>
        <w:t>/</w:t>
      </w:r>
      <w:r>
        <w:rPr>
          <w:rFonts w:hint="eastAsia" w:ascii="Times New Roman" w:hAnsi="Times New Roman" w:cs="Times New Roman"/>
          <w:b/>
          <w:color w:val="000000" w:themeColor="text1"/>
          <w14:textFill>
            <w14:solidFill>
              <w14:schemeClr w14:val="tx1"/>
            </w14:solidFill>
          </w14:textFill>
        </w:rPr>
        <w:t>签字</w:t>
      </w:r>
      <w:r>
        <w:rPr>
          <w:rFonts w:ascii="Times New Roman" w:hAnsi="Times New Roman" w:eastAsia="黑体" w:cs="Times New Roman"/>
          <w:b/>
          <w:color w:val="000000" w:themeColor="text1"/>
          <w14:textFill>
            <w14:solidFill>
              <w14:schemeClr w14:val="tx1"/>
            </w14:solidFill>
          </w14:textFill>
        </w:rPr>
        <w:t>(Official Seal/Signature):</w:t>
      </w:r>
    </w:p>
    <w:p>
      <w:pPr>
        <w:spacing w:line="560" w:lineRule="exact"/>
        <w:rPr>
          <w:rFonts w:ascii="Times New Roman" w:hAnsi="Times New Roman" w:cs="Times New Roman"/>
          <w:color w:val="000000" w:themeColor="text1"/>
          <w14:textFill>
            <w14:solidFill>
              <w14:schemeClr w14:val="tx1"/>
            </w14:solidFill>
          </w14:textFill>
        </w:rPr>
      </w:pPr>
    </w:p>
    <w:p>
      <w:pPr>
        <w:pStyle w:val="4"/>
        <w:sectPr>
          <w:pgSz w:w="11910" w:h="16840"/>
          <w:pgMar w:top="1420" w:right="1660" w:bottom="1780" w:left="1660" w:header="852" w:footer="1583" w:gutter="0"/>
          <w:cols w:space="720" w:num="1"/>
          <w:docGrid w:linePitch="286" w:charSpace="0"/>
        </w:sectPr>
      </w:pPr>
    </w:p>
    <w:p>
      <w:pPr>
        <w:pStyle w:val="4"/>
        <w:rPr>
          <w:rFonts w:ascii="Times New Roman" w:hAnsi="Times New Roman" w:cs="Times New Roman"/>
          <w:bCs w:val="0"/>
        </w:rPr>
      </w:pPr>
      <w:bookmarkStart w:id="340" w:name="_Toc14515"/>
      <w:bookmarkStart w:id="341" w:name="_Toc123809398"/>
      <w:bookmarkStart w:id="342" w:name="_Toc2421"/>
      <w:bookmarkStart w:id="343" w:name="_Toc25504"/>
      <w:bookmarkStart w:id="344" w:name="_Toc16705"/>
      <w:bookmarkStart w:id="345" w:name="_Toc29712"/>
      <w:bookmarkStart w:id="346" w:name="_Toc28502"/>
      <w:r>
        <w:rPr>
          <w:rFonts w:hint="eastAsia" w:ascii="Times New Roman" w:hAnsi="Times New Roman" w:cs="Times New Roman"/>
          <w:bCs w:val="0"/>
        </w:rPr>
        <w:t>附件</w:t>
      </w:r>
      <w:r>
        <w:rPr>
          <w:rFonts w:ascii="Times New Roman" w:hAnsi="Times New Roman" w:cs="Times New Roman"/>
          <w:bCs w:val="0"/>
        </w:rPr>
        <w:t>3</w:t>
      </w:r>
      <w:r>
        <w:rPr>
          <w:rFonts w:hint="eastAsia" w:ascii="Times New Roman" w:hAnsi="Times New Roman" w:cs="Times New Roman"/>
          <w:bCs w:val="0"/>
        </w:rPr>
        <w:t>：债券交易价格偏离情况报备模板</w:t>
      </w:r>
      <w:bookmarkEnd w:id="340"/>
      <w:bookmarkEnd w:id="341"/>
      <w:bookmarkEnd w:id="342"/>
      <w:bookmarkEnd w:id="343"/>
      <w:bookmarkEnd w:id="344"/>
      <w:bookmarkEnd w:id="345"/>
      <w:bookmarkEnd w:id="346"/>
    </w:p>
    <w:p>
      <w:pPr>
        <w:snapToGrid w:val="0"/>
        <w:jc w:val="center"/>
        <w:rPr>
          <w:rFonts w:ascii="Times New Roman" w:hAnsi="Times New Roman" w:eastAsia="方正小标宋简体" w:cs="Times New Roman"/>
          <w:sz w:val="44"/>
          <w:szCs w:val="40"/>
        </w:rPr>
      </w:pPr>
      <w:r>
        <w:rPr>
          <w:rFonts w:hint="eastAsia" w:ascii="Times New Roman" w:hAnsi="Times New Roman" w:eastAsia="方正小标宋简体" w:cs="Times New Roman"/>
          <w:sz w:val="44"/>
          <w:szCs w:val="40"/>
        </w:rPr>
        <w:t>债券交易价格偏离情况说明表</w:t>
      </w:r>
    </w:p>
    <w:p>
      <w:pPr>
        <w:snapToGrid w:val="0"/>
        <w:jc w:val="center"/>
        <w:rPr>
          <w:rFonts w:ascii="Times New Roman" w:hAnsi="Times New Roman" w:eastAsia="方正小标宋简体" w:cs="Times New Roman"/>
          <w:sz w:val="44"/>
          <w:szCs w:val="40"/>
        </w:rPr>
      </w:pPr>
      <w:r>
        <w:rPr>
          <w:rFonts w:hint="eastAsia" w:ascii="Times New Roman" w:hAnsi="Times New Roman" w:eastAsia="方正小标宋简体" w:cs="Times New Roman"/>
          <w:sz w:val="44"/>
          <w:szCs w:val="40"/>
        </w:rPr>
        <w:t>（样张）</w:t>
      </w:r>
    </w:p>
    <w:p>
      <w:pPr>
        <w:spacing w:line="360" w:lineRule="auto"/>
        <w:rPr>
          <w:rFonts w:eastAsia="仿宋_GB2312"/>
          <w:b/>
          <w:sz w:val="24"/>
        </w:rPr>
      </w:pP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机构名称：</w:t>
      </w:r>
      <w:r>
        <w:rPr>
          <w:rFonts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填表人：</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联系电话：</w:t>
      </w:r>
      <w:r>
        <w:rPr>
          <w:rFonts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填表日期：</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证券简称</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证券代码</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账户名称</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账户代码</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交易日期</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交易方式</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申报时间</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申报方向</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申报面额（万元）</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申报价格</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成交时间</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成交面额（万元）</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成交价格</w:t>
            </w:r>
          </w:p>
        </w:tc>
        <w:tc>
          <w:tcPr>
            <w:tcW w:w="1842" w:type="dxa"/>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8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成交价格与比较基准（中债估值</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中证估值）偏离（</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p>
        </w:tc>
        <w:tc>
          <w:tcPr>
            <w:tcW w:w="2460"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向上偏离：</w:t>
            </w:r>
            <w:r>
              <w:rPr>
                <w:rFonts w:ascii="仿宋" w:hAnsi="仿宋" w:eastAsia="仿宋"/>
                <w:color w:val="000000" w:themeColor="text1"/>
                <w:sz w:val="24"/>
                <w14:textFill>
                  <w14:solidFill>
                    <w14:schemeClr w14:val="tx1"/>
                  </w14:solidFill>
                </w14:textFill>
              </w:rPr>
              <w:t xml:space="preserve">  %</w:t>
            </w:r>
          </w:p>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向下偏离：</w:t>
            </w:r>
            <w:r>
              <w:rPr>
                <w:rFonts w:ascii="仿宋" w:hAnsi="仿宋" w:eastAsia="仿宋"/>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235"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交易情况</w:t>
            </w:r>
          </w:p>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及偏离原因</w:t>
            </w:r>
          </w:p>
        </w:tc>
        <w:tc>
          <w:tcPr>
            <w:tcW w:w="6287" w:type="dxa"/>
            <w:gridSpan w:val="3"/>
            <w:vAlign w:val="center"/>
          </w:tcPr>
          <w:p>
            <w:pPr>
              <w:spacing w:line="360" w:lineRule="auto"/>
              <w:jc w:val="center"/>
              <w:rPr>
                <w:rFonts w:ascii="仿宋" w:hAnsi="仿宋" w:eastAsia="仿宋"/>
                <w:color w:val="000000" w:themeColor="text1"/>
                <w:sz w:val="24"/>
                <w14:textFill>
                  <w14:solidFill>
                    <w14:schemeClr w14:val="tx1"/>
                  </w14:solidFill>
                </w14:textFill>
              </w:rPr>
            </w:pPr>
          </w:p>
        </w:tc>
      </w:tr>
    </w:tbl>
    <w:p>
      <w:pPr>
        <w:rPr>
          <w:rFonts w:ascii="仿宋" w:hAnsi="仿宋" w:eastAsia="仿宋"/>
          <w:color w:val="000000" w:themeColor="text1"/>
          <w:szCs w:val="21"/>
          <w14:textFill>
            <w14:solidFill>
              <w14:schemeClr w14:val="tx1"/>
            </w14:solidFill>
          </w14:textFill>
        </w:rPr>
      </w:pPr>
    </w:p>
    <w:p>
      <w:pP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b/>
          <w:color w:val="000000" w:themeColor="text1"/>
          <w:szCs w:val="21"/>
          <w14:textFill>
            <w14:solidFill>
              <w14:schemeClr w14:val="tx1"/>
            </w14:solidFill>
          </w14:textFill>
        </w:rPr>
        <w:t>说明：</w:t>
      </w:r>
      <w:r>
        <w:rPr>
          <w:rFonts w:ascii="Times New Roman" w:hAnsi="Times New Roman" w:eastAsia="仿宋" w:cs="Times New Roman"/>
          <w:color w:val="000000" w:themeColor="text1"/>
          <w:szCs w:val="21"/>
          <w14:textFill>
            <w14:solidFill>
              <w14:schemeClr w14:val="tx1"/>
            </w14:solidFill>
          </w14:textFill>
        </w:rPr>
        <w:t>1</w:t>
      </w:r>
      <w:r>
        <w:rPr>
          <w:rFonts w:hint="eastAsia" w:ascii="Times New Roman" w:hAnsi="Times New Roman" w:eastAsia="仿宋" w:cs="Times New Roman"/>
          <w:color w:val="000000" w:themeColor="text1"/>
          <w:szCs w:val="21"/>
          <w14:textFill>
            <w14:solidFill>
              <w14:schemeClr w14:val="tx1"/>
            </w14:solidFill>
          </w14:textFill>
        </w:rPr>
        <w:t>、交易价格同时偏离当日日终中债估值和中证估值的幅度大于或者等于</w:t>
      </w:r>
      <w:r>
        <w:rPr>
          <w:rFonts w:ascii="Times New Roman" w:hAnsi="Times New Roman" w:eastAsia="仿宋" w:cs="Times New Roman"/>
          <w:color w:val="000000" w:themeColor="text1"/>
          <w:szCs w:val="21"/>
          <w14:textFill>
            <w14:solidFill>
              <w14:schemeClr w14:val="tx1"/>
            </w14:solidFill>
          </w14:textFill>
        </w:rPr>
        <w:t>2%</w:t>
      </w:r>
      <w:r>
        <w:rPr>
          <w:rFonts w:hint="eastAsia" w:ascii="Times New Roman" w:hAnsi="Times New Roman" w:eastAsia="仿宋" w:cs="Times New Roman"/>
          <w:color w:val="000000" w:themeColor="text1"/>
          <w:szCs w:val="21"/>
          <w14:textFill>
            <w14:solidFill>
              <w14:schemeClr w14:val="tx1"/>
            </w14:solidFill>
          </w14:textFill>
        </w:rPr>
        <w:t>的，交易参与人应填报本表。交易参与人在填写本表时应当明确所使用的比较基准。</w:t>
      </w:r>
    </w:p>
    <w:p>
      <w:pPr>
        <w:ind w:firstLine="630" w:firstLineChars="300"/>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w:t>
      </w:r>
      <w:r>
        <w:rPr>
          <w:rFonts w:hint="eastAsia" w:ascii="Times New Roman" w:hAnsi="Times New Roman" w:eastAsia="仿宋" w:cs="Times New Roman"/>
          <w:color w:val="000000" w:themeColor="text1"/>
          <w:szCs w:val="21"/>
          <w14:textFill>
            <w14:solidFill>
              <w14:schemeClr w14:val="tx1"/>
            </w14:solidFill>
          </w14:textFill>
        </w:rPr>
        <w:t>、本表扫描版应当不晚于次一交易日发送至</w:t>
      </w:r>
      <w:r>
        <w:rPr>
          <w:rFonts w:ascii="Times New Roman" w:hAnsi="Times New Roman" w:eastAsia="仿宋" w:cs="Times New Roman"/>
          <w:color w:val="000000" w:themeColor="text1"/>
          <w:szCs w:val="21"/>
          <w14:textFill>
            <w14:solidFill>
              <w14:schemeClr w14:val="tx1"/>
            </w14:solidFill>
          </w14:textFill>
        </w:rPr>
        <w:t>bond_report@szse.cn</w:t>
      </w:r>
      <w:r>
        <w:rPr>
          <w:rFonts w:hint="eastAsia" w:ascii="Times New Roman" w:hAnsi="Times New Roman" w:eastAsia="仿宋" w:cs="Times New Roman"/>
          <w:color w:val="000000" w:themeColor="text1"/>
          <w:szCs w:val="21"/>
          <w14:textFill>
            <w14:solidFill>
              <w14:schemeClr w14:val="tx1"/>
            </w14:solidFill>
          </w14:textFill>
        </w:rPr>
        <w:t>，邮件及文件命名为“机构名称</w:t>
      </w:r>
      <w:r>
        <w:rPr>
          <w:rFonts w:ascii="Times New Roman" w:hAnsi="Times New Roman" w:eastAsia="仿宋" w:cs="Times New Roman"/>
          <w:color w:val="000000" w:themeColor="text1"/>
          <w:szCs w:val="21"/>
          <w14:textFill>
            <w14:solidFill>
              <w14:schemeClr w14:val="tx1"/>
            </w14:solidFill>
          </w14:textFill>
        </w:rPr>
        <w:t>+</w:t>
      </w:r>
      <w:r>
        <w:rPr>
          <w:rFonts w:hint="eastAsia" w:ascii="Times New Roman" w:hAnsi="Times New Roman" w:eastAsia="仿宋" w:cs="Times New Roman"/>
          <w:color w:val="000000" w:themeColor="text1"/>
          <w:szCs w:val="21"/>
          <w14:textFill>
            <w14:solidFill>
              <w14:schemeClr w14:val="tx1"/>
            </w14:solidFill>
          </w14:textFill>
        </w:rPr>
        <w:t>交易日期</w:t>
      </w:r>
      <w:r>
        <w:rPr>
          <w:rFonts w:ascii="Times New Roman" w:hAnsi="Times New Roman" w:eastAsia="仿宋" w:cs="Times New Roman"/>
          <w:color w:val="000000" w:themeColor="text1"/>
          <w:szCs w:val="21"/>
          <w14:textFill>
            <w14:solidFill>
              <w14:schemeClr w14:val="tx1"/>
            </w14:solidFill>
          </w14:textFill>
        </w:rPr>
        <w:t>+</w:t>
      </w:r>
      <w:r>
        <w:rPr>
          <w:rFonts w:hint="eastAsia" w:ascii="Times New Roman" w:hAnsi="Times New Roman" w:eastAsia="仿宋" w:cs="Times New Roman"/>
          <w:color w:val="000000" w:themeColor="text1"/>
          <w:szCs w:val="21"/>
          <w14:textFill>
            <w14:solidFill>
              <w14:schemeClr w14:val="tx1"/>
            </w14:solidFill>
          </w14:textFill>
        </w:rPr>
        <w:t>证券代码</w:t>
      </w:r>
      <w:r>
        <w:rPr>
          <w:rFonts w:ascii="Times New Roman" w:hAnsi="Times New Roman" w:eastAsia="仿宋" w:cs="Times New Roman"/>
          <w:color w:val="000000" w:themeColor="text1"/>
          <w:szCs w:val="21"/>
          <w14:textFill>
            <w14:solidFill>
              <w14:schemeClr w14:val="tx1"/>
            </w14:solidFill>
          </w14:textFill>
        </w:rPr>
        <w:t>+</w:t>
      </w:r>
      <w:r>
        <w:rPr>
          <w:rFonts w:hint="eastAsia" w:ascii="Times New Roman" w:hAnsi="Times New Roman" w:eastAsia="仿宋" w:cs="Times New Roman"/>
          <w:color w:val="000000" w:themeColor="text1"/>
          <w:szCs w:val="21"/>
          <w14:textFill>
            <w14:solidFill>
              <w14:schemeClr w14:val="tx1"/>
            </w14:solidFill>
          </w14:textFill>
        </w:rPr>
        <w:t>账户名称”，例如“××证券</w:t>
      </w:r>
      <w:r>
        <w:rPr>
          <w:rFonts w:ascii="Times New Roman" w:hAnsi="Times New Roman" w:eastAsia="仿宋" w:cs="Times New Roman"/>
          <w:color w:val="000000" w:themeColor="text1"/>
          <w:szCs w:val="21"/>
          <w14:textFill>
            <w14:solidFill>
              <w14:schemeClr w14:val="tx1"/>
            </w14:solidFill>
          </w14:textFill>
        </w:rPr>
        <w:t>+2022</w:t>
      </w:r>
      <w:r>
        <w:rPr>
          <w:rFonts w:hint="eastAsia" w:ascii="Times New Roman" w:hAnsi="Times New Roman" w:eastAsia="仿宋" w:cs="Times New Roman"/>
          <w:color w:val="000000" w:themeColor="text1"/>
          <w:szCs w:val="21"/>
          <w14:textFill>
            <w14:solidFill>
              <w14:schemeClr w14:val="tx1"/>
            </w14:solidFill>
          </w14:textFill>
        </w:rPr>
        <w:t>年</w:t>
      </w:r>
      <w:r>
        <w:rPr>
          <w:rFonts w:ascii="Times New Roman" w:hAnsi="Times New Roman" w:eastAsia="仿宋" w:cs="Times New Roman"/>
          <w:color w:val="000000" w:themeColor="text1"/>
          <w:szCs w:val="21"/>
          <w14:textFill>
            <w14:solidFill>
              <w14:schemeClr w14:val="tx1"/>
            </w14:solidFill>
          </w14:textFill>
        </w:rPr>
        <w:t>4</w:t>
      </w:r>
      <w:r>
        <w:rPr>
          <w:rFonts w:hint="eastAsia" w:ascii="Times New Roman" w:hAnsi="Times New Roman" w:eastAsia="仿宋" w:cs="Times New Roman"/>
          <w:color w:val="000000" w:themeColor="text1"/>
          <w:szCs w:val="21"/>
          <w14:textFill>
            <w14:solidFill>
              <w14:schemeClr w14:val="tx1"/>
            </w14:solidFill>
          </w14:textFill>
        </w:rPr>
        <w:t>月</w:t>
      </w:r>
      <w:r>
        <w:rPr>
          <w:rFonts w:ascii="Times New Roman" w:hAnsi="Times New Roman" w:eastAsia="仿宋" w:cs="Times New Roman"/>
          <w:color w:val="000000" w:themeColor="text1"/>
          <w:szCs w:val="21"/>
          <w14:textFill>
            <w14:solidFill>
              <w14:schemeClr w14:val="tx1"/>
            </w14:solidFill>
          </w14:textFill>
        </w:rPr>
        <w:t>18</w:t>
      </w:r>
      <w:r>
        <w:rPr>
          <w:rFonts w:hint="eastAsia" w:ascii="Times New Roman" w:hAnsi="Times New Roman" w:eastAsia="仿宋" w:cs="Times New Roman"/>
          <w:color w:val="000000" w:themeColor="text1"/>
          <w:szCs w:val="21"/>
          <w14:textFill>
            <w14:solidFill>
              <w14:schemeClr w14:val="tx1"/>
            </w14:solidFill>
          </w14:textFill>
        </w:rPr>
        <w:t>日</w:t>
      </w:r>
      <w:r>
        <w:rPr>
          <w:rFonts w:ascii="Times New Roman" w:hAnsi="Times New Roman" w:eastAsia="仿宋" w:cs="Times New Roman"/>
          <w:color w:val="000000" w:themeColor="text1"/>
          <w:szCs w:val="21"/>
          <w14:textFill>
            <w14:solidFill>
              <w14:schemeClr w14:val="tx1"/>
            </w14:solidFill>
          </w14:textFill>
        </w:rPr>
        <w:t>+102100+XXX</w:t>
      </w:r>
      <w:r>
        <w:rPr>
          <w:rFonts w:hint="eastAsia" w:ascii="Times New Roman" w:hAnsi="Times New Roman" w:eastAsia="仿宋" w:cs="Times New Roman"/>
          <w:color w:val="000000" w:themeColor="text1"/>
          <w:szCs w:val="21"/>
          <w14:textFill>
            <w14:solidFill>
              <w14:schemeClr w14:val="tx1"/>
            </w14:solidFill>
          </w14:textFill>
        </w:rPr>
        <w:t>（账户名称）”。</w:t>
      </w:r>
    </w:p>
    <w:p>
      <w:pPr>
        <w:spacing w:line="360" w:lineRule="auto"/>
        <w:ind w:right="480" w:firstLine="4680" w:firstLineChars="1950"/>
        <w:rPr>
          <w:rFonts w:ascii="仿宋_GB2312" w:hAnsi="仿宋" w:eastAsia="仿宋_GB2312"/>
          <w:color w:val="000000" w:themeColor="text1"/>
          <w:sz w:val="24"/>
          <w:szCs w:val="30"/>
          <w14:textFill>
            <w14:solidFill>
              <w14:schemeClr w14:val="tx1"/>
            </w14:solidFill>
          </w14:textFill>
        </w:rPr>
      </w:pPr>
      <w:r>
        <w:rPr>
          <w:rFonts w:ascii="仿宋_GB2312" w:hAnsi="仿宋" w:eastAsia="仿宋_GB2312"/>
          <w:color w:val="000000" w:themeColor="text1"/>
          <w:sz w:val="24"/>
          <w:szCs w:val="30"/>
          <w14:textFill>
            <w14:solidFill>
              <w14:schemeClr w14:val="tx1"/>
            </w14:solidFill>
          </w14:textFill>
        </w:rPr>
        <w:t xml:space="preserve">机构名称（盖章）： </w:t>
      </w:r>
    </w:p>
    <w:p>
      <w:pPr>
        <w:pStyle w:val="34"/>
        <w:spacing w:line="360" w:lineRule="auto"/>
        <w:ind w:left="360" w:firstLine="0" w:firstLineChars="0"/>
        <w:jc w:val="center"/>
        <w:rPr>
          <w:rFonts w:ascii="仿宋_GB2312" w:hAnsi="仿宋" w:eastAsia="仿宋_GB2312"/>
          <w:color w:val="000000" w:themeColor="text1"/>
          <w:sz w:val="24"/>
          <w:szCs w:val="30"/>
          <w14:textFill>
            <w14:solidFill>
              <w14:schemeClr w14:val="tx1"/>
            </w14:solidFill>
          </w14:textFill>
        </w:rPr>
      </w:pPr>
      <w:r>
        <w:rPr>
          <w:rFonts w:ascii="仿宋_GB2312" w:hAnsi="仿宋" w:eastAsia="仿宋_GB2312"/>
          <w:color w:val="000000" w:themeColor="text1"/>
          <w:sz w:val="24"/>
          <w:szCs w:val="30"/>
          <w14:textFill>
            <w14:solidFill>
              <w14:schemeClr w14:val="tx1"/>
            </w14:solidFill>
          </w14:textFill>
        </w:rPr>
        <w:t xml:space="preserve">                                               年  月  日</w:t>
      </w:r>
    </w:p>
    <w:p>
      <w:pPr>
        <w:pStyle w:val="4"/>
        <w:rPr>
          <w:rFonts w:ascii="Times New Roman" w:hAnsi="Times New Roman" w:cs="Times New Roman"/>
          <w:bCs w:val="0"/>
        </w:rPr>
      </w:pPr>
      <w:bookmarkStart w:id="347" w:name="_Toc123809399"/>
      <w:bookmarkStart w:id="348" w:name="_Toc16225"/>
      <w:bookmarkStart w:id="349" w:name="_Toc4768"/>
      <w:bookmarkStart w:id="350" w:name="_Toc27983"/>
      <w:bookmarkStart w:id="351" w:name="_Toc14291"/>
      <w:bookmarkStart w:id="352" w:name="_Toc21961"/>
      <w:bookmarkStart w:id="353" w:name="_Toc25089"/>
      <w:r>
        <w:rPr>
          <w:rFonts w:hint="eastAsia" w:ascii="Times New Roman" w:hAnsi="Times New Roman" w:cs="Times New Roman"/>
          <w:bCs w:val="0"/>
        </w:rPr>
        <w:t>附件</w:t>
      </w:r>
      <w:r>
        <w:rPr>
          <w:rFonts w:ascii="Times New Roman" w:hAnsi="Times New Roman" w:cs="Times New Roman"/>
          <w:bCs w:val="0"/>
        </w:rPr>
        <w:t>4</w:t>
      </w:r>
      <w:r>
        <w:rPr>
          <w:rFonts w:hint="eastAsia" w:ascii="Times New Roman" w:hAnsi="Times New Roman" w:cs="Times New Roman"/>
          <w:bCs w:val="0"/>
        </w:rPr>
        <w:t>：业务专区及网站链接一览表</w:t>
      </w:r>
      <w:bookmarkEnd w:id="347"/>
      <w:bookmarkEnd w:id="348"/>
      <w:bookmarkEnd w:id="349"/>
      <w:bookmarkEnd w:id="350"/>
      <w:bookmarkEnd w:id="351"/>
      <w:bookmarkEnd w:id="352"/>
      <w:bookmarkEnd w:id="353"/>
    </w:p>
    <w:p>
      <w:pPr>
        <w:pStyle w:val="34"/>
        <w:spacing w:line="360" w:lineRule="auto"/>
        <w:ind w:left="360" w:firstLine="0" w:firstLineChars="0"/>
        <w:jc w:val="center"/>
        <w:rPr>
          <w:color w:val="000000" w:themeColor="text1"/>
          <w14:textFill>
            <w14:solidFill>
              <w14:schemeClr w14:val="tx1"/>
            </w14:solidFill>
          </w14:textFill>
        </w:rPr>
      </w:pPr>
    </w:p>
    <w:tbl>
      <w:tblPr>
        <w:tblStyle w:val="26"/>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3"/>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443" w:type="dxa"/>
            <w:vAlign w:val="center"/>
          </w:tcPr>
          <w:p>
            <w:pPr>
              <w:spacing w:line="5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专区/系统名称</w:t>
            </w:r>
          </w:p>
        </w:tc>
        <w:tc>
          <w:tcPr>
            <w:tcW w:w="5650" w:type="dxa"/>
            <w:vAlign w:val="center"/>
          </w:tcPr>
          <w:p>
            <w:pPr>
              <w:spacing w:line="5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登录链接地址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会员业务专区</w:t>
            </w:r>
          </w:p>
        </w:tc>
        <w:tc>
          <w:tcPr>
            <w:tcW w:w="5650" w:type="dxa"/>
            <w:vAlign w:val="center"/>
          </w:tcPr>
          <w:p>
            <w:pPr>
              <w:spacing w:line="560" w:lineRule="exact"/>
              <w:jc w:val="left"/>
              <w:rPr>
                <w:rStyle w:val="31"/>
                <w:rFonts w:ascii="Times New Roman" w:hAnsi="Times New Roman" w:eastAsia="仿宋" w:cs="Times New Roman"/>
                <w:sz w:val="32"/>
                <w:szCs w:val="32"/>
              </w:rPr>
            </w:pPr>
            <w:r>
              <w:fldChar w:fldCharType="begin"/>
            </w:r>
            <w:r>
              <w:instrText xml:space="preserve"> HYPERLINK "https://biz.szse.cn/mbr/index.html" </w:instrText>
            </w:r>
            <w:r>
              <w:fldChar w:fldCharType="separate"/>
            </w:r>
            <w:r>
              <w:rPr>
                <w:rStyle w:val="31"/>
                <w:rFonts w:ascii="Times New Roman" w:hAnsi="Times New Roman" w:eastAsia="仿宋" w:cs="Times New Roman"/>
                <w:sz w:val="32"/>
                <w:szCs w:val="32"/>
              </w:rPr>
              <w:t>https://biz.szse.cn/mbr/index.html</w:t>
            </w:r>
            <w:r>
              <w:rPr>
                <w:rStyle w:val="31"/>
                <w:rFonts w:ascii="Times New Roman" w:hAnsi="Times New Roman" w:eastAsia="仿宋" w:cs="Times New Roman"/>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sz w:val="30"/>
                <w:szCs w:val="30"/>
              </w:rPr>
              <w:t>固定收益品种业务专区</w:t>
            </w:r>
          </w:p>
        </w:tc>
        <w:tc>
          <w:tcPr>
            <w:tcW w:w="5650" w:type="dxa"/>
            <w:vAlign w:val="center"/>
          </w:tcPr>
          <w:p>
            <w:pPr>
              <w:spacing w:line="560" w:lineRule="exact"/>
              <w:jc w:val="lef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"https://biz.szse.cn/fic" </w:instrText>
            </w:r>
            <w:r>
              <w:fldChar w:fldCharType="separate"/>
            </w:r>
            <w:r>
              <w:rPr>
                <w:rStyle w:val="31"/>
                <w:rFonts w:ascii="Times New Roman" w:hAnsi="Times New Roman" w:eastAsia="仿宋" w:cs="Times New Roman"/>
                <w:sz w:val="32"/>
                <w:szCs w:val="32"/>
              </w:rPr>
              <w:t>https://biz.szse.cn/fic</w:t>
            </w:r>
            <w:r>
              <w:rPr>
                <w:rStyle w:val="31"/>
                <w:rFonts w:ascii="Times New Roman" w:hAnsi="Times New Roman" w:eastAsia="仿宋" w:cs="Times New Roman"/>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sz w:val="30"/>
                <w:szCs w:val="30"/>
              </w:rPr>
              <w:t>交易终端网站</w:t>
            </w:r>
          </w:p>
        </w:tc>
        <w:tc>
          <w:tcPr>
            <w:tcW w:w="5650" w:type="dxa"/>
            <w:vAlign w:val="center"/>
          </w:tcPr>
          <w:p>
            <w:pPr>
              <w:spacing w:line="560" w:lineRule="exact"/>
              <w:jc w:val="left"/>
              <w:rPr>
                <w:rFonts w:ascii="Times New Roman" w:hAnsi="Times New Roman" w:eastAsia="仿宋" w:cs="Times New Roman"/>
                <w:sz w:val="32"/>
                <w:szCs w:val="32"/>
              </w:rPr>
            </w:pPr>
            <w:r>
              <w:fldChar w:fldCharType="begin"/>
            </w:r>
            <w:r>
              <w:instrText xml:space="preserve"> HYPERLINK "https://172.27.0.163:7022/szsett-web/login.html" </w:instrText>
            </w:r>
            <w:r>
              <w:fldChar w:fldCharType="separate"/>
            </w:r>
            <w:r>
              <w:rPr>
                <w:rStyle w:val="31"/>
                <w:rFonts w:ascii="Times New Roman" w:hAnsi="Times New Roman" w:eastAsia="仿宋" w:cs="Times New Roman"/>
                <w:sz w:val="32"/>
                <w:szCs w:val="32"/>
              </w:rPr>
              <w:t>https://172.27.0.163:7022/szsett-web/login.html</w:t>
            </w:r>
            <w:r>
              <w:rPr>
                <w:rStyle w:val="31"/>
                <w:rFonts w:ascii="Times New Roman" w:hAnsi="Times New Roman" w:eastAsia="仿宋" w:cs="Times New Roman"/>
                <w:sz w:val="32"/>
                <w:szCs w:val="32"/>
              </w:rPr>
              <w:fldChar w:fldCharType="end"/>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w:t>
            </w:r>
          </w:p>
          <w:p>
            <w:pPr>
              <w:rPr>
                <w:rFonts w:ascii="Times New Roman" w:hAnsi="Times New Roman" w:cs="Times New Roman"/>
                <w:color w:val="000000"/>
                <w:sz w:val="32"/>
                <w:szCs w:val="32"/>
              </w:rPr>
            </w:pPr>
            <w:r>
              <w:fldChar w:fldCharType="begin"/>
            </w:r>
            <w:r>
              <w:instrText xml:space="preserve"> HYPERLINK "https://172.27.0.163:7022/szsett-web/login.html" </w:instrText>
            </w:r>
            <w:r>
              <w:fldChar w:fldCharType="separate"/>
            </w:r>
            <w:r>
              <w:rPr>
                <w:rStyle w:val="81"/>
                <w:rFonts w:ascii="Times New Roman" w:hAnsi="Times New Roman" w:cs="Times New Roman"/>
                <w:color w:val="0000FF"/>
                <w:sz w:val="32"/>
                <w:szCs w:val="32"/>
                <w:u w:val="single"/>
              </w:rPr>
              <w:t>http</w:t>
            </w:r>
            <w:r>
              <w:rPr>
                <w:rStyle w:val="81"/>
                <w:rFonts w:ascii="Times New Roman" w:hAnsi="Times New Roman" w:cs="Times New Roman"/>
                <w:color w:val="0000FF"/>
                <w:sz w:val="32"/>
                <w:szCs w:val="32"/>
              </w:rPr>
              <w:t>s</w:t>
            </w:r>
            <w:r>
              <w:rPr>
                <w:rStyle w:val="81"/>
                <w:rFonts w:ascii="Times New Roman" w:hAnsi="Times New Roman" w:cs="Times New Roman"/>
                <w:color w:val="0000FF"/>
                <w:sz w:val="32"/>
                <w:szCs w:val="32"/>
                <w:u w:val="single"/>
              </w:rPr>
              <w:t>://172.27.128.163:7022/szsett-web/login.html</w:t>
            </w:r>
            <w:r>
              <w:rPr>
                <w:rStyle w:val="81"/>
                <w:rFonts w:ascii="Times New Roman" w:hAnsi="Times New Roman" w:cs="Times New Roman"/>
                <w:color w:val="0000FF"/>
                <w:sz w:val="32"/>
                <w:szCs w:val="32"/>
                <w:u w:val="single"/>
              </w:rPr>
              <w:fldChar w:fldCharType="end"/>
            </w:r>
            <w:r>
              <w:rPr>
                <w:rFonts w:hint="eastAsia" w:ascii="Times New Roman" w:hAnsi="Times New Roman" w:eastAsia="仿宋" w:cs="Times New Roman"/>
                <w:sz w:val="32"/>
                <w:szCs w:val="32"/>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ascii="仿宋" w:hAnsi="仿宋" w:eastAsia="仿宋" w:cs="Times New Roman"/>
                <w:sz w:val="30"/>
                <w:szCs w:val="30"/>
              </w:rPr>
            </w:pPr>
            <w:r>
              <w:rPr>
                <w:rFonts w:hint="eastAsia" w:ascii="Times New Roman" w:hAnsi="Times New Roman" w:eastAsia="仿宋" w:cs="Times New Roman"/>
                <w:sz w:val="30"/>
                <w:szCs w:val="30"/>
              </w:rPr>
              <w:t>官网</w:t>
            </w:r>
          </w:p>
        </w:tc>
        <w:tc>
          <w:tcPr>
            <w:tcW w:w="5650" w:type="dxa"/>
            <w:vAlign w:val="center"/>
          </w:tcPr>
          <w:p>
            <w:pPr>
              <w:spacing w:line="560" w:lineRule="exact"/>
              <w:jc w:val="left"/>
              <w:rPr>
                <w:rFonts w:ascii="Times New Roman" w:hAnsi="Times New Roman" w:cs="Times New Roman"/>
                <w:sz w:val="32"/>
                <w:szCs w:val="32"/>
              </w:rPr>
            </w:pPr>
            <w:r>
              <w:rPr>
                <w:rStyle w:val="31"/>
                <w:rFonts w:ascii="Times New Roman" w:hAnsi="Times New Roman" w:cs="Times New Roman"/>
                <w:sz w:val="32"/>
                <w:szCs w:val="32"/>
              </w:rPr>
              <w:t>http://www.szse.cn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ascii="仿宋" w:hAnsi="仿宋" w:eastAsia="仿宋" w:cs="Times New Roman"/>
                <w:sz w:val="30"/>
                <w:szCs w:val="30"/>
              </w:rPr>
            </w:pPr>
            <w:r>
              <w:rPr>
                <w:rFonts w:hint="eastAsia" w:ascii="仿宋" w:hAnsi="仿宋" w:eastAsia="仿宋" w:cs="Times New Roman"/>
                <w:sz w:val="30"/>
                <w:szCs w:val="30"/>
              </w:rPr>
              <w:t>官网固定收益信息平台</w:t>
            </w:r>
          </w:p>
        </w:tc>
        <w:tc>
          <w:tcPr>
            <w:tcW w:w="5650" w:type="dxa"/>
            <w:vAlign w:val="center"/>
          </w:tcPr>
          <w:p>
            <w:pPr>
              <w:spacing w:line="560" w:lineRule="exact"/>
              <w:jc w:val="left"/>
              <w:rPr>
                <w:rFonts w:ascii="Times New Roman" w:hAnsi="Times New Roman" w:cs="Times New Roman"/>
                <w:sz w:val="32"/>
                <w:szCs w:val="32"/>
              </w:rPr>
            </w:pPr>
            <w:r>
              <w:fldChar w:fldCharType="begin"/>
            </w:r>
            <w:r>
              <w:instrText xml:space="preserve"> HYPERLINK "http://bond.szse.cn" </w:instrText>
            </w:r>
            <w:r>
              <w:fldChar w:fldCharType="separate"/>
            </w:r>
            <w:r>
              <w:rPr>
                <w:rStyle w:val="31"/>
                <w:rFonts w:ascii="Times New Roman" w:hAnsi="Times New Roman" w:cs="Times New Roman"/>
                <w:sz w:val="32"/>
                <w:szCs w:val="32"/>
              </w:rPr>
              <w:t>http://bond.szse.cn</w:t>
            </w:r>
            <w:r>
              <w:rPr>
                <w:rStyle w:val="31"/>
                <w:rFonts w:ascii="Times New Roman" w:hAnsi="Times New Roman" w:cs="Times New Roman"/>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3" w:type="dxa"/>
            <w:vAlign w:val="center"/>
          </w:tcPr>
          <w:p>
            <w:pPr>
              <w:spacing w:line="560" w:lineRule="exact"/>
              <w:jc w:val="center"/>
              <w:rPr>
                <w:rFonts w:ascii="仿宋" w:hAnsi="仿宋" w:eastAsia="仿宋" w:cs="Times New Roman"/>
                <w:sz w:val="30"/>
                <w:szCs w:val="30"/>
              </w:rPr>
            </w:pPr>
            <w:r>
              <w:rPr>
                <w:rFonts w:hint="eastAsia" w:ascii="仿宋" w:hAnsi="仿宋" w:eastAsia="仿宋" w:cs="Times New Roman"/>
                <w:sz w:val="30"/>
                <w:szCs w:val="30"/>
              </w:rPr>
              <w:t>中国结算官网</w:t>
            </w:r>
          </w:p>
        </w:tc>
        <w:tc>
          <w:tcPr>
            <w:tcW w:w="5650" w:type="dxa"/>
            <w:vAlign w:val="center"/>
          </w:tcPr>
          <w:p>
            <w:pPr>
              <w:spacing w:line="560" w:lineRule="exact"/>
              <w:jc w:val="left"/>
              <w:rPr>
                <w:rFonts w:ascii="Times New Roman" w:hAnsi="Times New Roman" w:cs="Times New Roman"/>
                <w:sz w:val="32"/>
                <w:szCs w:val="32"/>
              </w:rPr>
            </w:pPr>
            <w:r>
              <w:rPr>
                <w:rStyle w:val="31"/>
                <w:rFonts w:ascii="Times New Roman" w:hAnsi="Times New Roman" w:cs="Times New Roman"/>
                <w:sz w:val="32"/>
                <w:szCs w:val="32"/>
              </w:rPr>
              <w:t>http://www.chinaclear.cn</w:t>
            </w:r>
          </w:p>
        </w:tc>
      </w:tr>
    </w:tbl>
    <w:p>
      <w:pPr>
        <w:pStyle w:val="34"/>
        <w:spacing w:line="360" w:lineRule="auto"/>
        <w:ind w:left="360" w:firstLine="0" w:firstLineChars="0"/>
        <w:jc w:val="center"/>
        <w:rPr>
          <w:color w:val="000000" w:themeColor="text1"/>
          <w14:textFill>
            <w14:solidFill>
              <w14:schemeClr w14:val="tx1"/>
            </w14:solidFill>
          </w14:textFill>
        </w:rPr>
      </w:pPr>
    </w:p>
    <w:p>
      <w:pPr>
        <w:pStyle w:val="34"/>
        <w:spacing w:line="360" w:lineRule="auto"/>
        <w:ind w:left="360" w:firstLine="0" w:firstLineChars="0"/>
        <w:jc w:val="center"/>
        <w:rPr>
          <w:color w:val="000000" w:themeColor="text1"/>
          <w14:textFill>
            <w14:solidFill>
              <w14:schemeClr w14:val="tx1"/>
            </w14:solidFill>
          </w14:textFill>
        </w:rPr>
      </w:pPr>
    </w:p>
    <w:sectPr>
      <w:pgSz w:w="11910" w:h="16840"/>
      <w:pgMar w:top="1420" w:right="1660" w:bottom="1780" w:left="1660" w:header="852" w:footer="1583"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0000000000000000000"/>
    <w:charset w:val="00"/>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984356"/>
    </w:sdtPr>
    <w:sdtContent>
      <w:p>
        <w:pPr>
          <w:pStyle w:val="16"/>
          <w:jc w:val="center"/>
        </w:pPr>
        <w:r>
          <w:fldChar w:fldCharType="begin"/>
        </w:r>
        <w:r>
          <w:instrText xml:space="preserve">PAGE   \* MERGEFORMAT</w:instrText>
        </w:r>
        <w:r>
          <w:fldChar w:fldCharType="separate"/>
        </w:r>
        <w:r>
          <w:rPr>
            <w:lang w:val="zh-CN"/>
          </w:rPr>
          <w:t>16</w:t>
        </w:r>
        <w:r>
          <w:fldChar w:fldCharType="end"/>
        </w:r>
      </w:p>
    </w:sdtContent>
  </w:sdt>
  <w:p>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r>
        <w:separator/>
      </w:r>
    </w:p>
  </w:footnote>
  <w:footnote w:type="continuationSeparator" w:id="27">
    <w:p>
      <w:r>
        <w:continuationSeparator/>
      </w:r>
    </w:p>
  </w:footnote>
  <w:footnote w:id="0">
    <w:p>
      <w:pPr>
        <w:pStyle w:val="20"/>
        <w:rPr>
          <w:rFonts w:ascii="Times New Roman" w:hAnsi="Times New Roman"/>
        </w:rPr>
      </w:pPr>
      <w:r>
        <w:rPr>
          <w:rStyle w:val="33"/>
          <w:rFonts w:ascii="Times New Roman" w:hAnsi="Times New Roman"/>
        </w:rPr>
        <w:footnoteRef/>
      </w:r>
      <w:r>
        <w:rPr>
          <w:rFonts w:ascii="Times New Roman" w:hAnsi="Times New Roman"/>
        </w:rPr>
        <w:t xml:space="preserve"> </w:t>
      </w:r>
      <w:r>
        <w:rPr>
          <w:rFonts w:hint="eastAsia" w:ascii="Times New Roman" w:hAnsi="Times New Roman"/>
        </w:rPr>
        <w:t>其他交易参与人是指根据《深圳证券交易所会员管理规则》有关规定通过本所相关业务规则规定的方式参与证券交易，接受本所自律管理的机构。</w:t>
      </w:r>
    </w:p>
  </w:footnote>
  <w:footnote w:id="1">
    <w:p>
      <w:pPr>
        <w:pStyle w:val="20"/>
        <w:rPr>
          <w:rFonts w:ascii="Times New Roman" w:hAnsi="Times New Roman"/>
        </w:rPr>
      </w:pPr>
      <w:r>
        <w:rPr>
          <w:rStyle w:val="33"/>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）“信息披露</w:t>
      </w:r>
      <w:r>
        <w:rPr>
          <w:rFonts w:ascii="Times New Roman" w:hAnsi="Times New Roman"/>
        </w:rPr>
        <w:t>/</w:t>
      </w:r>
      <w:r>
        <w:rPr>
          <w:rFonts w:hint="eastAsia" w:ascii="Times New Roman" w:hAnsi="Times New Roman"/>
        </w:rPr>
        <w:t>交易参与信息</w:t>
      </w:r>
      <w:r>
        <w:rPr>
          <w:rFonts w:ascii="Times New Roman" w:hAnsi="Times New Roman"/>
        </w:rPr>
        <w:t>/</w:t>
      </w:r>
      <w:r>
        <w:rPr>
          <w:rFonts w:hint="eastAsia" w:ascii="Times New Roman" w:hAnsi="Times New Roman"/>
        </w:rPr>
        <w:t>机构名单</w:t>
      </w:r>
      <w:r>
        <w:rPr>
          <w:rFonts w:ascii="Times New Roman" w:hAnsi="Times New Roman"/>
        </w:rPr>
        <w:t>/</w:t>
      </w:r>
      <w:r>
        <w:rPr>
          <w:rFonts w:hint="eastAsia" w:ascii="Times New Roman" w:hAnsi="Times New Roman"/>
        </w:rPr>
        <w:t>债券交易参与人”栏目。</w:t>
      </w:r>
    </w:p>
  </w:footnote>
  <w:footnote w:id="2">
    <w:p>
      <w:pPr>
        <w:pStyle w:val="20"/>
        <w:rPr>
          <w:rFonts w:ascii="Times New Roman" w:hAnsi="Times New Roman"/>
        </w:rPr>
      </w:pPr>
      <w:r>
        <w:rPr>
          <w:rStyle w:val="33"/>
          <w:rFonts w:ascii="Times New Roman" w:hAnsi="Times New Roman"/>
        </w:rPr>
        <w:footnoteRef/>
      </w:r>
      <w:r>
        <w:rPr>
          <w:rFonts w:hint="eastAsia" w:ascii="Times New Roman" w:hAnsi="Times New Roman"/>
        </w:rPr>
        <w:t xml:space="preserve"> 《中国证券登记结算有限责任公司结算参与人管理工作指引》《中国证券登记结算有限责任公司深圳分公司证券资金结算业务指南》等结算相关要求。</w:t>
      </w:r>
    </w:p>
  </w:footnote>
  <w:footnote w:id="3">
    <w:p>
      <w:pPr>
        <w:pStyle w:val="20"/>
        <w:rPr>
          <w:rFonts w:ascii="Times New Roman" w:hAnsi="Times New Roman"/>
        </w:rPr>
      </w:pPr>
      <w:r>
        <w:rPr>
          <w:rStyle w:val="33"/>
          <w:rFonts w:ascii="Times New Roman" w:hAnsi="Times New Roman"/>
        </w:rPr>
        <w:footnoteRef/>
      </w:r>
      <w:r>
        <w:rPr>
          <w:rFonts w:hint="eastAsia" w:ascii="Times New Roman" w:hAnsi="Times New Roman"/>
        </w:rPr>
        <w:t xml:space="preserve"> 官网（</w:t>
      </w:r>
      <w:r>
        <w:rPr>
          <w:rFonts w:ascii="Times New Roman" w:hAnsi="Times New Roman"/>
        </w:rPr>
        <w:t>http://www.szse.cn</w:t>
      </w:r>
      <w:r>
        <w:rPr>
          <w:rFonts w:hint="eastAsia" w:ascii="Times New Roman" w:hAnsi="Times New Roman"/>
        </w:rPr>
        <w:t>）“关于本所</w:t>
      </w:r>
      <w:r>
        <w:rPr>
          <w:rFonts w:ascii="Times New Roman" w:hAnsi="Times New Roman"/>
        </w:rPr>
        <w:t>/</w:t>
      </w:r>
      <w:r>
        <w:rPr>
          <w:rFonts w:hint="eastAsia" w:ascii="Times New Roman" w:hAnsi="Times New Roman"/>
        </w:rPr>
        <w:t>本所会员”栏目。</w:t>
      </w:r>
    </w:p>
  </w:footnote>
  <w:footnote w:id="4">
    <w:p>
      <w:pPr>
        <w:pStyle w:val="20"/>
        <w:rPr>
          <w:rFonts w:ascii="Times New Roman" w:hAnsi="Times New Roman"/>
        </w:rPr>
      </w:pPr>
      <w:r>
        <w:rPr>
          <w:rStyle w:val="33"/>
          <w:rFonts w:ascii="Times New Roman" w:hAnsi="Times New Roman"/>
        </w:rPr>
        <w:footnoteRef/>
      </w:r>
      <w:r>
        <w:rPr>
          <w:rFonts w:hint="eastAsia" w:ascii="Times New Roman" w:hAnsi="Times New Roman"/>
        </w:rPr>
        <w:t xml:space="preserve"> 中国结算官网（</w:t>
      </w:r>
      <w:r>
        <w:rPr>
          <w:rFonts w:ascii="Times New Roman" w:hAnsi="Times New Roman"/>
        </w:rPr>
        <w:t>http://www.chinaclear.cn</w:t>
      </w:r>
      <w:r>
        <w:rPr>
          <w:rFonts w:hint="eastAsia" w:ascii="Times New Roman" w:hAnsi="Times New Roman"/>
        </w:rPr>
        <w:t>）“服务支持</w:t>
      </w:r>
      <w:r>
        <w:rPr>
          <w:rFonts w:ascii="Times New Roman" w:hAnsi="Times New Roman"/>
        </w:rPr>
        <w:t>/</w:t>
      </w:r>
      <w:r>
        <w:rPr>
          <w:rFonts w:hint="eastAsia" w:ascii="Times New Roman" w:hAnsi="Times New Roman"/>
        </w:rPr>
        <w:t>机构资料查询</w:t>
      </w:r>
      <w:r>
        <w:rPr>
          <w:rFonts w:ascii="Times New Roman" w:hAnsi="Times New Roman"/>
        </w:rPr>
        <w:t>/</w:t>
      </w:r>
      <w:r>
        <w:rPr>
          <w:rFonts w:hint="eastAsia" w:ascii="Times New Roman" w:hAnsi="Times New Roman"/>
        </w:rPr>
        <w:t>结算参与人”栏目。</w:t>
      </w:r>
    </w:p>
  </w:footnote>
  <w:footnote w:id="5">
    <w:p>
      <w:pPr>
        <w:pStyle w:val="20"/>
        <w:keepLines/>
        <w:rPr>
          <w:rFonts w:ascii="Times New Roman" w:hAnsi="Times New Roman"/>
        </w:rPr>
      </w:pPr>
      <w:r>
        <w:rPr>
          <w:rStyle w:val="33"/>
          <w:rFonts w:ascii="Times New Roman" w:hAnsi="Times New Roman"/>
        </w:rPr>
        <w:footnoteRef/>
      </w:r>
      <w:r>
        <w:rPr>
          <w:rFonts w:ascii="Times New Roman" w:hAnsi="Times New Roman"/>
        </w:rPr>
        <w:t xml:space="preserve"> </w:t>
      </w:r>
      <w:r>
        <w:rPr>
          <w:rFonts w:hint="eastAsia" w:ascii="Times New Roman" w:hAnsi="Times New Roman"/>
        </w:rPr>
        <w:t>亦可使用备用链接登录（</w:t>
      </w:r>
      <w:r>
        <w:fldChar w:fldCharType="begin"/>
      </w:r>
      <w:r>
        <w:instrText xml:space="preserve"> HYPERLINK "https://172.27.128.163:7022/szsett-web/login.html" </w:instrText>
      </w:r>
      <w:r>
        <w:fldChar w:fldCharType="separate"/>
      </w:r>
      <w:r>
        <w:rPr>
          <w:rStyle w:val="31"/>
          <w:rFonts w:ascii="Times New Roman" w:hAnsi="Times New Roman"/>
        </w:rPr>
        <w:t>https://172.27.128.163:7022/szsett-web/login.html</w:t>
      </w:r>
      <w:r>
        <w:rPr>
          <w:rStyle w:val="31"/>
          <w:rFonts w:ascii="Times New Roman" w:hAnsi="Times New Roman"/>
        </w:rPr>
        <w:fldChar w:fldCharType="end"/>
      </w:r>
      <w:r>
        <w:rPr>
          <w:rFonts w:hint="eastAsia" w:ascii="Times New Roman" w:hAnsi="Times New Roman"/>
        </w:rPr>
        <w:t>），详见交易终端硬件数字证书随附《交易终端用户须知》。</w:t>
      </w:r>
    </w:p>
  </w:footnote>
  <w:footnote w:id="6">
    <w:p>
      <w:pPr>
        <w:pStyle w:val="20"/>
        <w:rPr>
          <w:rFonts w:ascii="Times New Roman" w:hAnsi="Times New Roman"/>
        </w:rPr>
      </w:pPr>
      <w:r>
        <w:rPr>
          <w:rStyle w:val="33"/>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）“信息披露</w:t>
      </w:r>
      <w:r>
        <w:rPr>
          <w:rFonts w:ascii="Times New Roman" w:hAnsi="Times New Roman"/>
        </w:rPr>
        <w:t>/</w:t>
      </w:r>
      <w:r>
        <w:rPr>
          <w:rFonts w:hint="eastAsia" w:ascii="Times New Roman" w:hAnsi="Times New Roman"/>
        </w:rPr>
        <w:t>交易参与信息</w:t>
      </w:r>
      <w:r>
        <w:rPr>
          <w:rFonts w:ascii="Times New Roman" w:hAnsi="Times New Roman"/>
        </w:rPr>
        <w:t>/</w:t>
      </w:r>
      <w:r>
        <w:rPr>
          <w:rFonts w:hint="eastAsia" w:ascii="Times New Roman" w:hAnsi="Times New Roman"/>
        </w:rPr>
        <w:t>竞买预约”栏目。</w:t>
      </w:r>
    </w:p>
  </w:footnote>
  <w:footnote w:id="7">
    <w:p>
      <w:pPr>
        <w:pStyle w:val="20"/>
        <w:rPr>
          <w:rFonts w:ascii="Times New Roman" w:hAnsi="Times New Roman"/>
        </w:rPr>
      </w:pPr>
      <w:r>
        <w:rPr>
          <w:rStyle w:val="33"/>
          <w:rFonts w:ascii="Times New Roman" w:hAnsi="Times New Roman"/>
        </w:rPr>
        <w:footnoteRef/>
      </w:r>
      <w:r>
        <w:rPr>
          <w:rFonts w:ascii="Times New Roman" w:hAnsi="Times New Roman"/>
        </w:rPr>
        <w:t xml:space="preserve"> </w:t>
      </w:r>
      <w:r>
        <w:rPr>
          <w:rFonts w:hint="eastAsia" w:ascii="Times New Roman" w:hAnsi="Times New Roman"/>
        </w:rPr>
        <w:t>详情可以参见《深圳证券交易所债券交易业务指引第</w:t>
      </w:r>
      <w:r>
        <w:rPr>
          <w:rFonts w:ascii="Times New Roman" w:hAnsi="Times New Roman"/>
        </w:rPr>
        <w:t>2</w:t>
      </w:r>
      <w:r>
        <w:rPr>
          <w:rFonts w:hint="eastAsia" w:ascii="Times New Roman" w:hAnsi="Times New Roman"/>
        </w:rPr>
        <w:t>号—债券通用质押式回购》《深圳证券交易所债券质押式协议回购交易业务办法》和《深圳证券交易所</w:t>
      </w:r>
      <w:r>
        <w:rPr>
          <w:rFonts w:ascii="Times New Roman" w:hAnsi="Times New Roman"/>
        </w:rPr>
        <w:t xml:space="preserve"> </w:t>
      </w:r>
      <w:r>
        <w:rPr>
          <w:rFonts w:hint="eastAsia" w:ascii="Times New Roman" w:hAnsi="Times New Roman"/>
        </w:rPr>
        <w:t>中国证券登记结算有限责任公司债券质押式三方回购交易以及结算暂行办法》《深圳证券交易所债券交易业务指南第</w:t>
      </w:r>
      <w:r>
        <w:rPr>
          <w:rFonts w:ascii="Times New Roman" w:hAnsi="Times New Roman"/>
        </w:rPr>
        <w:t>2</w:t>
      </w:r>
      <w:r>
        <w:rPr>
          <w:rFonts w:hint="eastAsia" w:ascii="Times New Roman" w:hAnsi="Times New Roman"/>
        </w:rPr>
        <w:t>号——债券质押式协议回购》《深圳证券交易所债券质押式三方回购交易业务指南》等。</w:t>
      </w:r>
    </w:p>
  </w:footnote>
  <w:footnote w:id="8">
    <w:p>
      <w:pPr>
        <w:pStyle w:val="20"/>
        <w:rPr>
          <w:rFonts w:ascii="Times New Roman" w:hAnsi="Times New Roman"/>
        </w:rPr>
      </w:pPr>
      <w:r>
        <w:rPr>
          <w:rStyle w:val="33"/>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）“信息披露</w:t>
      </w:r>
      <w:r>
        <w:rPr>
          <w:rFonts w:ascii="Times New Roman" w:hAnsi="Times New Roman"/>
        </w:rPr>
        <w:t>/</w:t>
      </w:r>
      <w:r>
        <w:rPr>
          <w:rFonts w:hint="eastAsia" w:ascii="Times New Roman" w:hAnsi="Times New Roman"/>
        </w:rPr>
        <w:t>交易参与信息</w:t>
      </w:r>
      <w:r>
        <w:rPr>
          <w:rFonts w:ascii="Times New Roman" w:hAnsi="Times New Roman"/>
        </w:rPr>
        <w:t>/</w:t>
      </w:r>
      <w:r>
        <w:rPr>
          <w:rFonts w:hint="eastAsia" w:ascii="Times New Roman" w:hAnsi="Times New Roman"/>
        </w:rPr>
        <w:t>回购质押券及折算率”栏目。</w:t>
      </w:r>
    </w:p>
  </w:footnote>
  <w:footnote w:id="9">
    <w:p>
      <w:pPr>
        <w:pStyle w:val="20"/>
        <w:rPr>
          <w:rFonts w:ascii="Times New Roman" w:hAnsi="Times New Roman"/>
        </w:rPr>
      </w:pPr>
      <w:r>
        <w:rPr>
          <w:rStyle w:val="33"/>
          <w:rFonts w:ascii="Times New Roman" w:hAnsi="Times New Roman"/>
        </w:rPr>
        <w:footnoteRef/>
      </w:r>
      <w:r>
        <w:rPr>
          <w:rFonts w:ascii="Times New Roman" w:hAnsi="Times New Roman"/>
        </w:rPr>
        <w:t xml:space="preserve"> </w:t>
      </w:r>
      <w:r>
        <w:rPr>
          <w:rFonts w:hint="eastAsia" w:ascii="Times New Roman" w:hAnsi="Times New Roman"/>
        </w:rPr>
        <w:t>详情可以参见《深圳证券交易所信用保护合约业务指引》《深圳证券交易所信用保护工具业务指南第</w:t>
      </w:r>
      <w:r>
        <w:rPr>
          <w:rFonts w:ascii="Times New Roman" w:hAnsi="Times New Roman"/>
        </w:rPr>
        <w:t>1</w:t>
      </w:r>
      <w:r>
        <w:rPr>
          <w:rFonts w:hint="eastAsia" w:ascii="Times New Roman" w:hAnsi="Times New Roman"/>
        </w:rPr>
        <w:t>号——信用保护合约》《深圳证券交易所交易业务指南第</w:t>
      </w:r>
      <w:r>
        <w:rPr>
          <w:rFonts w:ascii="Times New Roman" w:hAnsi="Times New Roman"/>
        </w:rPr>
        <w:t>3</w:t>
      </w:r>
      <w:r>
        <w:rPr>
          <w:rFonts w:hint="eastAsia" w:ascii="Times New Roman" w:hAnsi="Times New Roman"/>
        </w:rPr>
        <w:t>号——信用保护凭证》。</w:t>
      </w:r>
    </w:p>
  </w:footnote>
  <w:footnote w:id="10">
    <w:p>
      <w:pPr>
        <w:pStyle w:val="20"/>
        <w:rPr>
          <w:rFonts w:ascii="Times New Roman" w:hAnsi="Times New Roman"/>
        </w:rPr>
      </w:pPr>
      <w:r>
        <w:rPr>
          <w:rStyle w:val="33"/>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）“信息披露</w:t>
      </w:r>
      <w:r>
        <w:rPr>
          <w:rFonts w:ascii="Times New Roman" w:hAnsi="Times New Roman"/>
        </w:rPr>
        <w:t>/</w:t>
      </w:r>
      <w:r>
        <w:rPr>
          <w:rFonts w:hint="eastAsia" w:ascii="Times New Roman" w:hAnsi="Times New Roman"/>
        </w:rPr>
        <w:t>交易参与信息</w:t>
      </w:r>
      <w:r>
        <w:rPr>
          <w:rFonts w:ascii="Times New Roman" w:hAnsi="Times New Roman"/>
        </w:rPr>
        <w:t>/</w:t>
      </w:r>
      <w:r>
        <w:rPr>
          <w:rFonts w:hint="eastAsia" w:ascii="Times New Roman" w:hAnsi="Times New Roman"/>
        </w:rPr>
        <w:t>竞买预约”栏目。</w:t>
      </w:r>
    </w:p>
  </w:footnote>
  <w:footnote w:id="11">
    <w:p>
      <w:pPr>
        <w:pStyle w:val="20"/>
        <w:rPr>
          <w:rFonts w:ascii="Times New Roman" w:hAnsi="Times New Roman"/>
        </w:rPr>
      </w:pPr>
      <w:r>
        <w:rPr>
          <w:rStyle w:val="33"/>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）“市场数据</w:t>
      </w:r>
      <w:r>
        <w:rPr>
          <w:rFonts w:ascii="Times New Roman" w:hAnsi="Times New Roman"/>
        </w:rPr>
        <w:t>/</w:t>
      </w:r>
      <w:r>
        <w:rPr>
          <w:rFonts w:hint="eastAsia" w:ascii="Times New Roman" w:hAnsi="Times New Roman"/>
        </w:rPr>
        <w:t>市场统计</w:t>
      </w:r>
      <w:r>
        <w:rPr>
          <w:rFonts w:ascii="Times New Roman" w:hAnsi="Times New Roman"/>
        </w:rPr>
        <w:t>/</w:t>
      </w:r>
      <w:r>
        <w:rPr>
          <w:rFonts w:hint="eastAsia" w:ascii="Times New Roman" w:hAnsi="Times New Roman"/>
        </w:rPr>
        <w:t>交易明细</w:t>
      </w:r>
      <w:r>
        <w:rPr>
          <w:rFonts w:ascii="Times New Roman" w:hAnsi="Times New Roman"/>
        </w:rPr>
        <w:t>/</w:t>
      </w:r>
      <w:r>
        <w:rPr>
          <w:rFonts w:hint="eastAsia" w:ascii="Times New Roman" w:hAnsi="Times New Roman"/>
        </w:rPr>
        <w:t>现券</w:t>
      </w:r>
      <w:r>
        <w:rPr>
          <w:rFonts w:ascii="Times New Roman" w:hAnsi="Times New Roman"/>
        </w:rPr>
        <w:t>/</w:t>
      </w:r>
      <w:r>
        <w:rPr>
          <w:rFonts w:hint="eastAsia" w:ascii="Times New Roman" w:hAnsi="Times New Roman"/>
        </w:rPr>
        <w:t>现券交易信息（逐笔）”栏目。</w:t>
      </w:r>
    </w:p>
  </w:footnote>
  <w:footnote w:id="12">
    <w:p>
      <w:pPr>
        <w:pStyle w:val="20"/>
        <w:rPr>
          <w:rFonts w:ascii="Times New Roman" w:hAnsi="Times New Roman"/>
        </w:rPr>
      </w:pPr>
      <w:r>
        <w:rPr>
          <w:rStyle w:val="33"/>
          <w:rFonts w:ascii="Times New Roman" w:hAnsi="Times New Roman"/>
        </w:rPr>
        <w:footnoteRef/>
      </w:r>
      <w:r>
        <w:rPr>
          <w:rFonts w:ascii="Times New Roman" w:hAnsi="Times New Roman"/>
        </w:rPr>
        <w:t xml:space="preserve"> </w:t>
      </w:r>
      <w:r>
        <w:rPr>
          <w:rFonts w:hint="eastAsia" w:ascii="Times New Roman" w:hAnsi="Times New Roman"/>
        </w:rPr>
        <w:t>官网固定收益信息平台（</w:t>
      </w:r>
      <w:r>
        <w:rPr>
          <w:rFonts w:ascii="Times New Roman" w:hAnsi="Times New Roman"/>
        </w:rPr>
        <w:t>http://bond.szse.cn</w:t>
      </w:r>
      <w:r>
        <w:rPr>
          <w:rFonts w:hint="eastAsia" w:ascii="Times New Roman" w:hAnsi="Times New Roman"/>
        </w:rPr>
        <w:t>）“市场数据</w:t>
      </w:r>
      <w:r>
        <w:rPr>
          <w:rFonts w:ascii="Times New Roman" w:hAnsi="Times New Roman"/>
        </w:rPr>
        <w:t>/</w:t>
      </w:r>
      <w:r>
        <w:rPr>
          <w:rFonts w:hint="eastAsia" w:ascii="Times New Roman" w:hAnsi="Times New Roman"/>
        </w:rPr>
        <w:t>市场统计</w:t>
      </w:r>
      <w:r>
        <w:rPr>
          <w:rFonts w:ascii="Times New Roman" w:hAnsi="Times New Roman"/>
        </w:rPr>
        <w:t>/</w:t>
      </w:r>
      <w:r>
        <w:rPr>
          <w:rFonts w:hint="eastAsia" w:ascii="Times New Roman" w:hAnsi="Times New Roman"/>
        </w:rPr>
        <w:t>交易明细</w:t>
      </w:r>
      <w:r>
        <w:rPr>
          <w:rFonts w:ascii="Times New Roman" w:hAnsi="Times New Roman"/>
        </w:rPr>
        <w:t>/</w:t>
      </w:r>
      <w:r>
        <w:rPr>
          <w:rFonts w:hint="eastAsia" w:ascii="Times New Roman" w:hAnsi="Times New Roman"/>
        </w:rPr>
        <w:t>现券</w:t>
      </w:r>
      <w:r>
        <w:rPr>
          <w:rFonts w:ascii="Times New Roman" w:hAnsi="Times New Roman"/>
        </w:rPr>
        <w:t>/</w:t>
      </w:r>
      <w:r>
        <w:rPr>
          <w:rFonts w:hint="eastAsia" w:ascii="Times New Roman" w:hAnsi="Times New Roman"/>
        </w:rPr>
        <w:t>竞买成交结果”栏目。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26"/>
    <w:footnote w:id="2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93"/>
    <w:rsid w:val="00004542"/>
    <w:rsid w:val="00005E6D"/>
    <w:rsid w:val="00006400"/>
    <w:rsid w:val="0001045F"/>
    <w:rsid w:val="000116C1"/>
    <w:rsid w:val="00014F3F"/>
    <w:rsid w:val="00015DD8"/>
    <w:rsid w:val="00021C56"/>
    <w:rsid w:val="00022013"/>
    <w:rsid w:val="000249E7"/>
    <w:rsid w:val="00025A22"/>
    <w:rsid w:val="00031383"/>
    <w:rsid w:val="0003149C"/>
    <w:rsid w:val="00035A0A"/>
    <w:rsid w:val="00035E86"/>
    <w:rsid w:val="0003674D"/>
    <w:rsid w:val="000425CC"/>
    <w:rsid w:val="00042B5C"/>
    <w:rsid w:val="00043B12"/>
    <w:rsid w:val="00043BDA"/>
    <w:rsid w:val="00043C22"/>
    <w:rsid w:val="00043E58"/>
    <w:rsid w:val="0004438F"/>
    <w:rsid w:val="00047963"/>
    <w:rsid w:val="00050018"/>
    <w:rsid w:val="000510F4"/>
    <w:rsid w:val="00053D8E"/>
    <w:rsid w:val="00055F34"/>
    <w:rsid w:val="00056E98"/>
    <w:rsid w:val="000601B3"/>
    <w:rsid w:val="00060DCB"/>
    <w:rsid w:val="00061762"/>
    <w:rsid w:val="00063B5A"/>
    <w:rsid w:val="00063B68"/>
    <w:rsid w:val="000640C9"/>
    <w:rsid w:val="0006538C"/>
    <w:rsid w:val="000708CE"/>
    <w:rsid w:val="000714AE"/>
    <w:rsid w:val="0007249B"/>
    <w:rsid w:val="000732F1"/>
    <w:rsid w:val="00074EF4"/>
    <w:rsid w:val="00074F6D"/>
    <w:rsid w:val="00075F5F"/>
    <w:rsid w:val="000769FD"/>
    <w:rsid w:val="000775F8"/>
    <w:rsid w:val="00077FBE"/>
    <w:rsid w:val="0008140A"/>
    <w:rsid w:val="000821E6"/>
    <w:rsid w:val="00086089"/>
    <w:rsid w:val="00086D21"/>
    <w:rsid w:val="000909CB"/>
    <w:rsid w:val="000915E1"/>
    <w:rsid w:val="0009217F"/>
    <w:rsid w:val="00094201"/>
    <w:rsid w:val="000948DE"/>
    <w:rsid w:val="00096AC0"/>
    <w:rsid w:val="00097B2E"/>
    <w:rsid w:val="00097F6C"/>
    <w:rsid w:val="000A2A84"/>
    <w:rsid w:val="000A2B90"/>
    <w:rsid w:val="000A414F"/>
    <w:rsid w:val="000A46EF"/>
    <w:rsid w:val="000B0FB7"/>
    <w:rsid w:val="000B4A60"/>
    <w:rsid w:val="000B5341"/>
    <w:rsid w:val="000B5C22"/>
    <w:rsid w:val="000B623E"/>
    <w:rsid w:val="000B6F19"/>
    <w:rsid w:val="000B7ECB"/>
    <w:rsid w:val="000C1844"/>
    <w:rsid w:val="000C20AE"/>
    <w:rsid w:val="000C2E09"/>
    <w:rsid w:val="000C4BC4"/>
    <w:rsid w:val="000C520D"/>
    <w:rsid w:val="000C5DAB"/>
    <w:rsid w:val="000C7999"/>
    <w:rsid w:val="000D0F1D"/>
    <w:rsid w:val="000D108C"/>
    <w:rsid w:val="000D299F"/>
    <w:rsid w:val="000D2AB9"/>
    <w:rsid w:val="000D316F"/>
    <w:rsid w:val="000D4564"/>
    <w:rsid w:val="000D4B13"/>
    <w:rsid w:val="000D6658"/>
    <w:rsid w:val="000E07BD"/>
    <w:rsid w:val="000E3BCA"/>
    <w:rsid w:val="000E3D19"/>
    <w:rsid w:val="000E3DE2"/>
    <w:rsid w:val="000E47F5"/>
    <w:rsid w:val="000E6336"/>
    <w:rsid w:val="000E6D1F"/>
    <w:rsid w:val="000F0897"/>
    <w:rsid w:val="000F13E6"/>
    <w:rsid w:val="000F6CC2"/>
    <w:rsid w:val="0010087E"/>
    <w:rsid w:val="00100D32"/>
    <w:rsid w:val="001034CD"/>
    <w:rsid w:val="001055F3"/>
    <w:rsid w:val="00106B49"/>
    <w:rsid w:val="00107211"/>
    <w:rsid w:val="001101CE"/>
    <w:rsid w:val="00110FE5"/>
    <w:rsid w:val="00111732"/>
    <w:rsid w:val="00111D4A"/>
    <w:rsid w:val="00112415"/>
    <w:rsid w:val="00117E29"/>
    <w:rsid w:val="001230A6"/>
    <w:rsid w:val="00124E67"/>
    <w:rsid w:val="00125A45"/>
    <w:rsid w:val="0013026C"/>
    <w:rsid w:val="00132EC2"/>
    <w:rsid w:val="001342D5"/>
    <w:rsid w:val="00135FFC"/>
    <w:rsid w:val="00136362"/>
    <w:rsid w:val="00137CC7"/>
    <w:rsid w:val="00140CC8"/>
    <w:rsid w:val="001415A5"/>
    <w:rsid w:val="00141BC1"/>
    <w:rsid w:val="00141DA1"/>
    <w:rsid w:val="00143207"/>
    <w:rsid w:val="00143ACB"/>
    <w:rsid w:val="001451C5"/>
    <w:rsid w:val="0014777A"/>
    <w:rsid w:val="001507C2"/>
    <w:rsid w:val="00150E7E"/>
    <w:rsid w:val="00151E2D"/>
    <w:rsid w:val="0016026E"/>
    <w:rsid w:val="001604A9"/>
    <w:rsid w:val="00165CA8"/>
    <w:rsid w:val="001662F5"/>
    <w:rsid w:val="001668EF"/>
    <w:rsid w:val="00173B79"/>
    <w:rsid w:val="001776A7"/>
    <w:rsid w:val="00182C21"/>
    <w:rsid w:val="001867AC"/>
    <w:rsid w:val="00190023"/>
    <w:rsid w:val="001900C2"/>
    <w:rsid w:val="00190458"/>
    <w:rsid w:val="00190542"/>
    <w:rsid w:val="001928FD"/>
    <w:rsid w:val="00194A9D"/>
    <w:rsid w:val="00195E53"/>
    <w:rsid w:val="00195F65"/>
    <w:rsid w:val="00197D06"/>
    <w:rsid w:val="00197F51"/>
    <w:rsid w:val="001A0641"/>
    <w:rsid w:val="001A2C49"/>
    <w:rsid w:val="001A3C4B"/>
    <w:rsid w:val="001A3F2F"/>
    <w:rsid w:val="001A587B"/>
    <w:rsid w:val="001A5BF2"/>
    <w:rsid w:val="001A5ED6"/>
    <w:rsid w:val="001A77A4"/>
    <w:rsid w:val="001B1476"/>
    <w:rsid w:val="001B152F"/>
    <w:rsid w:val="001B26CA"/>
    <w:rsid w:val="001B2CE4"/>
    <w:rsid w:val="001B351F"/>
    <w:rsid w:val="001B6A10"/>
    <w:rsid w:val="001B71E7"/>
    <w:rsid w:val="001C167B"/>
    <w:rsid w:val="001C1F32"/>
    <w:rsid w:val="001C2A97"/>
    <w:rsid w:val="001C4360"/>
    <w:rsid w:val="001C61AE"/>
    <w:rsid w:val="001C7393"/>
    <w:rsid w:val="001C7549"/>
    <w:rsid w:val="001D083B"/>
    <w:rsid w:val="001D1E76"/>
    <w:rsid w:val="001D2D14"/>
    <w:rsid w:val="001D42B8"/>
    <w:rsid w:val="001D5030"/>
    <w:rsid w:val="001D50EC"/>
    <w:rsid w:val="001D56BE"/>
    <w:rsid w:val="001D62DC"/>
    <w:rsid w:val="001D6CB9"/>
    <w:rsid w:val="001E0085"/>
    <w:rsid w:val="001E02E7"/>
    <w:rsid w:val="001E0947"/>
    <w:rsid w:val="001E0B05"/>
    <w:rsid w:val="001E2A78"/>
    <w:rsid w:val="001E62EF"/>
    <w:rsid w:val="001E7113"/>
    <w:rsid w:val="001F0A2F"/>
    <w:rsid w:val="001F5AA3"/>
    <w:rsid w:val="001F7A9F"/>
    <w:rsid w:val="001F7C52"/>
    <w:rsid w:val="0020208A"/>
    <w:rsid w:val="0020392E"/>
    <w:rsid w:val="002042E8"/>
    <w:rsid w:val="002055CD"/>
    <w:rsid w:val="002071B0"/>
    <w:rsid w:val="002102BF"/>
    <w:rsid w:val="00210BEC"/>
    <w:rsid w:val="00211AB2"/>
    <w:rsid w:val="0021416D"/>
    <w:rsid w:val="00214A0D"/>
    <w:rsid w:val="002201B7"/>
    <w:rsid w:val="00220B41"/>
    <w:rsid w:val="00224345"/>
    <w:rsid w:val="00224BDA"/>
    <w:rsid w:val="00225A33"/>
    <w:rsid w:val="002264A1"/>
    <w:rsid w:val="0023403E"/>
    <w:rsid w:val="00237874"/>
    <w:rsid w:val="002379DD"/>
    <w:rsid w:val="002400D2"/>
    <w:rsid w:val="002404B8"/>
    <w:rsid w:val="00240812"/>
    <w:rsid w:val="00241BA7"/>
    <w:rsid w:val="00241DF1"/>
    <w:rsid w:val="0024229B"/>
    <w:rsid w:val="00242C93"/>
    <w:rsid w:val="0024375C"/>
    <w:rsid w:val="002467DD"/>
    <w:rsid w:val="002506BC"/>
    <w:rsid w:val="00251EE5"/>
    <w:rsid w:val="002562B3"/>
    <w:rsid w:val="00256E07"/>
    <w:rsid w:val="00261686"/>
    <w:rsid w:val="00261DBC"/>
    <w:rsid w:val="002661FE"/>
    <w:rsid w:val="00267481"/>
    <w:rsid w:val="00270761"/>
    <w:rsid w:val="00270803"/>
    <w:rsid w:val="00273C57"/>
    <w:rsid w:val="0027448F"/>
    <w:rsid w:val="00281122"/>
    <w:rsid w:val="0028212F"/>
    <w:rsid w:val="002833F8"/>
    <w:rsid w:val="00286CD1"/>
    <w:rsid w:val="00287444"/>
    <w:rsid w:val="00287868"/>
    <w:rsid w:val="00290ED4"/>
    <w:rsid w:val="0029180E"/>
    <w:rsid w:val="00295DA7"/>
    <w:rsid w:val="0029629C"/>
    <w:rsid w:val="002A185F"/>
    <w:rsid w:val="002A1D23"/>
    <w:rsid w:val="002A3E4A"/>
    <w:rsid w:val="002B3B3D"/>
    <w:rsid w:val="002B4921"/>
    <w:rsid w:val="002B5489"/>
    <w:rsid w:val="002B5FD0"/>
    <w:rsid w:val="002B6CB0"/>
    <w:rsid w:val="002B7F45"/>
    <w:rsid w:val="002C4B16"/>
    <w:rsid w:val="002C5221"/>
    <w:rsid w:val="002C6AE5"/>
    <w:rsid w:val="002D15C5"/>
    <w:rsid w:val="002D3CF7"/>
    <w:rsid w:val="002D4007"/>
    <w:rsid w:val="002D51C6"/>
    <w:rsid w:val="002E074F"/>
    <w:rsid w:val="002E100E"/>
    <w:rsid w:val="002E1472"/>
    <w:rsid w:val="002E4A79"/>
    <w:rsid w:val="002F0819"/>
    <w:rsid w:val="002F1FE5"/>
    <w:rsid w:val="002F3446"/>
    <w:rsid w:val="002F380A"/>
    <w:rsid w:val="002F3FBE"/>
    <w:rsid w:val="002F4C41"/>
    <w:rsid w:val="00301D7E"/>
    <w:rsid w:val="00302190"/>
    <w:rsid w:val="00302B5E"/>
    <w:rsid w:val="0030421D"/>
    <w:rsid w:val="0030431B"/>
    <w:rsid w:val="00310DFC"/>
    <w:rsid w:val="00310F20"/>
    <w:rsid w:val="00311276"/>
    <w:rsid w:val="003128D1"/>
    <w:rsid w:val="0031352A"/>
    <w:rsid w:val="00314236"/>
    <w:rsid w:val="003162C2"/>
    <w:rsid w:val="00316D8B"/>
    <w:rsid w:val="00317193"/>
    <w:rsid w:val="00317212"/>
    <w:rsid w:val="00317BD0"/>
    <w:rsid w:val="00317CCE"/>
    <w:rsid w:val="00320F6F"/>
    <w:rsid w:val="00324B34"/>
    <w:rsid w:val="003260D8"/>
    <w:rsid w:val="00330114"/>
    <w:rsid w:val="003329F9"/>
    <w:rsid w:val="003339E6"/>
    <w:rsid w:val="00333B25"/>
    <w:rsid w:val="00343BA9"/>
    <w:rsid w:val="0034724E"/>
    <w:rsid w:val="00352710"/>
    <w:rsid w:val="00355508"/>
    <w:rsid w:val="003558EB"/>
    <w:rsid w:val="00356974"/>
    <w:rsid w:val="0035792B"/>
    <w:rsid w:val="0036212D"/>
    <w:rsid w:val="0036395F"/>
    <w:rsid w:val="00366D35"/>
    <w:rsid w:val="00367898"/>
    <w:rsid w:val="00367ECC"/>
    <w:rsid w:val="003705D4"/>
    <w:rsid w:val="0037083C"/>
    <w:rsid w:val="00370BCC"/>
    <w:rsid w:val="00371673"/>
    <w:rsid w:val="003807DB"/>
    <w:rsid w:val="00380B89"/>
    <w:rsid w:val="00386A66"/>
    <w:rsid w:val="00386B11"/>
    <w:rsid w:val="003875D0"/>
    <w:rsid w:val="00387F3F"/>
    <w:rsid w:val="0039348F"/>
    <w:rsid w:val="00395894"/>
    <w:rsid w:val="00395F6A"/>
    <w:rsid w:val="00396C9E"/>
    <w:rsid w:val="00397DDB"/>
    <w:rsid w:val="003A1DC2"/>
    <w:rsid w:val="003A1E32"/>
    <w:rsid w:val="003A30BF"/>
    <w:rsid w:val="003A4273"/>
    <w:rsid w:val="003A4540"/>
    <w:rsid w:val="003A5D7E"/>
    <w:rsid w:val="003B3775"/>
    <w:rsid w:val="003C378D"/>
    <w:rsid w:val="003C6970"/>
    <w:rsid w:val="003C6DD9"/>
    <w:rsid w:val="003D0BE1"/>
    <w:rsid w:val="003D1587"/>
    <w:rsid w:val="003D1974"/>
    <w:rsid w:val="003D32EF"/>
    <w:rsid w:val="003D47C1"/>
    <w:rsid w:val="003D5CD3"/>
    <w:rsid w:val="003D665A"/>
    <w:rsid w:val="003D7DA6"/>
    <w:rsid w:val="003E2614"/>
    <w:rsid w:val="003E3DBA"/>
    <w:rsid w:val="003E49AE"/>
    <w:rsid w:val="003E4F31"/>
    <w:rsid w:val="003E50EE"/>
    <w:rsid w:val="003E66C4"/>
    <w:rsid w:val="003F1B25"/>
    <w:rsid w:val="003F1C92"/>
    <w:rsid w:val="003F20CD"/>
    <w:rsid w:val="003F2275"/>
    <w:rsid w:val="003F3D91"/>
    <w:rsid w:val="003F48C3"/>
    <w:rsid w:val="003F58DD"/>
    <w:rsid w:val="003F737F"/>
    <w:rsid w:val="00400A14"/>
    <w:rsid w:val="004016F5"/>
    <w:rsid w:val="00403003"/>
    <w:rsid w:val="00403271"/>
    <w:rsid w:val="004034AE"/>
    <w:rsid w:val="00406318"/>
    <w:rsid w:val="0040686C"/>
    <w:rsid w:val="004069DB"/>
    <w:rsid w:val="00406EE9"/>
    <w:rsid w:val="004108B8"/>
    <w:rsid w:val="004147EE"/>
    <w:rsid w:val="00415A6E"/>
    <w:rsid w:val="00417BC2"/>
    <w:rsid w:val="00420F85"/>
    <w:rsid w:val="00421D50"/>
    <w:rsid w:val="00423224"/>
    <w:rsid w:val="004232D9"/>
    <w:rsid w:val="004237BA"/>
    <w:rsid w:val="00423B6F"/>
    <w:rsid w:val="00430EF1"/>
    <w:rsid w:val="0043530F"/>
    <w:rsid w:val="00445E6C"/>
    <w:rsid w:val="00446347"/>
    <w:rsid w:val="0044782C"/>
    <w:rsid w:val="00451F98"/>
    <w:rsid w:val="004543D6"/>
    <w:rsid w:val="00455AE2"/>
    <w:rsid w:val="00456A25"/>
    <w:rsid w:val="00456D5B"/>
    <w:rsid w:val="00460161"/>
    <w:rsid w:val="004603F5"/>
    <w:rsid w:val="00462DC2"/>
    <w:rsid w:val="004654D9"/>
    <w:rsid w:val="00467760"/>
    <w:rsid w:val="00471849"/>
    <w:rsid w:val="00474D89"/>
    <w:rsid w:val="00476D22"/>
    <w:rsid w:val="00480DC5"/>
    <w:rsid w:val="00480E8D"/>
    <w:rsid w:val="00481684"/>
    <w:rsid w:val="0049057D"/>
    <w:rsid w:val="00491858"/>
    <w:rsid w:val="00492070"/>
    <w:rsid w:val="00492910"/>
    <w:rsid w:val="00493741"/>
    <w:rsid w:val="0049393D"/>
    <w:rsid w:val="00493C92"/>
    <w:rsid w:val="0049485C"/>
    <w:rsid w:val="00496199"/>
    <w:rsid w:val="004961C1"/>
    <w:rsid w:val="00496230"/>
    <w:rsid w:val="00496CE1"/>
    <w:rsid w:val="004970BD"/>
    <w:rsid w:val="004A0473"/>
    <w:rsid w:val="004A4F71"/>
    <w:rsid w:val="004A6479"/>
    <w:rsid w:val="004A6DFD"/>
    <w:rsid w:val="004B24A5"/>
    <w:rsid w:val="004B64C6"/>
    <w:rsid w:val="004B7DA5"/>
    <w:rsid w:val="004C15AC"/>
    <w:rsid w:val="004C1B43"/>
    <w:rsid w:val="004C2620"/>
    <w:rsid w:val="004C298F"/>
    <w:rsid w:val="004D228E"/>
    <w:rsid w:val="004D2680"/>
    <w:rsid w:val="004D3ACA"/>
    <w:rsid w:val="004D698E"/>
    <w:rsid w:val="004E02AC"/>
    <w:rsid w:val="004E1F84"/>
    <w:rsid w:val="004E5A74"/>
    <w:rsid w:val="004E6B89"/>
    <w:rsid w:val="004E7FFE"/>
    <w:rsid w:val="004F353C"/>
    <w:rsid w:val="004F4B7B"/>
    <w:rsid w:val="00500C1F"/>
    <w:rsid w:val="00501CC4"/>
    <w:rsid w:val="0050609B"/>
    <w:rsid w:val="00507572"/>
    <w:rsid w:val="00507AE4"/>
    <w:rsid w:val="00513559"/>
    <w:rsid w:val="00516772"/>
    <w:rsid w:val="00516D63"/>
    <w:rsid w:val="005214FB"/>
    <w:rsid w:val="00521AF6"/>
    <w:rsid w:val="00521D1F"/>
    <w:rsid w:val="00524632"/>
    <w:rsid w:val="00525D93"/>
    <w:rsid w:val="0053172A"/>
    <w:rsid w:val="00533587"/>
    <w:rsid w:val="00534797"/>
    <w:rsid w:val="00534841"/>
    <w:rsid w:val="00534DA3"/>
    <w:rsid w:val="00534E92"/>
    <w:rsid w:val="00535CD6"/>
    <w:rsid w:val="00545C3F"/>
    <w:rsid w:val="00547754"/>
    <w:rsid w:val="00547A59"/>
    <w:rsid w:val="00550073"/>
    <w:rsid w:val="00551867"/>
    <w:rsid w:val="00553897"/>
    <w:rsid w:val="00560BEC"/>
    <w:rsid w:val="00575452"/>
    <w:rsid w:val="00575559"/>
    <w:rsid w:val="0057588C"/>
    <w:rsid w:val="00576FC1"/>
    <w:rsid w:val="00577FB8"/>
    <w:rsid w:val="00580CCD"/>
    <w:rsid w:val="00583387"/>
    <w:rsid w:val="005833CB"/>
    <w:rsid w:val="00584EAD"/>
    <w:rsid w:val="00585503"/>
    <w:rsid w:val="00587468"/>
    <w:rsid w:val="005876E0"/>
    <w:rsid w:val="00587F01"/>
    <w:rsid w:val="005904E3"/>
    <w:rsid w:val="005907CB"/>
    <w:rsid w:val="00594B43"/>
    <w:rsid w:val="00596B8E"/>
    <w:rsid w:val="005A0E44"/>
    <w:rsid w:val="005A10B6"/>
    <w:rsid w:val="005A5662"/>
    <w:rsid w:val="005A679F"/>
    <w:rsid w:val="005A77C8"/>
    <w:rsid w:val="005A7F35"/>
    <w:rsid w:val="005B0789"/>
    <w:rsid w:val="005B0B4E"/>
    <w:rsid w:val="005B3B64"/>
    <w:rsid w:val="005B7BD0"/>
    <w:rsid w:val="005C1E24"/>
    <w:rsid w:val="005C28A1"/>
    <w:rsid w:val="005C2B63"/>
    <w:rsid w:val="005C3BB2"/>
    <w:rsid w:val="005C43CE"/>
    <w:rsid w:val="005D101C"/>
    <w:rsid w:val="005D1990"/>
    <w:rsid w:val="005D1CB7"/>
    <w:rsid w:val="005D35A1"/>
    <w:rsid w:val="005D4FD2"/>
    <w:rsid w:val="005D5165"/>
    <w:rsid w:val="005D579B"/>
    <w:rsid w:val="005E00D1"/>
    <w:rsid w:val="005E1D7F"/>
    <w:rsid w:val="005E2A21"/>
    <w:rsid w:val="005E2F63"/>
    <w:rsid w:val="005E4138"/>
    <w:rsid w:val="005E57DC"/>
    <w:rsid w:val="005E6B5B"/>
    <w:rsid w:val="005F2668"/>
    <w:rsid w:val="005F4D41"/>
    <w:rsid w:val="005F70CC"/>
    <w:rsid w:val="005F7CA0"/>
    <w:rsid w:val="006003F3"/>
    <w:rsid w:val="006004D1"/>
    <w:rsid w:val="00604163"/>
    <w:rsid w:val="00607D93"/>
    <w:rsid w:val="006101FF"/>
    <w:rsid w:val="00610840"/>
    <w:rsid w:val="006151BB"/>
    <w:rsid w:val="00615C4B"/>
    <w:rsid w:val="006172A4"/>
    <w:rsid w:val="00621646"/>
    <w:rsid w:val="0062255A"/>
    <w:rsid w:val="00622D33"/>
    <w:rsid w:val="00622FC4"/>
    <w:rsid w:val="00632338"/>
    <w:rsid w:val="0063422B"/>
    <w:rsid w:val="0063706B"/>
    <w:rsid w:val="00637629"/>
    <w:rsid w:val="006404CD"/>
    <w:rsid w:val="0064658C"/>
    <w:rsid w:val="006465FD"/>
    <w:rsid w:val="006509AE"/>
    <w:rsid w:val="00655E1F"/>
    <w:rsid w:val="00656F5F"/>
    <w:rsid w:val="006574E4"/>
    <w:rsid w:val="006630B2"/>
    <w:rsid w:val="00663A86"/>
    <w:rsid w:val="0066591D"/>
    <w:rsid w:val="00665F05"/>
    <w:rsid w:val="00670531"/>
    <w:rsid w:val="00670965"/>
    <w:rsid w:val="0067280E"/>
    <w:rsid w:val="00680819"/>
    <w:rsid w:val="00680E3C"/>
    <w:rsid w:val="00682AA2"/>
    <w:rsid w:val="00683138"/>
    <w:rsid w:val="006833E8"/>
    <w:rsid w:val="006853D0"/>
    <w:rsid w:val="00687391"/>
    <w:rsid w:val="00690567"/>
    <w:rsid w:val="00696A10"/>
    <w:rsid w:val="0069703D"/>
    <w:rsid w:val="006A5E62"/>
    <w:rsid w:val="006A7270"/>
    <w:rsid w:val="006B3387"/>
    <w:rsid w:val="006B4F16"/>
    <w:rsid w:val="006B5758"/>
    <w:rsid w:val="006B6CA7"/>
    <w:rsid w:val="006B7698"/>
    <w:rsid w:val="006C0099"/>
    <w:rsid w:val="006C0640"/>
    <w:rsid w:val="006C2D1A"/>
    <w:rsid w:val="006C41F3"/>
    <w:rsid w:val="006C456E"/>
    <w:rsid w:val="006C519B"/>
    <w:rsid w:val="006C7364"/>
    <w:rsid w:val="006C7712"/>
    <w:rsid w:val="006C7CB9"/>
    <w:rsid w:val="006D0A8C"/>
    <w:rsid w:val="006D0C5B"/>
    <w:rsid w:val="006D170D"/>
    <w:rsid w:val="006D32E1"/>
    <w:rsid w:val="006D3C3E"/>
    <w:rsid w:val="006D489E"/>
    <w:rsid w:val="006D648F"/>
    <w:rsid w:val="006D73B7"/>
    <w:rsid w:val="006D7BC2"/>
    <w:rsid w:val="006E0BB1"/>
    <w:rsid w:val="006E2592"/>
    <w:rsid w:val="006E2AB6"/>
    <w:rsid w:val="006E2B53"/>
    <w:rsid w:val="006E2E4E"/>
    <w:rsid w:val="006E2FF3"/>
    <w:rsid w:val="006E3EAE"/>
    <w:rsid w:val="006E73C8"/>
    <w:rsid w:val="006E7852"/>
    <w:rsid w:val="006F03CA"/>
    <w:rsid w:val="006F0748"/>
    <w:rsid w:val="006F12FD"/>
    <w:rsid w:val="006F141F"/>
    <w:rsid w:val="006F27B5"/>
    <w:rsid w:val="006F2E8B"/>
    <w:rsid w:val="006F6648"/>
    <w:rsid w:val="006F69F6"/>
    <w:rsid w:val="00703045"/>
    <w:rsid w:val="00703381"/>
    <w:rsid w:val="007051F1"/>
    <w:rsid w:val="007073BA"/>
    <w:rsid w:val="007078BB"/>
    <w:rsid w:val="0071150B"/>
    <w:rsid w:val="00712C2B"/>
    <w:rsid w:val="00712FEC"/>
    <w:rsid w:val="007132A5"/>
    <w:rsid w:val="007137B8"/>
    <w:rsid w:val="0071630E"/>
    <w:rsid w:val="007219A9"/>
    <w:rsid w:val="0072606E"/>
    <w:rsid w:val="0072783D"/>
    <w:rsid w:val="0073009A"/>
    <w:rsid w:val="0073105A"/>
    <w:rsid w:val="007323BE"/>
    <w:rsid w:val="00733865"/>
    <w:rsid w:val="007350DE"/>
    <w:rsid w:val="007354D0"/>
    <w:rsid w:val="00735528"/>
    <w:rsid w:val="00736835"/>
    <w:rsid w:val="007378DA"/>
    <w:rsid w:val="00740236"/>
    <w:rsid w:val="007424FB"/>
    <w:rsid w:val="00742C59"/>
    <w:rsid w:val="0074740D"/>
    <w:rsid w:val="007529D5"/>
    <w:rsid w:val="007533EC"/>
    <w:rsid w:val="00754D05"/>
    <w:rsid w:val="00756D8C"/>
    <w:rsid w:val="0075724A"/>
    <w:rsid w:val="007574FD"/>
    <w:rsid w:val="00760579"/>
    <w:rsid w:val="00761EBB"/>
    <w:rsid w:val="007625E9"/>
    <w:rsid w:val="00763797"/>
    <w:rsid w:val="0076445A"/>
    <w:rsid w:val="007703F8"/>
    <w:rsid w:val="007742C3"/>
    <w:rsid w:val="00775305"/>
    <w:rsid w:val="00775878"/>
    <w:rsid w:val="00775E66"/>
    <w:rsid w:val="0077701F"/>
    <w:rsid w:val="00781707"/>
    <w:rsid w:val="00781819"/>
    <w:rsid w:val="00785C76"/>
    <w:rsid w:val="00785C90"/>
    <w:rsid w:val="00787CCE"/>
    <w:rsid w:val="007908FF"/>
    <w:rsid w:val="00790F8F"/>
    <w:rsid w:val="00791BBD"/>
    <w:rsid w:val="007926C9"/>
    <w:rsid w:val="00792BC1"/>
    <w:rsid w:val="00794C76"/>
    <w:rsid w:val="007951C7"/>
    <w:rsid w:val="00795F7C"/>
    <w:rsid w:val="00796E55"/>
    <w:rsid w:val="007A21E9"/>
    <w:rsid w:val="007A429A"/>
    <w:rsid w:val="007A499E"/>
    <w:rsid w:val="007A4D72"/>
    <w:rsid w:val="007A784C"/>
    <w:rsid w:val="007B0A2D"/>
    <w:rsid w:val="007B0CAB"/>
    <w:rsid w:val="007B0E62"/>
    <w:rsid w:val="007B103F"/>
    <w:rsid w:val="007B2334"/>
    <w:rsid w:val="007B249D"/>
    <w:rsid w:val="007B2E24"/>
    <w:rsid w:val="007B3D3B"/>
    <w:rsid w:val="007B64F0"/>
    <w:rsid w:val="007C12CB"/>
    <w:rsid w:val="007C1A9E"/>
    <w:rsid w:val="007C1D16"/>
    <w:rsid w:val="007C334E"/>
    <w:rsid w:val="007C57CF"/>
    <w:rsid w:val="007D20EF"/>
    <w:rsid w:val="007D211F"/>
    <w:rsid w:val="007D28E6"/>
    <w:rsid w:val="007D5E92"/>
    <w:rsid w:val="007D70C7"/>
    <w:rsid w:val="007D7528"/>
    <w:rsid w:val="007E03B0"/>
    <w:rsid w:val="007E15D0"/>
    <w:rsid w:val="007E4BDA"/>
    <w:rsid w:val="007E5BD3"/>
    <w:rsid w:val="007E5BF6"/>
    <w:rsid w:val="007E6040"/>
    <w:rsid w:val="007E7852"/>
    <w:rsid w:val="007E79C9"/>
    <w:rsid w:val="007F2BB7"/>
    <w:rsid w:val="007F34C6"/>
    <w:rsid w:val="007F3EBB"/>
    <w:rsid w:val="007F6C45"/>
    <w:rsid w:val="008014B1"/>
    <w:rsid w:val="0080294E"/>
    <w:rsid w:val="0080408B"/>
    <w:rsid w:val="00804D0F"/>
    <w:rsid w:val="0080528A"/>
    <w:rsid w:val="00805744"/>
    <w:rsid w:val="0081067A"/>
    <w:rsid w:val="00810E62"/>
    <w:rsid w:val="00815F5A"/>
    <w:rsid w:val="008168C2"/>
    <w:rsid w:val="00821ADC"/>
    <w:rsid w:val="008227D0"/>
    <w:rsid w:val="00824538"/>
    <w:rsid w:val="00827118"/>
    <w:rsid w:val="00827931"/>
    <w:rsid w:val="00827EF5"/>
    <w:rsid w:val="00830200"/>
    <w:rsid w:val="00831205"/>
    <w:rsid w:val="0083182D"/>
    <w:rsid w:val="008321AE"/>
    <w:rsid w:val="00832907"/>
    <w:rsid w:val="00833454"/>
    <w:rsid w:val="0083470C"/>
    <w:rsid w:val="008354B3"/>
    <w:rsid w:val="00836AAC"/>
    <w:rsid w:val="008401CD"/>
    <w:rsid w:val="0084022D"/>
    <w:rsid w:val="00840D1F"/>
    <w:rsid w:val="00840EC9"/>
    <w:rsid w:val="008417AF"/>
    <w:rsid w:val="0084222C"/>
    <w:rsid w:val="00844CA0"/>
    <w:rsid w:val="00847997"/>
    <w:rsid w:val="00850A2B"/>
    <w:rsid w:val="00853467"/>
    <w:rsid w:val="00853DAD"/>
    <w:rsid w:val="0085491D"/>
    <w:rsid w:val="008553B4"/>
    <w:rsid w:val="00856267"/>
    <w:rsid w:val="008578C3"/>
    <w:rsid w:val="00861D66"/>
    <w:rsid w:val="0086256C"/>
    <w:rsid w:val="00866402"/>
    <w:rsid w:val="00867146"/>
    <w:rsid w:val="00871B0D"/>
    <w:rsid w:val="00871DAC"/>
    <w:rsid w:val="0087306D"/>
    <w:rsid w:val="008738C1"/>
    <w:rsid w:val="00874EFD"/>
    <w:rsid w:val="00880C13"/>
    <w:rsid w:val="00883F22"/>
    <w:rsid w:val="00885688"/>
    <w:rsid w:val="00886951"/>
    <w:rsid w:val="00887A10"/>
    <w:rsid w:val="00890920"/>
    <w:rsid w:val="008939F0"/>
    <w:rsid w:val="00894E4F"/>
    <w:rsid w:val="00896FBD"/>
    <w:rsid w:val="008A1C88"/>
    <w:rsid w:val="008A6DD9"/>
    <w:rsid w:val="008B1BCA"/>
    <w:rsid w:val="008B2A3F"/>
    <w:rsid w:val="008B3512"/>
    <w:rsid w:val="008B3782"/>
    <w:rsid w:val="008B4606"/>
    <w:rsid w:val="008C0525"/>
    <w:rsid w:val="008C0D71"/>
    <w:rsid w:val="008C1258"/>
    <w:rsid w:val="008C16C9"/>
    <w:rsid w:val="008C1912"/>
    <w:rsid w:val="008C316D"/>
    <w:rsid w:val="008C6846"/>
    <w:rsid w:val="008C7857"/>
    <w:rsid w:val="008C7964"/>
    <w:rsid w:val="008D009C"/>
    <w:rsid w:val="008D11AD"/>
    <w:rsid w:val="008D518E"/>
    <w:rsid w:val="008D5A99"/>
    <w:rsid w:val="008D5AE6"/>
    <w:rsid w:val="008D69C0"/>
    <w:rsid w:val="008D6CAA"/>
    <w:rsid w:val="008E10C3"/>
    <w:rsid w:val="008E11D2"/>
    <w:rsid w:val="008E1BED"/>
    <w:rsid w:val="008E7665"/>
    <w:rsid w:val="008F01B3"/>
    <w:rsid w:val="008F08C7"/>
    <w:rsid w:val="008F1F19"/>
    <w:rsid w:val="008F2984"/>
    <w:rsid w:val="008F2FDA"/>
    <w:rsid w:val="008F30D1"/>
    <w:rsid w:val="008F37DE"/>
    <w:rsid w:val="008F5EDF"/>
    <w:rsid w:val="008F7880"/>
    <w:rsid w:val="008F7F5C"/>
    <w:rsid w:val="009008A0"/>
    <w:rsid w:val="009027AB"/>
    <w:rsid w:val="009037FD"/>
    <w:rsid w:val="00907A8E"/>
    <w:rsid w:val="00910CC7"/>
    <w:rsid w:val="00913FEF"/>
    <w:rsid w:val="009177A0"/>
    <w:rsid w:val="00920A7C"/>
    <w:rsid w:val="00920E35"/>
    <w:rsid w:val="00920F07"/>
    <w:rsid w:val="009250D5"/>
    <w:rsid w:val="009253EE"/>
    <w:rsid w:val="009265C8"/>
    <w:rsid w:val="00926830"/>
    <w:rsid w:val="00926B00"/>
    <w:rsid w:val="00926DC3"/>
    <w:rsid w:val="0093090C"/>
    <w:rsid w:val="009333B1"/>
    <w:rsid w:val="00935B27"/>
    <w:rsid w:val="009406F8"/>
    <w:rsid w:val="00940748"/>
    <w:rsid w:val="0094194C"/>
    <w:rsid w:val="00945D51"/>
    <w:rsid w:val="00945DE1"/>
    <w:rsid w:val="0094751F"/>
    <w:rsid w:val="009525B2"/>
    <w:rsid w:val="00953472"/>
    <w:rsid w:val="00953A02"/>
    <w:rsid w:val="0095409D"/>
    <w:rsid w:val="0096075E"/>
    <w:rsid w:val="00960AFC"/>
    <w:rsid w:val="00962397"/>
    <w:rsid w:val="009624B5"/>
    <w:rsid w:val="009652EC"/>
    <w:rsid w:val="00965347"/>
    <w:rsid w:val="00965363"/>
    <w:rsid w:val="00972330"/>
    <w:rsid w:val="009733A5"/>
    <w:rsid w:val="009759FA"/>
    <w:rsid w:val="0098095F"/>
    <w:rsid w:val="00981820"/>
    <w:rsid w:val="00983443"/>
    <w:rsid w:val="009859D9"/>
    <w:rsid w:val="00985D85"/>
    <w:rsid w:val="00986BAB"/>
    <w:rsid w:val="009907FC"/>
    <w:rsid w:val="00990D4A"/>
    <w:rsid w:val="00991C5A"/>
    <w:rsid w:val="009929A5"/>
    <w:rsid w:val="009934D0"/>
    <w:rsid w:val="00994E3F"/>
    <w:rsid w:val="009964EE"/>
    <w:rsid w:val="00996721"/>
    <w:rsid w:val="0099747A"/>
    <w:rsid w:val="009976BD"/>
    <w:rsid w:val="009A0E0E"/>
    <w:rsid w:val="009A1C71"/>
    <w:rsid w:val="009A1D37"/>
    <w:rsid w:val="009A3DDC"/>
    <w:rsid w:val="009A48EB"/>
    <w:rsid w:val="009A5005"/>
    <w:rsid w:val="009A5AFC"/>
    <w:rsid w:val="009A6397"/>
    <w:rsid w:val="009B47A2"/>
    <w:rsid w:val="009B4AC4"/>
    <w:rsid w:val="009B598A"/>
    <w:rsid w:val="009B5D73"/>
    <w:rsid w:val="009B6F4C"/>
    <w:rsid w:val="009B7A37"/>
    <w:rsid w:val="009C31A6"/>
    <w:rsid w:val="009C7389"/>
    <w:rsid w:val="009D162B"/>
    <w:rsid w:val="009D2998"/>
    <w:rsid w:val="009D3C30"/>
    <w:rsid w:val="009D6C4E"/>
    <w:rsid w:val="009E09D9"/>
    <w:rsid w:val="009E19C5"/>
    <w:rsid w:val="009E3655"/>
    <w:rsid w:val="009E4ED4"/>
    <w:rsid w:val="009E7FB1"/>
    <w:rsid w:val="009F069F"/>
    <w:rsid w:val="009F31F7"/>
    <w:rsid w:val="009F3452"/>
    <w:rsid w:val="009F3980"/>
    <w:rsid w:val="009F44BD"/>
    <w:rsid w:val="00A0007C"/>
    <w:rsid w:val="00A001EB"/>
    <w:rsid w:val="00A04364"/>
    <w:rsid w:val="00A07DEF"/>
    <w:rsid w:val="00A10FB6"/>
    <w:rsid w:val="00A12CB8"/>
    <w:rsid w:val="00A13C77"/>
    <w:rsid w:val="00A1594A"/>
    <w:rsid w:val="00A21556"/>
    <w:rsid w:val="00A2188C"/>
    <w:rsid w:val="00A21BAC"/>
    <w:rsid w:val="00A25B71"/>
    <w:rsid w:val="00A25CFB"/>
    <w:rsid w:val="00A2682E"/>
    <w:rsid w:val="00A26ED5"/>
    <w:rsid w:val="00A32A24"/>
    <w:rsid w:val="00A333F8"/>
    <w:rsid w:val="00A3440F"/>
    <w:rsid w:val="00A34643"/>
    <w:rsid w:val="00A34C73"/>
    <w:rsid w:val="00A40073"/>
    <w:rsid w:val="00A41496"/>
    <w:rsid w:val="00A4434C"/>
    <w:rsid w:val="00A51DA3"/>
    <w:rsid w:val="00A51DA8"/>
    <w:rsid w:val="00A53BDE"/>
    <w:rsid w:val="00A54F7A"/>
    <w:rsid w:val="00A5537C"/>
    <w:rsid w:val="00A5627E"/>
    <w:rsid w:val="00A57C0B"/>
    <w:rsid w:val="00A6056C"/>
    <w:rsid w:val="00A60891"/>
    <w:rsid w:val="00A608A1"/>
    <w:rsid w:val="00A610BA"/>
    <w:rsid w:val="00A63EDA"/>
    <w:rsid w:val="00A63FB5"/>
    <w:rsid w:val="00A70CC6"/>
    <w:rsid w:val="00A72E9C"/>
    <w:rsid w:val="00A751C0"/>
    <w:rsid w:val="00A80DF6"/>
    <w:rsid w:val="00A81898"/>
    <w:rsid w:val="00A831BC"/>
    <w:rsid w:val="00A859C7"/>
    <w:rsid w:val="00A86C5F"/>
    <w:rsid w:val="00A86DD7"/>
    <w:rsid w:val="00A871E4"/>
    <w:rsid w:val="00A909B3"/>
    <w:rsid w:val="00A928D3"/>
    <w:rsid w:val="00A9319D"/>
    <w:rsid w:val="00A95151"/>
    <w:rsid w:val="00A95F83"/>
    <w:rsid w:val="00A96C6C"/>
    <w:rsid w:val="00AA0BA7"/>
    <w:rsid w:val="00AA0BB7"/>
    <w:rsid w:val="00AA0E43"/>
    <w:rsid w:val="00AA2379"/>
    <w:rsid w:val="00AA3682"/>
    <w:rsid w:val="00AA39B9"/>
    <w:rsid w:val="00AA3CBB"/>
    <w:rsid w:val="00AA6525"/>
    <w:rsid w:val="00AB0F9E"/>
    <w:rsid w:val="00AC157B"/>
    <w:rsid w:val="00AC3555"/>
    <w:rsid w:val="00AD2540"/>
    <w:rsid w:val="00AD26D6"/>
    <w:rsid w:val="00AD2722"/>
    <w:rsid w:val="00AD2DA5"/>
    <w:rsid w:val="00AD3838"/>
    <w:rsid w:val="00AD5791"/>
    <w:rsid w:val="00AD7AE3"/>
    <w:rsid w:val="00AE021F"/>
    <w:rsid w:val="00AE13DA"/>
    <w:rsid w:val="00AE2236"/>
    <w:rsid w:val="00AE2878"/>
    <w:rsid w:val="00AE5FA2"/>
    <w:rsid w:val="00AF02F3"/>
    <w:rsid w:val="00AF03A2"/>
    <w:rsid w:val="00AF1C0F"/>
    <w:rsid w:val="00AF2DB4"/>
    <w:rsid w:val="00AF38D2"/>
    <w:rsid w:val="00AF5B03"/>
    <w:rsid w:val="00AF6485"/>
    <w:rsid w:val="00AF6BC9"/>
    <w:rsid w:val="00B0087E"/>
    <w:rsid w:val="00B03394"/>
    <w:rsid w:val="00B03BD0"/>
    <w:rsid w:val="00B04D55"/>
    <w:rsid w:val="00B04FE7"/>
    <w:rsid w:val="00B05DCC"/>
    <w:rsid w:val="00B10736"/>
    <w:rsid w:val="00B13392"/>
    <w:rsid w:val="00B14685"/>
    <w:rsid w:val="00B1739C"/>
    <w:rsid w:val="00B20ADD"/>
    <w:rsid w:val="00B2229A"/>
    <w:rsid w:val="00B247CE"/>
    <w:rsid w:val="00B24B21"/>
    <w:rsid w:val="00B24FAE"/>
    <w:rsid w:val="00B25EA1"/>
    <w:rsid w:val="00B262A6"/>
    <w:rsid w:val="00B26DB3"/>
    <w:rsid w:val="00B30B35"/>
    <w:rsid w:val="00B320D0"/>
    <w:rsid w:val="00B3586B"/>
    <w:rsid w:val="00B362AA"/>
    <w:rsid w:val="00B412B8"/>
    <w:rsid w:val="00B417FE"/>
    <w:rsid w:val="00B41A8C"/>
    <w:rsid w:val="00B43F7E"/>
    <w:rsid w:val="00B467B7"/>
    <w:rsid w:val="00B506AF"/>
    <w:rsid w:val="00B518DD"/>
    <w:rsid w:val="00B5331F"/>
    <w:rsid w:val="00B549BC"/>
    <w:rsid w:val="00B55FB2"/>
    <w:rsid w:val="00B57137"/>
    <w:rsid w:val="00B600DD"/>
    <w:rsid w:val="00B60673"/>
    <w:rsid w:val="00B606C4"/>
    <w:rsid w:val="00B6165F"/>
    <w:rsid w:val="00B632E4"/>
    <w:rsid w:val="00B64C3F"/>
    <w:rsid w:val="00B67F1B"/>
    <w:rsid w:val="00B7007C"/>
    <w:rsid w:val="00B717FD"/>
    <w:rsid w:val="00B723D8"/>
    <w:rsid w:val="00B727AC"/>
    <w:rsid w:val="00B738A6"/>
    <w:rsid w:val="00B73A8F"/>
    <w:rsid w:val="00B74055"/>
    <w:rsid w:val="00B74634"/>
    <w:rsid w:val="00B74F8F"/>
    <w:rsid w:val="00B81EBC"/>
    <w:rsid w:val="00B865C3"/>
    <w:rsid w:val="00B86837"/>
    <w:rsid w:val="00B91008"/>
    <w:rsid w:val="00B9419C"/>
    <w:rsid w:val="00BA181A"/>
    <w:rsid w:val="00BA33C0"/>
    <w:rsid w:val="00BA36AF"/>
    <w:rsid w:val="00BA4C08"/>
    <w:rsid w:val="00BB0D36"/>
    <w:rsid w:val="00BB19B4"/>
    <w:rsid w:val="00BB1C3F"/>
    <w:rsid w:val="00BB401C"/>
    <w:rsid w:val="00BB6DF8"/>
    <w:rsid w:val="00BC0FDB"/>
    <w:rsid w:val="00BC1878"/>
    <w:rsid w:val="00BC2D7C"/>
    <w:rsid w:val="00BC31E5"/>
    <w:rsid w:val="00BC3AFA"/>
    <w:rsid w:val="00BC4468"/>
    <w:rsid w:val="00BC45FD"/>
    <w:rsid w:val="00BD06A6"/>
    <w:rsid w:val="00BD439D"/>
    <w:rsid w:val="00BD5186"/>
    <w:rsid w:val="00BD5C7E"/>
    <w:rsid w:val="00BD7AED"/>
    <w:rsid w:val="00BE2249"/>
    <w:rsid w:val="00BE4575"/>
    <w:rsid w:val="00BE61FD"/>
    <w:rsid w:val="00BE681D"/>
    <w:rsid w:val="00BF4222"/>
    <w:rsid w:val="00BF6A02"/>
    <w:rsid w:val="00C005BE"/>
    <w:rsid w:val="00C04607"/>
    <w:rsid w:val="00C05C8A"/>
    <w:rsid w:val="00C07C3E"/>
    <w:rsid w:val="00C07CD8"/>
    <w:rsid w:val="00C07E47"/>
    <w:rsid w:val="00C12030"/>
    <w:rsid w:val="00C14A14"/>
    <w:rsid w:val="00C14B05"/>
    <w:rsid w:val="00C15989"/>
    <w:rsid w:val="00C15F05"/>
    <w:rsid w:val="00C16934"/>
    <w:rsid w:val="00C177A5"/>
    <w:rsid w:val="00C216DB"/>
    <w:rsid w:val="00C21CCF"/>
    <w:rsid w:val="00C21DD7"/>
    <w:rsid w:val="00C22CD1"/>
    <w:rsid w:val="00C242B0"/>
    <w:rsid w:val="00C262CA"/>
    <w:rsid w:val="00C26BE0"/>
    <w:rsid w:val="00C27AF3"/>
    <w:rsid w:val="00C33396"/>
    <w:rsid w:val="00C338E2"/>
    <w:rsid w:val="00C3632A"/>
    <w:rsid w:val="00C37A93"/>
    <w:rsid w:val="00C40789"/>
    <w:rsid w:val="00C51AFA"/>
    <w:rsid w:val="00C551B8"/>
    <w:rsid w:val="00C573DB"/>
    <w:rsid w:val="00C57C73"/>
    <w:rsid w:val="00C63A54"/>
    <w:rsid w:val="00C72055"/>
    <w:rsid w:val="00C7506E"/>
    <w:rsid w:val="00C76848"/>
    <w:rsid w:val="00C77B75"/>
    <w:rsid w:val="00C80794"/>
    <w:rsid w:val="00C848BA"/>
    <w:rsid w:val="00C848F8"/>
    <w:rsid w:val="00C8580F"/>
    <w:rsid w:val="00C85A1C"/>
    <w:rsid w:val="00C85B07"/>
    <w:rsid w:val="00C90430"/>
    <w:rsid w:val="00C90453"/>
    <w:rsid w:val="00C96E85"/>
    <w:rsid w:val="00C9778A"/>
    <w:rsid w:val="00C97A1B"/>
    <w:rsid w:val="00CA0E46"/>
    <w:rsid w:val="00CA161C"/>
    <w:rsid w:val="00CA3422"/>
    <w:rsid w:val="00CA380A"/>
    <w:rsid w:val="00CA4CA2"/>
    <w:rsid w:val="00CA4DF3"/>
    <w:rsid w:val="00CA6278"/>
    <w:rsid w:val="00CA65AC"/>
    <w:rsid w:val="00CA6E9A"/>
    <w:rsid w:val="00CB204E"/>
    <w:rsid w:val="00CB2CAB"/>
    <w:rsid w:val="00CB2FD0"/>
    <w:rsid w:val="00CB3A1B"/>
    <w:rsid w:val="00CB7596"/>
    <w:rsid w:val="00CC02BD"/>
    <w:rsid w:val="00CC5A1A"/>
    <w:rsid w:val="00CC675C"/>
    <w:rsid w:val="00CC7202"/>
    <w:rsid w:val="00CD1650"/>
    <w:rsid w:val="00CD1D32"/>
    <w:rsid w:val="00CD2B10"/>
    <w:rsid w:val="00CD4136"/>
    <w:rsid w:val="00CD48E6"/>
    <w:rsid w:val="00CD5621"/>
    <w:rsid w:val="00CD5963"/>
    <w:rsid w:val="00CD5FBC"/>
    <w:rsid w:val="00CE1BD7"/>
    <w:rsid w:val="00CE213A"/>
    <w:rsid w:val="00CF1FF3"/>
    <w:rsid w:val="00CF24AA"/>
    <w:rsid w:val="00CF2E2D"/>
    <w:rsid w:val="00CF2E98"/>
    <w:rsid w:val="00CF41AF"/>
    <w:rsid w:val="00CF514C"/>
    <w:rsid w:val="00CF760A"/>
    <w:rsid w:val="00D017D8"/>
    <w:rsid w:val="00D073AA"/>
    <w:rsid w:val="00D101CE"/>
    <w:rsid w:val="00D11D92"/>
    <w:rsid w:val="00D12C36"/>
    <w:rsid w:val="00D14970"/>
    <w:rsid w:val="00D1595B"/>
    <w:rsid w:val="00D165AD"/>
    <w:rsid w:val="00D16D6E"/>
    <w:rsid w:val="00D16E6F"/>
    <w:rsid w:val="00D22B46"/>
    <w:rsid w:val="00D23F47"/>
    <w:rsid w:val="00D25B03"/>
    <w:rsid w:val="00D2695B"/>
    <w:rsid w:val="00D27782"/>
    <w:rsid w:val="00D27FDB"/>
    <w:rsid w:val="00D30E63"/>
    <w:rsid w:val="00D325B6"/>
    <w:rsid w:val="00D33F26"/>
    <w:rsid w:val="00D34532"/>
    <w:rsid w:val="00D3734B"/>
    <w:rsid w:val="00D44C73"/>
    <w:rsid w:val="00D4670D"/>
    <w:rsid w:val="00D47642"/>
    <w:rsid w:val="00D50B33"/>
    <w:rsid w:val="00D5157F"/>
    <w:rsid w:val="00D516B5"/>
    <w:rsid w:val="00D52714"/>
    <w:rsid w:val="00D56C8C"/>
    <w:rsid w:val="00D60B0D"/>
    <w:rsid w:val="00D6193B"/>
    <w:rsid w:val="00D65C9B"/>
    <w:rsid w:val="00D702C2"/>
    <w:rsid w:val="00D71C6D"/>
    <w:rsid w:val="00D74C96"/>
    <w:rsid w:val="00D819C6"/>
    <w:rsid w:val="00D82CA7"/>
    <w:rsid w:val="00D83485"/>
    <w:rsid w:val="00D8520C"/>
    <w:rsid w:val="00D8704A"/>
    <w:rsid w:val="00D870AB"/>
    <w:rsid w:val="00D87F0C"/>
    <w:rsid w:val="00D87F52"/>
    <w:rsid w:val="00D920EE"/>
    <w:rsid w:val="00D93E52"/>
    <w:rsid w:val="00D9441A"/>
    <w:rsid w:val="00D963E2"/>
    <w:rsid w:val="00D974B7"/>
    <w:rsid w:val="00D97C44"/>
    <w:rsid w:val="00DA0DB3"/>
    <w:rsid w:val="00DA0E86"/>
    <w:rsid w:val="00DA2242"/>
    <w:rsid w:val="00DA3A7A"/>
    <w:rsid w:val="00DA5AE7"/>
    <w:rsid w:val="00DA7F1C"/>
    <w:rsid w:val="00DB013D"/>
    <w:rsid w:val="00DB1A05"/>
    <w:rsid w:val="00DB7020"/>
    <w:rsid w:val="00DC0480"/>
    <w:rsid w:val="00DC2861"/>
    <w:rsid w:val="00DC59EE"/>
    <w:rsid w:val="00DC7577"/>
    <w:rsid w:val="00DC7F9D"/>
    <w:rsid w:val="00DD05C8"/>
    <w:rsid w:val="00DE06A2"/>
    <w:rsid w:val="00DE0859"/>
    <w:rsid w:val="00DE1283"/>
    <w:rsid w:val="00DE1838"/>
    <w:rsid w:val="00DE25A7"/>
    <w:rsid w:val="00DE29B8"/>
    <w:rsid w:val="00DE2CB0"/>
    <w:rsid w:val="00DE723D"/>
    <w:rsid w:val="00DE75F0"/>
    <w:rsid w:val="00DF0DE5"/>
    <w:rsid w:val="00DF1C6B"/>
    <w:rsid w:val="00DF5B6A"/>
    <w:rsid w:val="00DF5E67"/>
    <w:rsid w:val="00DF7C76"/>
    <w:rsid w:val="00E01BE4"/>
    <w:rsid w:val="00E02BA0"/>
    <w:rsid w:val="00E05E55"/>
    <w:rsid w:val="00E06630"/>
    <w:rsid w:val="00E118E9"/>
    <w:rsid w:val="00E15339"/>
    <w:rsid w:val="00E1543D"/>
    <w:rsid w:val="00E1618B"/>
    <w:rsid w:val="00E2298A"/>
    <w:rsid w:val="00E22ACB"/>
    <w:rsid w:val="00E257E4"/>
    <w:rsid w:val="00E2596F"/>
    <w:rsid w:val="00E27415"/>
    <w:rsid w:val="00E3065F"/>
    <w:rsid w:val="00E32382"/>
    <w:rsid w:val="00E3423A"/>
    <w:rsid w:val="00E3458F"/>
    <w:rsid w:val="00E34612"/>
    <w:rsid w:val="00E35C19"/>
    <w:rsid w:val="00E35E63"/>
    <w:rsid w:val="00E37A3F"/>
    <w:rsid w:val="00E37BCC"/>
    <w:rsid w:val="00E40016"/>
    <w:rsid w:val="00E40E42"/>
    <w:rsid w:val="00E43147"/>
    <w:rsid w:val="00E43A19"/>
    <w:rsid w:val="00E50979"/>
    <w:rsid w:val="00E5109F"/>
    <w:rsid w:val="00E52AC0"/>
    <w:rsid w:val="00E52F7A"/>
    <w:rsid w:val="00E53949"/>
    <w:rsid w:val="00E53F4A"/>
    <w:rsid w:val="00E54F03"/>
    <w:rsid w:val="00E60B77"/>
    <w:rsid w:val="00E618D8"/>
    <w:rsid w:val="00E62570"/>
    <w:rsid w:val="00E62EB1"/>
    <w:rsid w:val="00E63EA4"/>
    <w:rsid w:val="00E66F09"/>
    <w:rsid w:val="00E71478"/>
    <w:rsid w:val="00E71EDC"/>
    <w:rsid w:val="00E72F83"/>
    <w:rsid w:val="00E74A9F"/>
    <w:rsid w:val="00E74B68"/>
    <w:rsid w:val="00E76431"/>
    <w:rsid w:val="00E766EF"/>
    <w:rsid w:val="00E80832"/>
    <w:rsid w:val="00E8113C"/>
    <w:rsid w:val="00E815F3"/>
    <w:rsid w:val="00E82210"/>
    <w:rsid w:val="00E93D92"/>
    <w:rsid w:val="00E962D3"/>
    <w:rsid w:val="00EA01A8"/>
    <w:rsid w:val="00EA1D55"/>
    <w:rsid w:val="00EB1778"/>
    <w:rsid w:val="00EB344A"/>
    <w:rsid w:val="00EB3E37"/>
    <w:rsid w:val="00EB73DD"/>
    <w:rsid w:val="00EC768C"/>
    <w:rsid w:val="00EE179A"/>
    <w:rsid w:val="00EE2B11"/>
    <w:rsid w:val="00EE6019"/>
    <w:rsid w:val="00EF11E1"/>
    <w:rsid w:val="00EF305F"/>
    <w:rsid w:val="00EF3471"/>
    <w:rsid w:val="00EF7767"/>
    <w:rsid w:val="00F00AF0"/>
    <w:rsid w:val="00F00F09"/>
    <w:rsid w:val="00F018C9"/>
    <w:rsid w:val="00F02A73"/>
    <w:rsid w:val="00F02C88"/>
    <w:rsid w:val="00F03B47"/>
    <w:rsid w:val="00F04CE5"/>
    <w:rsid w:val="00F058F8"/>
    <w:rsid w:val="00F10080"/>
    <w:rsid w:val="00F1115E"/>
    <w:rsid w:val="00F1257C"/>
    <w:rsid w:val="00F12CDC"/>
    <w:rsid w:val="00F12FC3"/>
    <w:rsid w:val="00F17630"/>
    <w:rsid w:val="00F20C3B"/>
    <w:rsid w:val="00F229D1"/>
    <w:rsid w:val="00F25EF8"/>
    <w:rsid w:val="00F27CB2"/>
    <w:rsid w:val="00F332BB"/>
    <w:rsid w:val="00F34136"/>
    <w:rsid w:val="00F35424"/>
    <w:rsid w:val="00F3628F"/>
    <w:rsid w:val="00F4150E"/>
    <w:rsid w:val="00F431BE"/>
    <w:rsid w:val="00F4412B"/>
    <w:rsid w:val="00F444D1"/>
    <w:rsid w:val="00F45B52"/>
    <w:rsid w:val="00F460DD"/>
    <w:rsid w:val="00F47015"/>
    <w:rsid w:val="00F51A13"/>
    <w:rsid w:val="00F52FA4"/>
    <w:rsid w:val="00F546A6"/>
    <w:rsid w:val="00F56151"/>
    <w:rsid w:val="00F57784"/>
    <w:rsid w:val="00F61116"/>
    <w:rsid w:val="00F633DD"/>
    <w:rsid w:val="00F642D6"/>
    <w:rsid w:val="00F662DC"/>
    <w:rsid w:val="00F67C97"/>
    <w:rsid w:val="00F717A6"/>
    <w:rsid w:val="00F76608"/>
    <w:rsid w:val="00F76907"/>
    <w:rsid w:val="00F775F3"/>
    <w:rsid w:val="00F77CF9"/>
    <w:rsid w:val="00F8222D"/>
    <w:rsid w:val="00F85DB8"/>
    <w:rsid w:val="00F87166"/>
    <w:rsid w:val="00F878CD"/>
    <w:rsid w:val="00F87EBA"/>
    <w:rsid w:val="00F93B6C"/>
    <w:rsid w:val="00F96F36"/>
    <w:rsid w:val="00F97F48"/>
    <w:rsid w:val="00FA16D6"/>
    <w:rsid w:val="00FA3727"/>
    <w:rsid w:val="00FA677B"/>
    <w:rsid w:val="00FA6D2E"/>
    <w:rsid w:val="00FB0294"/>
    <w:rsid w:val="00FB0E3F"/>
    <w:rsid w:val="00FB184D"/>
    <w:rsid w:val="00FB36BD"/>
    <w:rsid w:val="00FB400F"/>
    <w:rsid w:val="00FB45C3"/>
    <w:rsid w:val="00FB4CB1"/>
    <w:rsid w:val="00FC2DF0"/>
    <w:rsid w:val="00FC5600"/>
    <w:rsid w:val="00FC58B4"/>
    <w:rsid w:val="00FD2CEC"/>
    <w:rsid w:val="00FD45C6"/>
    <w:rsid w:val="00FD4D3E"/>
    <w:rsid w:val="00FD5958"/>
    <w:rsid w:val="00FD6F32"/>
    <w:rsid w:val="00FD7015"/>
    <w:rsid w:val="00FD7448"/>
    <w:rsid w:val="00FE14E4"/>
    <w:rsid w:val="00FE2D37"/>
    <w:rsid w:val="00FE6E39"/>
    <w:rsid w:val="00FE7915"/>
    <w:rsid w:val="00FE79CE"/>
    <w:rsid w:val="00FF1D8A"/>
    <w:rsid w:val="00FF2721"/>
    <w:rsid w:val="00FF4613"/>
    <w:rsid w:val="0198695A"/>
    <w:rsid w:val="056052F1"/>
    <w:rsid w:val="05763192"/>
    <w:rsid w:val="08755725"/>
    <w:rsid w:val="089D2BDB"/>
    <w:rsid w:val="08A35AA9"/>
    <w:rsid w:val="096B10BE"/>
    <w:rsid w:val="09FE78C9"/>
    <w:rsid w:val="0D7432C5"/>
    <w:rsid w:val="0E144992"/>
    <w:rsid w:val="0EED1687"/>
    <w:rsid w:val="0FD64586"/>
    <w:rsid w:val="11B24518"/>
    <w:rsid w:val="12D21346"/>
    <w:rsid w:val="13BD44BB"/>
    <w:rsid w:val="1477367E"/>
    <w:rsid w:val="16FB51C5"/>
    <w:rsid w:val="18700146"/>
    <w:rsid w:val="18A75DB2"/>
    <w:rsid w:val="19DE3C05"/>
    <w:rsid w:val="1A2C2323"/>
    <w:rsid w:val="1B804272"/>
    <w:rsid w:val="1C6B39B5"/>
    <w:rsid w:val="1E8A578B"/>
    <w:rsid w:val="1FF52635"/>
    <w:rsid w:val="222F1C81"/>
    <w:rsid w:val="224C68E4"/>
    <w:rsid w:val="23105610"/>
    <w:rsid w:val="24EF3E54"/>
    <w:rsid w:val="254F3F70"/>
    <w:rsid w:val="26AB230B"/>
    <w:rsid w:val="27614ACC"/>
    <w:rsid w:val="28582DE4"/>
    <w:rsid w:val="2AA91181"/>
    <w:rsid w:val="2AD47E65"/>
    <w:rsid w:val="2AFE1A16"/>
    <w:rsid w:val="2C3D1FF3"/>
    <w:rsid w:val="2C822811"/>
    <w:rsid w:val="2DAC4F48"/>
    <w:rsid w:val="31531F27"/>
    <w:rsid w:val="324A1DA5"/>
    <w:rsid w:val="33077B5F"/>
    <w:rsid w:val="33D87D33"/>
    <w:rsid w:val="357D0EEA"/>
    <w:rsid w:val="35B722BB"/>
    <w:rsid w:val="36253868"/>
    <w:rsid w:val="367002DB"/>
    <w:rsid w:val="36E55F66"/>
    <w:rsid w:val="37BF75D3"/>
    <w:rsid w:val="394000E6"/>
    <w:rsid w:val="3B157250"/>
    <w:rsid w:val="3BE4473F"/>
    <w:rsid w:val="3DC72488"/>
    <w:rsid w:val="3FA269BD"/>
    <w:rsid w:val="402F3454"/>
    <w:rsid w:val="40E1799D"/>
    <w:rsid w:val="41865F81"/>
    <w:rsid w:val="41B225D1"/>
    <w:rsid w:val="41DE351F"/>
    <w:rsid w:val="421B7BCD"/>
    <w:rsid w:val="44254D58"/>
    <w:rsid w:val="44971A51"/>
    <w:rsid w:val="45116042"/>
    <w:rsid w:val="45287A79"/>
    <w:rsid w:val="45D83A02"/>
    <w:rsid w:val="46136D14"/>
    <w:rsid w:val="4614539C"/>
    <w:rsid w:val="466A5FC0"/>
    <w:rsid w:val="4774115F"/>
    <w:rsid w:val="49741249"/>
    <w:rsid w:val="49A235AC"/>
    <w:rsid w:val="4A131B80"/>
    <w:rsid w:val="4A320EB0"/>
    <w:rsid w:val="4A35529F"/>
    <w:rsid w:val="4A7D1643"/>
    <w:rsid w:val="4BBE7F29"/>
    <w:rsid w:val="4F7D3C20"/>
    <w:rsid w:val="504105C5"/>
    <w:rsid w:val="51AD70CE"/>
    <w:rsid w:val="521412A2"/>
    <w:rsid w:val="52771728"/>
    <w:rsid w:val="532C117A"/>
    <w:rsid w:val="537E28D7"/>
    <w:rsid w:val="54002EA5"/>
    <w:rsid w:val="541E7BD0"/>
    <w:rsid w:val="54F210E4"/>
    <w:rsid w:val="576974D2"/>
    <w:rsid w:val="599E3170"/>
    <w:rsid w:val="5C7E201B"/>
    <w:rsid w:val="5DDC65EB"/>
    <w:rsid w:val="5E6A467A"/>
    <w:rsid w:val="5ED3451D"/>
    <w:rsid w:val="5FF46C24"/>
    <w:rsid w:val="61F7155E"/>
    <w:rsid w:val="62657342"/>
    <w:rsid w:val="62E50ACF"/>
    <w:rsid w:val="63D64C15"/>
    <w:rsid w:val="64F15B4E"/>
    <w:rsid w:val="66AD58DC"/>
    <w:rsid w:val="68A12DDF"/>
    <w:rsid w:val="69C049AB"/>
    <w:rsid w:val="6B200928"/>
    <w:rsid w:val="6BAE3BEF"/>
    <w:rsid w:val="6C067482"/>
    <w:rsid w:val="6C4B1E86"/>
    <w:rsid w:val="6DDA670F"/>
    <w:rsid w:val="6E1F0AEF"/>
    <w:rsid w:val="6E633748"/>
    <w:rsid w:val="6FC23104"/>
    <w:rsid w:val="6FFB3932"/>
    <w:rsid w:val="700D3C59"/>
    <w:rsid w:val="70BF5AAE"/>
    <w:rsid w:val="720B4A34"/>
    <w:rsid w:val="72A973C7"/>
    <w:rsid w:val="72DA6901"/>
    <w:rsid w:val="739C7C06"/>
    <w:rsid w:val="73F71A5A"/>
    <w:rsid w:val="7510758C"/>
    <w:rsid w:val="75110A08"/>
    <w:rsid w:val="75407057"/>
    <w:rsid w:val="75465E26"/>
    <w:rsid w:val="75513AC2"/>
    <w:rsid w:val="76E03DC6"/>
    <w:rsid w:val="789A5D1A"/>
    <w:rsid w:val="7B14107F"/>
    <w:rsid w:val="7B1B33EA"/>
    <w:rsid w:val="7B6C2E12"/>
    <w:rsid w:val="7C1C1869"/>
    <w:rsid w:val="7CA037D9"/>
    <w:rsid w:val="7CA940CF"/>
    <w:rsid w:val="7DB53D27"/>
    <w:rsid w:val="7EA919A5"/>
    <w:rsid w:val="7FEE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caption"/>
    <w:basedOn w:val="1"/>
    <w:next w:val="1"/>
    <w:qFormat/>
    <w:uiPriority w:val="0"/>
    <w:rPr>
      <w:rFonts w:ascii="Calibri Light" w:hAnsi="Calibri Light" w:eastAsia="黑体" w:cs="Times New Roman"/>
      <w:sz w:val="20"/>
      <w:szCs w:val="20"/>
    </w:rPr>
  </w:style>
  <w:style w:type="paragraph" w:styleId="8">
    <w:name w:val="annotation text"/>
    <w:basedOn w:val="1"/>
    <w:link w:val="37"/>
    <w:unhideWhenUsed/>
    <w:qFormat/>
    <w:uiPriority w:val="99"/>
    <w:pPr>
      <w:jc w:val="left"/>
    </w:pPr>
  </w:style>
  <w:style w:type="paragraph" w:styleId="9">
    <w:name w:val="Body Text"/>
    <w:basedOn w:val="1"/>
    <w:link w:val="45"/>
    <w:qFormat/>
    <w:uiPriority w:val="1"/>
    <w:pPr>
      <w:ind w:left="140"/>
      <w:jc w:val="left"/>
    </w:pPr>
    <w:rPr>
      <w:rFonts w:ascii="宋体" w:hAnsi="宋体" w:eastAsia="宋体"/>
      <w:kern w:val="0"/>
      <w:sz w:val="24"/>
      <w:szCs w:val="24"/>
      <w:lang w:eastAsia="en-US"/>
    </w:rPr>
  </w:style>
  <w:style w:type="paragraph" w:styleId="10">
    <w:name w:val="toc 5"/>
    <w:basedOn w:val="1"/>
    <w:next w:val="1"/>
    <w:unhideWhenUsed/>
    <w:qFormat/>
    <w:uiPriority w:val="39"/>
    <w:pPr>
      <w:ind w:left="840"/>
      <w:jc w:val="left"/>
    </w:pPr>
    <w:rPr>
      <w:sz w:val="18"/>
      <w:szCs w:val="18"/>
    </w:rPr>
  </w:style>
  <w:style w:type="paragraph" w:styleId="11">
    <w:name w:val="toc 3"/>
    <w:basedOn w:val="1"/>
    <w:next w:val="1"/>
    <w:unhideWhenUsed/>
    <w:qFormat/>
    <w:uiPriority w:val="39"/>
    <w:pPr>
      <w:ind w:left="420"/>
      <w:jc w:val="left"/>
    </w:pPr>
    <w:rPr>
      <w:i/>
      <w:iCs/>
      <w:sz w:val="20"/>
      <w:szCs w:val="20"/>
    </w:rPr>
  </w:style>
  <w:style w:type="paragraph" w:styleId="12">
    <w:name w:val="toc 8"/>
    <w:basedOn w:val="1"/>
    <w:next w:val="1"/>
    <w:unhideWhenUsed/>
    <w:qFormat/>
    <w:uiPriority w:val="39"/>
    <w:pPr>
      <w:ind w:left="1470"/>
      <w:jc w:val="left"/>
    </w:pPr>
    <w:rPr>
      <w:sz w:val="18"/>
      <w:szCs w:val="18"/>
    </w:rPr>
  </w:style>
  <w:style w:type="paragraph" w:styleId="13">
    <w:name w:val="Date"/>
    <w:basedOn w:val="1"/>
    <w:next w:val="1"/>
    <w:link w:val="36"/>
    <w:semiHidden/>
    <w:unhideWhenUsed/>
    <w:qFormat/>
    <w:uiPriority w:val="99"/>
    <w:pPr>
      <w:ind w:left="100" w:leftChars="2500"/>
    </w:pPr>
  </w:style>
  <w:style w:type="paragraph" w:styleId="14">
    <w:name w:val="endnote text"/>
    <w:basedOn w:val="1"/>
    <w:link w:val="46"/>
    <w:unhideWhenUsed/>
    <w:qFormat/>
    <w:uiPriority w:val="99"/>
    <w:pPr>
      <w:snapToGrid w:val="0"/>
      <w:jc w:val="left"/>
    </w:pPr>
  </w:style>
  <w:style w:type="paragraph" w:styleId="15">
    <w:name w:val="Balloon Text"/>
    <w:basedOn w:val="1"/>
    <w:link w:val="35"/>
    <w:unhideWhenUsed/>
    <w:qFormat/>
    <w:uiPriority w:val="99"/>
    <w:rPr>
      <w:sz w:val="18"/>
      <w:szCs w:val="18"/>
    </w:rPr>
  </w:style>
  <w:style w:type="paragraph" w:styleId="16">
    <w:name w:val="footer"/>
    <w:basedOn w:val="1"/>
    <w:link w:val="47"/>
    <w:unhideWhenUsed/>
    <w:qFormat/>
    <w:uiPriority w:val="99"/>
    <w:pPr>
      <w:tabs>
        <w:tab w:val="center" w:pos="4153"/>
        <w:tab w:val="right" w:pos="8306"/>
      </w:tabs>
      <w:snapToGrid w:val="0"/>
      <w:jc w:val="left"/>
    </w:pPr>
    <w:rPr>
      <w:sz w:val="18"/>
      <w:szCs w:val="18"/>
    </w:rPr>
  </w:style>
  <w:style w:type="paragraph" w:styleId="17">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b/>
      <w:bCs/>
      <w:caps/>
      <w:sz w:val="20"/>
      <w:szCs w:val="20"/>
    </w:rPr>
  </w:style>
  <w:style w:type="paragraph" w:styleId="19">
    <w:name w:val="toc 4"/>
    <w:basedOn w:val="1"/>
    <w:next w:val="1"/>
    <w:unhideWhenUsed/>
    <w:qFormat/>
    <w:uiPriority w:val="39"/>
    <w:pPr>
      <w:ind w:left="630"/>
      <w:jc w:val="left"/>
    </w:pPr>
    <w:rPr>
      <w:sz w:val="18"/>
      <w:szCs w:val="18"/>
    </w:rPr>
  </w:style>
  <w:style w:type="paragraph" w:styleId="20">
    <w:name w:val="footnote text"/>
    <w:basedOn w:val="1"/>
    <w:link w:val="49"/>
    <w:qFormat/>
    <w:uiPriority w:val="99"/>
    <w:pPr>
      <w:snapToGrid w:val="0"/>
      <w:jc w:val="left"/>
    </w:pPr>
    <w:rPr>
      <w:rFonts w:ascii="Calibri" w:hAnsi="Calibri" w:eastAsia="宋体" w:cs="Times New Roman"/>
      <w:sz w:val="18"/>
      <w:szCs w:val="18"/>
    </w:rPr>
  </w:style>
  <w:style w:type="paragraph" w:styleId="21">
    <w:name w:val="toc 6"/>
    <w:basedOn w:val="1"/>
    <w:next w:val="1"/>
    <w:unhideWhenUsed/>
    <w:qFormat/>
    <w:uiPriority w:val="39"/>
    <w:pPr>
      <w:ind w:left="1050"/>
      <w:jc w:val="left"/>
    </w:pPr>
    <w:rPr>
      <w:sz w:val="18"/>
      <w:szCs w:val="18"/>
    </w:rPr>
  </w:style>
  <w:style w:type="paragraph" w:styleId="22">
    <w:name w:val="toc 2"/>
    <w:basedOn w:val="1"/>
    <w:next w:val="1"/>
    <w:unhideWhenUsed/>
    <w:qFormat/>
    <w:uiPriority w:val="39"/>
    <w:pPr>
      <w:ind w:left="210"/>
      <w:jc w:val="left"/>
    </w:pPr>
    <w:rPr>
      <w:smallCaps/>
      <w:sz w:val="20"/>
      <w:szCs w:val="20"/>
    </w:rPr>
  </w:style>
  <w:style w:type="paragraph" w:styleId="23">
    <w:name w:val="toc 9"/>
    <w:basedOn w:val="1"/>
    <w:next w:val="1"/>
    <w:unhideWhenUsed/>
    <w:qFormat/>
    <w:uiPriority w:val="39"/>
    <w:pPr>
      <w:ind w:left="1680"/>
      <w:jc w:val="left"/>
    </w:pPr>
    <w:rPr>
      <w:sz w:val="18"/>
      <w:szCs w:val="18"/>
    </w:rPr>
  </w:style>
  <w:style w:type="paragraph" w:styleId="24">
    <w:name w:val="Normal (Web)"/>
    <w:basedOn w:val="1"/>
    <w:link w:val="7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5">
    <w:name w:val="annotation subject"/>
    <w:basedOn w:val="8"/>
    <w:next w:val="8"/>
    <w:link w:val="38"/>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endnote reference"/>
    <w:basedOn w:val="28"/>
    <w:unhideWhenUsed/>
    <w:qFormat/>
    <w:uiPriority w:val="99"/>
    <w:rPr>
      <w:vertAlign w:val="superscript"/>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unhideWhenUsed/>
    <w:qFormat/>
    <w:uiPriority w:val="99"/>
    <w:rPr>
      <w:sz w:val="21"/>
      <w:szCs w:val="21"/>
    </w:rPr>
  </w:style>
  <w:style w:type="character" w:styleId="33">
    <w:name w:val="footnote reference"/>
    <w:basedOn w:val="28"/>
    <w:qFormat/>
    <w:uiPriority w:val="99"/>
    <w:rPr>
      <w:rFonts w:cs="Times New Roman"/>
      <w:vertAlign w:val="superscript"/>
    </w:rPr>
  </w:style>
  <w:style w:type="paragraph" w:styleId="34">
    <w:name w:val="List Paragraph"/>
    <w:basedOn w:val="1"/>
    <w:link w:val="40"/>
    <w:qFormat/>
    <w:uiPriority w:val="0"/>
    <w:pPr>
      <w:ind w:firstLine="420" w:firstLineChars="200"/>
    </w:pPr>
  </w:style>
  <w:style w:type="character" w:customStyle="1" w:styleId="35">
    <w:name w:val="批注框文本 Char"/>
    <w:basedOn w:val="28"/>
    <w:link w:val="15"/>
    <w:qFormat/>
    <w:uiPriority w:val="99"/>
    <w:rPr>
      <w:sz w:val="18"/>
      <w:szCs w:val="18"/>
    </w:rPr>
  </w:style>
  <w:style w:type="character" w:customStyle="1" w:styleId="36">
    <w:name w:val="日期 Char"/>
    <w:basedOn w:val="28"/>
    <w:link w:val="13"/>
    <w:semiHidden/>
    <w:qFormat/>
    <w:uiPriority w:val="99"/>
  </w:style>
  <w:style w:type="character" w:customStyle="1" w:styleId="37">
    <w:name w:val="批注文字 Char"/>
    <w:basedOn w:val="28"/>
    <w:link w:val="8"/>
    <w:qFormat/>
    <w:uiPriority w:val="99"/>
  </w:style>
  <w:style w:type="character" w:customStyle="1" w:styleId="38">
    <w:name w:val="批注主题 Char"/>
    <w:basedOn w:val="37"/>
    <w:link w:val="25"/>
    <w:qFormat/>
    <w:uiPriority w:val="99"/>
    <w:rPr>
      <w:b/>
      <w:bCs/>
    </w:rPr>
  </w:style>
  <w:style w:type="paragraph" w:customStyle="1" w:styleId="3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40">
    <w:name w:val="列出段落 Char"/>
    <w:link w:val="34"/>
    <w:qFormat/>
    <w:locked/>
    <w:uiPriority w:val="0"/>
  </w:style>
  <w:style w:type="character" w:customStyle="1" w:styleId="41">
    <w:name w:val="标题 1 Char"/>
    <w:basedOn w:val="28"/>
    <w:link w:val="2"/>
    <w:qFormat/>
    <w:uiPriority w:val="1"/>
    <w:rPr>
      <w:b/>
      <w:bCs/>
      <w:kern w:val="44"/>
      <w:sz w:val="44"/>
      <w:szCs w:val="44"/>
    </w:rPr>
  </w:style>
  <w:style w:type="paragraph" w:customStyle="1" w:styleId="42">
    <w:name w:val="标题 21"/>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customStyle="1" w:styleId="43">
    <w:name w:val="标题 3 Char"/>
    <w:basedOn w:val="28"/>
    <w:link w:val="4"/>
    <w:qFormat/>
    <w:uiPriority w:val="9"/>
    <w:rPr>
      <w:b/>
      <w:bCs/>
      <w:sz w:val="32"/>
      <w:szCs w:val="32"/>
    </w:rPr>
  </w:style>
  <w:style w:type="paragraph" w:customStyle="1" w:styleId="44">
    <w:name w:val="标题 41"/>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customStyle="1" w:styleId="45">
    <w:name w:val="正文文本 Char"/>
    <w:basedOn w:val="28"/>
    <w:link w:val="9"/>
    <w:qFormat/>
    <w:uiPriority w:val="1"/>
    <w:rPr>
      <w:rFonts w:ascii="宋体" w:hAnsi="宋体" w:eastAsia="宋体"/>
      <w:kern w:val="0"/>
      <w:sz w:val="24"/>
      <w:szCs w:val="24"/>
      <w:lang w:eastAsia="en-US"/>
    </w:rPr>
  </w:style>
  <w:style w:type="character" w:customStyle="1" w:styleId="46">
    <w:name w:val="尾注文本 Char"/>
    <w:basedOn w:val="28"/>
    <w:link w:val="14"/>
    <w:qFormat/>
    <w:uiPriority w:val="99"/>
  </w:style>
  <w:style w:type="character" w:customStyle="1" w:styleId="47">
    <w:name w:val="页脚 Char"/>
    <w:basedOn w:val="28"/>
    <w:link w:val="16"/>
    <w:qFormat/>
    <w:uiPriority w:val="99"/>
    <w:rPr>
      <w:sz w:val="18"/>
      <w:szCs w:val="18"/>
    </w:rPr>
  </w:style>
  <w:style w:type="character" w:customStyle="1" w:styleId="48">
    <w:name w:val="页眉 Char"/>
    <w:basedOn w:val="28"/>
    <w:link w:val="17"/>
    <w:qFormat/>
    <w:uiPriority w:val="99"/>
    <w:rPr>
      <w:sz w:val="18"/>
      <w:szCs w:val="18"/>
    </w:rPr>
  </w:style>
  <w:style w:type="character" w:customStyle="1" w:styleId="49">
    <w:name w:val="脚注文本 Char"/>
    <w:basedOn w:val="28"/>
    <w:link w:val="20"/>
    <w:qFormat/>
    <w:uiPriority w:val="99"/>
    <w:rPr>
      <w:rFonts w:ascii="Calibri" w:hAnsi="Calibri" w:eastAsia="宋体" w:cs="Times New Roman"/>
      <w:sz w:val="18"/>
      <w:szCs w:val="18"/>
    </w:rPr>
  </w:style>
  <w:style w:type="character" w:customStyle="1" w:styleId="50">
    <w:name w:val="超链接1"/>
    <w:basedOn w:val="28"/>
    <w:unhideWhenUsed/>
    <w:qFormat/>
    <w:uiPriority w:val="99"/>
    <w:rPr>
      <w:color w:val="0563C1"/>
      <w:u w:val="single"/>
    </w:rPr>
  </w:style>
  <w:style w:type="character" w:customStyle="1" w:styleId="51">
    <w:name w:val="标题 2 Char"/>
    <w:basedOn w:val="28"/>
    <w:link w:val="3"/>
    <w:qFormat/>
    <w:uiPriority w:val="9"/>
    <w:rPr>
      <w:rFonts w:ascii="Calibri Light" w:hAnsi="Calibri Light" w:eastAsia="宋体" w:cs="Times New Roman"/>
      <w:b/>
      <w:bCs/>
      <w:sz w:val="32"/>
      <w:szCs w:val="32"/>
    </w:rPr>
  </w:style>
  <w:style w:type="character" w:customStyle="1" w:styleId="52">
    <w:name w:val="标题 4 Char"/>
    <w:basedOn w:val="28"/>
    <w:link w:val="5"/>
    <w:qFormat/>
    <w:uiPriority w:val="9"/>
    <w:rPr>
      <w:rFonts w:ascii="Calibri Light" w:hAnsi="Calibri Light" w:eastAsia="宋体" w:cs="Times New Roman"/>
      <w:b/>
      <w:bCs/>
      <w:sz w:val="28"/>
      <w:szCs w:val="28"/>
    </w:rPr>
  </w:style>
  <w:style w:type="paragraph" w:customStyle="1" w:styleId="53">
    <w:name w:val="SSE正文"/>
    <w:basedOn w:val="1"/>
    <w:link w:val="54"/>
    <w:qFormat/>
    <w:uiPriority w:val="0"/>
    <w:pPr>
      <w:ind w:firstLine="200" w:firstLineChars="200"/>
    </w:pPr>
    <w:rPr>
      <w:rFonts w:ascii="Times New Roman" w:hAnsi="Times New Roman" w:eastAsia="仿宋_GB2312" w:cs="Times New Roman"/>
      <w:kern w:val="0"/>
      <w:sz w:val="28"/>
      <w:szCs w:val="28"/>
    </w:rPr>
  </w:style>
  <w:style w:type="character" w:customStyle="1" w:styleId="54">
    <w:name w:val="SSE正文 Char"/>
    <w:link w:val="53"/>
    <w:qFormat/>
    <w:locked/>
    <w:uiPriority w:val="0"/>
    <w:rPr>
      <w:rFonts w:ascii="Times New Roman" w:hAnsi="Times New Roman" w:eastAsia="仿宋_GB2312" w:cs="Times New Roman"/>
      <w:kern w:val="0"/>
      <w:sz w:val="28"/>
      <w:szCs w:val="28"/>
    </w:rPr>
  </w:style>
  <w:style w:type="paragraph" w:customStyle="1" w:styleId="55">
    <w:name w:val="SSE标题2"/>
    <w:basedOn w:val="3"/>
    <w:link w:val="56"/>
    <w:qFormat/>
    <w:uiPriority w:val="0"/>
  </w:style>
  <w:style w:type="character" w:customStyle="1" w:styleId="56">
    <w:name w:val="SSE标题2 Char"/>
    <w:link w:val="55"/>
    <w:qFormat/>
    <w:locked/>
    <w:uiPriority w:val="0"/>
    <w:rPr>
      <w:rFonts w:ascii="Calibri Light" w:hAnsi="Calibri Light" w:eastAsia="宋体" w:cs="Times New Roman"/>
      <w:b/>
      <w:bCs/>
      <w:sz w:val="32"/>
      <w:szCs w:val="32"/>
    </w:rPr>
  </w:style>
  <w:style w:type="paragraph" w:customStyle="1" w:styleId="57">
    <w:name w:val="SSE标题1"/>
    <w:basedOn w:val="2"/>
    <w:link w:val="58"/>
    <w:qFormat/>
    <w:uiPriority w:val="99"/>
    <w:pPr>
      <w:spacing w:before="0" w:after="120" w:line="240" w:lineRule="auto"/>
    </w:pPr>
    <w:rPr>
      <w:rFonts w:ascii="Times New Roman" w:hAnsi="Times New Roman" w:eastAsia="黑体" w:cs="Times New Roman"/>
      <w:sz w:val="30"/>
      <w:szCs w:val="30"/>
    </w:rPr>
  </w:style>
  <w:style w:type="character" w:customStyle="1" w:styleId="58">
    <w:name w:val="SSE标题1 Char"/>
    <w:link w:val="57"/>
    <w:qFormat/>
    <w:locked/>
    <w:uiPriority w:val="99"/>
    <w:rPr>
      <w:rFonts w:ascii="Times New Roman" w:hAnsi="Times New Roman" w:eastAsia="黑体" w:cs="Times New Roman"/>
      <w:b/>
      <w:bCs/>
      <w:kern w:val="44"/>
      <w:sz w:val="30"/>
      <w:szCs w:val="30"/>
    </w:rPr>
  </w:style>
  <w:style w:type="paragraph" w:customStyle="1" w:styleId="59">
    <w:name w:val="SSE表格文字"/>
    <w:basedOn w:val="1"/>
    <w:link w:val="60"/>
    <w:qFormat/>
    <w:uiPriority w:val="99"/>
    <w:pPr>
      <w:widowControl/>
      <w:jc w:val="center"/>
    </w:pPr>
    <w:rPr>
      <w:rFonts w:ascii="Times New Roman" w:hAnsi="Times New Roman" w:eastAsia="仿宋_GB2312" w:cs="Times New Roman"/>
      <w:color w:val="000000"/>
      <w:kern w:val="0"/>
      <w:sz w:val="24"/>
      <w:szCs w:val="24"/>
    </w:rPr>
  </w:style>
  <w:style w:type="character" w:customStyle="1" w:styleId="60">
    <w:name w:val="SSE表格文字 Char"/>
    <w:link w:val="59"/>
    <w:qFormat/>
    <w:locked/>
    <w:uiPriority w:val="99"/>
    <w:rPr>
      <w:rFonts w:ascii="Times New Roman" w:hAnsi="Times New Roman" w:eastAsia="仿宋_GB2312" w:cs="Times New Roman"/>
      <w:color w:val="000000"/>
      <w:kern w:val="0"/>
      <w:sz w:val="24"/>
      <w:szCs w:val="24"/>
    </w:rPr>
  </w:style>
  <w:style w:type="paragraph" w:customStyle="1" w:styleId="61">
    <w:name w:val="列出段落1"/>
    <w:basedOn w:val="1"/>
    <w:qFormat/>
    <w:uiPriority w:val="34"/>
    <w:pPr>
      <w:ind w:firstLine="420" w:firstLineChars="200"/>
    </w:pPr>
    <w:rPr>
      <w:rFonts w:ascii="Calibri" w:hAnsi="Calibri" w:eastAsia="宋体"/>
    </w:rPr>
  </w:style>
  <w:style w:type="paragraph" w:customStyle="1" w:styleId="62">
    <w:name w:val="TOC 标题1"/>
    <w:basedOn w:val="2"/>
    <w:next w:val="1"/>
    <w:unhideWhenUsed/>
    <w:qFormat/>
    <w:uiPriority w:val="39"/>
    <w:pPr>
      <w:widowControl/>
      <w:spacing w:before="480" w:after="0" w:line="276" w:lineRule="auto"/>
      <w:jc w:val="left"/>
      <w:outlineLvl w:val="9"/>
    </w:pPr>
    <w:rPr>
      <w:rFonts w:ascii="Calibri Light" w:hAnsi="Calibri Light" w:eastAsia="宋体" w:cs="Times New Roman"/>
      <w:color w:val="2E74B5"/>
      <w:kern w:val="0"/>
      <w:sz w:val="28"/>
      <w:szCs w:val="28"/>
    </w:rPr>
  </w:style>
  <w:style w:type="paragraph" w:customStyle="1" w:styleId="63">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4">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5">
    <w:name w:val="Table Paragraph"/>
    <w:basedOn w:val="1"/>
    <w:qFormat/>
    <w:uiPriority w:val="1"/>
    <w:pPr>
      <w:jc w:val="left"/>
    </w:pPr>
    <w:rPr>
      <w:kern w:val="0"/>
      <w:sz w:val="22"/>
      <w:lang w:eastAsia="en-US"/>
    </w:rPr>
  </w:style>
  <w:style w:type="paragraph" w:customStyle="1" w:styleId="66">
    <w:name w:val="修订2"/>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7">
    <w:name w:val="中等深浅底纹 1 - 着色 11"/>
    <w:basedOn w:val="26"/>
    <w:qFormat/>
    <w:uiPriority w:val="63"/>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cPr>
        <w:tcBorders>
          <w:top w:val="single" w:color="84B3DF" w:sz="8" w:space="0"/>
          <w:left w:val="single" w:color="84B3DF" w:sz="8" w:space="0"/>
          <w:bottom w:val="single" w:color="84B3DF" w:sz="8" w:space="0"/>
          <w:right w:val="single" w:color="84B3DF" w:sz="8" w:space="0"/>
          <w:insideH w:val="nil"/>
          <w:insideV w:val="nil"/>
        </w:tcBorders>
        <w:shd w:val="clear" w:color="auto" w:fill="5B9BD5"/>
      </w:tcPr>
    </w:tblStylePr>
    <w:tblStylePr w:type="lastRow">
      <w:pPr>
        <w:spacing w:before="0" w:after="0" w:line="240" w:lineRule="auto"/>
      </w:pPr>
      <w:rPr>
        <w:b/>
        <w:bCs/>
      </w:rPr>
      <w:tcPr>
        <w:tcBorders>
          <w:top w:val="double" w:color="84B3DF" w:sz="6" w:space="0"/>
          <w:left w:val="single" w:color="84B3DF" w:sz="8" w:space="0"/>
          <w:bottom w:val="single" w:color="84B3DF" w:sz="8" w:space="0"/>
          <w:right w:val="single" w:color="84B3DF" w:sz="8" w:space="0"/>
          <w:insideH w:val="nil"/>
          <w:insideV w:val="nil"/>
        </w:tcBorders>
      </w:tcPr>
    </w:tblStylePr>
    <w:tblStylePr w:type="firstCol">
      <w:rPr>
        <w:b/>
        <w:bCs/>
      </w:rPr>
    </w:tblStylePr>
    <w:tblStylePr w:type="lastCol">
      <w:rPr>
        <w:b/>
        <w:bCs/>
      </w:rPr>
    </w:tblStylePr>
    <w:tblStylePr w:type="band1Vert">
      <w:tcPr>
        <w:shd w:val="clear" w:color="auto" w:fill="D6E6F4"/>
      </w:tcPr>
    </w:tblStylePr>
    <w:tblStylePr w:type="band1Horz">
      <w:tcPr>
        <w:tcBorders>
          <w:insideH w:val="nil"/>
          <w:insideV w:val="nil"/>
        </w:tcBorders>
        <w:shd w:val="clear" w:color="auto" w:fill="D6E6F4"/>
      </w:tcPr>
    </w:tblStylePr>
    <w:tblStylePr w:type="band2Horz">
      <w:tcPr>
        <w:tcBorders>
          <w:insideH w:val="nil"/>
          <w:insideV w:val="nil"/>
        </w:tcBorders>
      </w:tcPr>
    </w:tblStylePr>
  </w:style>
  <w:style w:type="paragraph" w:customStyle="1" w:styleId="68">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9">
    <w:name w:val="标题 2 Char1"/>
    <w:basedOn w:val="28"/>
    <w:semiHidden/>
    <w:qFormat/>
    <w:uiPriority w:val="9"/>
    <w:rPr>
      <w:rFonts w:asciiTheme="majorHAnsi" w:hAnsiTheme="majorHAnsi" w:eastAsiaTheme="majorEastAsia" w:cstheme="majorBidi"/>
      <w:b/>
      <w:bCs/>
      <w:sz w:val="32"/>
      <w:szCs w:val="32"/>
    </w:rPr>
  </w:style>
  <w:style w:type="character" w:customStyle="1" w:styleId="70">
    <w:name w:val="标题 4 Char1"/>
    <w:basedOn w:val="28"/>
    <w:semiHidden/>
    <w:qFormat/>
    <w:uiPriority w:val="9"/>
    <w:rPr>
      <w:rFonts w:asciiTheme="majorHAnsi" w:hAnsiTheme="majorHAnsi" w:eastAsiaTheme="majorEastAsia" w:cstheme="majorBidi"/>
      <w:b/>
      <w:bCs/>
      <w:sz w:val="28"/>
      <w:szCs w:val="28"/>
    </w:rPr>
  </w:style>
  <w:style w:type="table" w:customStyle="1" w:styleId="71">
    <w:name w:val="网格型1"/>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3">
    <w:name w:val="TOC 标题3"/>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修订4"/>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75">
    <w:name w:val="网格型2"/>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11"/>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普通(网站) Char"/>
    <w:basedOn w:val="28"/>
    <w:link w:val="24"/>
    <w:qFormat/>
    <w:uiPriority w:val="0"/>
    <w:rPr>
      <w:rFonts w:ascii="宋体" w:hAnsi="宋体" w:eastAsia="宋体" w:cs="宋体"/>
      <w:sz w:val="24"/>
      <w:szCs w:val="24"/>
    </w:rPr>
  </w:style>
  <w:style w:type="paragraph" w:customStyle="1" w:styleId="78">
    <w:name w:val="条"/>
    <w:basedOn w:val="1"/>
    <w:link w:val="79"/>
    <w:qFormat/>
    <w:uiPriority w:val="0"/>
    <w:pPr>
      <w:spacing w:line="560" w:lineRule="exact"/>
      <w:ind w:firstLine="640" w:firstLineChars="200"/>
    </w:pPr>
    <w:rPr>
      <w:rFonts w:ascii="仿宋_GB2312" w:hAnsi="仿宋" w:eastAsia="仿宋_GB2312" w:cs="Times New Roman"/>
      <w:sz w:val="32"/>
      <w:szCs w:val="32"/>
    </w:rPr>
  </w:style>
  <w:style w:type="character" w:customStyle="1" w:styleId="79">
    <w:name w:val="条 Char"/>
    <w:basedOn w:val="28"/>
    <w:link w:val="78"/>
    <w:qFormat/>
    <w:uiPriority w:val="0"/>
    <w:rPr>
      <w:rFonts w:ascii="仿宋_GB2312" w:hAnsi="仿宋" w:eastAsia="仿宋_GB2312" w:cs="Times New Roman"/>
      <w:kern w:val="2"/>
      <w:sz w:val="32"/>
      <w:szCs w:val="32"/>
    </w:rPr>
  </w:style>
  <w:style w:type="paragraph" w:customStyle="1" w:styleId="80">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1">
    <w:name w:val="15"/>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C5E6BF6-7872-40E1-9D69-593106CB2EF2}" type="doc">
      <dgm:prSet loTypeId="urn:microsoft.com/office/officeart/2005/8/layout/lProcess1#1" loCatId="process" qsTypeId="urn:microsoft.com/office/officeart/2005/8/quickstyle/simple3#1" qsCatId="simple" csTypeId="urn:microsoft.com/office/officeart/2005/8/colors/accent0_1#1" csCatId="mainScheme" phldr="1"/>
      <dgm:spPr/>
      <dgm:t>
        <a:bodyPr/>
        <a:p>
          <a:endParaRPr lang="zh-CN" altLang="en-US"/>
        </a:p>
      </dgm:t>
    </dgm:pt>
    <dgm:pt modelId="{0138F74B-F4B0-4657-8F5C-38593066E2FB}">
      <dgm:prSet phldrT="[文本]" custT="1"/>
      <dgm:spPr/>
      <dgm:t>
        <a:bodyPr/>
        <a:p>
          <a:r>
            <a:rPr lang="zh-CN" altLang="en-US" sz="1400" dirty="0" smtClean="0">
              <a:latin typeface="仿宋" panose="02010609060101010101" charset="-122"/>
              <a:ea typeface="仿宋" panose="02010609060101010101" charset="-122"/>
            </a:rPr>
            <a:t>一级管理员</a:t>
          </a:r>
          <a:endParaRPr lang="zh-CN" altLang="en-US" sz="1400" dirty="0">
            <a:latin typeface="仿宋" panose="02010609060101010101" charset="-122"/>
            <a:ea typeface="仿宋" panose="02010609060101010101" charset="-122"/>
          </a:endParaRPr>
        </a:p>
      </dgm:t>
    </dgm:pt>
    <dgm:pt modelId="{781A6435-ECFA-4A5E-8CFC-8A9D657B9E50}" cxnId="{BC4618B6-CE88-4604-923A-F47F785EEFC3}" type="parTrans">
      <dgm:prSet/>
      <dgm:spPr/>
      <dgm:t>
        <a:bodyPr/>
        <a:p>
          <a:endParaRPr lang="zh-CN" altLang="en-US">
            <a:latin typeface="仿宋" panose="02010609060101010101" charset="-122"/>
            <a:ea typeface="仿宋" panose="02010609060101010101" charset="-122"/>
          </a:endParaRPr>
        </a:p>
      </dgm:t>
    </dgm:pt>
    <dgm:pt modelId="{27500071-8283-4751-AE8B-ED3F015B52CD}" cxnId="{BC4618B6-CE88-4604-923A-F47F785EEFC3}" type="sibTrans">
      <dgm:prSet/>
      <dgm:spPr/>
      <dgm:t>
        <a:bodyPr/>
        <a:p>
          <a:endParaRPr lang="zh-CN" altLang="en-US">
            <a:latin typeface="仿宋" panose="02010609060101010101" charset="-122"/>
            <a:ea typeface="仿宋" panose="02010609060101010101" charset="-122"/>
          </a:endParaRPr>
        </a:p>
      </dgm:t>
    </dgm:pt>
    <dgm:pt modelId="{F45CC90B-FCEB-489C-8D56-E6EB0D645FC9}">
      <dgm:prSet phldrT="[文本]" custT="1"/>
      <dgm:spPr/>
      <dgm:t>
        <a:bodyPr/>
        <a:p>
          <a:r>
            <a:rPr lang="zh-CN" sz="1050" b="1">
              <a:latin typeface="仿宋" panose="02010609060101010101" charset="-122"/>
              <a:ea typeface="仿宋" panose="02010609060101010101" charset="-122"/>
            </a:rPr>
            <a:t>创建</a:t>
          </a:r>
          <a:r>
            <a:rPr lang="zh-CN" sz="1050">
              <a:latin typeface="仿宋" panose="02010609060101010101" charset="-122"/>
              <a:ea typeface="仿宋" panose="02010609060101010101" charset="-122"/>
            </a:rPr>
            <a:t>二级管理员或者交易用户</a:t>
          </a:r>
          <a:endParaRPr lang="zh-CN" altLang="en-US" sz="1050" b="0" dirty="0">
            <a:latin typeface="仿宋" panose="02010609060101010101" charset="-122"/>
            <a:ea typeface="仿宋" panose="02010609060101010101" charset="-122"/>
          </a:endParaRPr>
        </a:p>
      </dgm:t>
    </dgm:pt>
    <dgm:pt modelId="{95CB33F0-ECB2-4470-A66C-EFF483652461}" cxnId="{092EF50A-458C-4862-8290-C22068C1BD79}" type="parTrans">
      <dgm:prSet/>
      <dgm:spPr/>
      <dgm:t>
        <a:bodyPr/>
        <a:p>
          <a:endParaRPr lang="zh-CN" altLang="en-US">
            <a:latin typeface="仿宋" panose="02010609060101010101" charset="-122"/>
            <a:ea typeface="仿宋" panose="02010609060101010101" charset="-122"/>
          </a:endParaRPr>
        </a:p>
      </dgm:t>
    </dgm:pt>
    <dgm:pt modelId="{9339C311-9FCD-4A62-BAA2-5AFBF6D5BB52}" cxnId="{092EF50A-458C-4862-8290-C22068C1BD79}" type="sibTrans">
      <dgm:prSet/>
      <dgm:spPr/>
      <dgm:t>
        <a:bodyPr/>
        <a:p>
          <a:endParaRPr lang="zh-CN" altLang="en-US">
            <a:latin typeface="仿宋" panose="02010609060101010101" charset="-122"/>
            <a:ea typeface="仿宋" panose="02010609060101010101" charset="-122"/>
          </a:endParaRPr>
        </a:p>
      </dgm:t>
    </dgm:pt>
    <dgm:pt modelId="{6530F983-EC64-40CA-9ED7-39AED025BA2D}">
      <dgm:prSet phldrT="[文本]" custT="1"/>
      <dgm:spPr/>
      <dgm:t>
        <a:bodyPr/>
        <a:p>
          <a:r>
            <a:rPr lang="zh-CN" altLang="en-US" sz="1400" dirty="0" smtClean="0">
              <a:latin typeface="仿宋" panose="02010609060101010101" charset="-122"/>
              <a:ea typeface="仿宋" panose="02010609060101010101" charset="-122"/>
            </a:rPr>
            <a:t>二级管理员</a:t>
          </a:r>
          <a:endParaRPr lang="zh-CN" altLang="en-US" sz="1400" dirty="0">
            <a:latin typeface="仿宋" panose="02010609060101010101" charset="-122"/>
            <a:ea typeface="仿宋" panose="02010609060101010101" charset="-122"/>
          </a:endParaRPr>
        </a:p>
      </dgm:t>
    </dgm:pt>
    <dgm:pt modelId="{9DB11ECE-702D-4E2B-A31E-B6514A359C30}" cxnId="{9184B5A0-5B74-472F-AFCD-A7E6E60570B0}" type="parTrans">
      <dgm:prSet/>
      <dgm:spPr/>
      <dgm:t>
        <a:bodyPr/>
        <a:p>
          <a:endParaRPr lang="zh-CN" altLang="en-US">
            <a:latin typeface="仿宋" panose="02010609060101010101" charset="-122"/>
            <a:ea typeface="仿宋" panose="02010609060101010101" charset="-122"/>
          </a:endParaRPr>
        </a:p>
      </dgm:t>
    </dgm:pt>
    <dgm:pt modelId="{FDDA1854-C1C5-4AF9-B338-467BDBA8548D}" cxnId="{9184B5A0-5B74-472F-AFCD-A7E6E60570B0}" type="sibTrans">
      <dgm:prSet/>
      <dgm:spPr/>
      <dgm:t>
        <a:bodyPr/>
        <a:p>
          <a:endParaRPr lang="zh-CN" altLang="en-US">
            <a:latin typeface="仿宋" panose="02010609060101010101" charset="-122"/>
            <a:ea typeface="仿宋" panose="02010609060101010101" charset="-122"/>
          </a:endParaRPr>
        </a:p>
      </dgm:t>
    </dgm:pt>
    <dgm:pt modelId="{43A1A206-E974-48E0-B189-9176CE8F0E39}">
      <dgm:prSet phldrT="[文本]" custT="1"/>
      <dgm:spPr/>
      <dgm:t>
        <a:bodyPr/>
        <a:p>
          <a:r>
            <a:rPr lang="zh-CN" altLang="en-US" sz="1050" b="1" dirty="0">
              <a:latin typeface="仿宋" panose="02010609060101010101" charset="-122"/>
              <a:ea typeface="仿宋" panose="02010609060101010101" charset="-122"/>
            </a:rPr>
            <a:t>创建</a:t>
          </a:r>
          <a:r>
            <a:rPr lang="zh-CN" altLang="en-US" sz="1050" dirty="0">
              <a:latin typeface="仿宋" panose="02010609060101010101" charset="-122"/>
              <a:ea typeface="仿宋" panose="02010609060101010101" charset="-122"/>
            </a:rPr>
            <a:t>交易用户</a:t>
          </a:r>
        </a:p>
      </dgm:t>
    </dgm:pt>
    <dgm:pt modelId="{4F86D61D-EFDD-46F0-A715-2A678B0E752F}" cxnId="{241B2B37-36E7-4EAF-A9E0-D07066F73515}" type="parTrans">
      <dgm:prSet/>
      <dgm:spPr/>
      <dgm:t>
        <a:bodyPr/>
        <a:p>
          <a:endParaRPr lang="zh-CN" altLang="en-US">
            <a:latin typeface="仿宋" panose="02010609060101010101" charset="-122"/>
            <a:ea typeface="仿宋" panose="02010609060101010101" charset="-122"/>
          </a:endParaRPr>
        </a:p>
      </dgm:t>
    </dgm:pt>
    <dgm:pt modelId="{56F60374-8697-438E-B4F5-E875A29FA273}" cxnId="{241B2B37-36E7-4EAF-A9E0-D07066F73515}" type="sibTrans">
      <dgm:prSet/>
      <dgm:spPr/>
      <dgm:t>
        <a:bodyPr/>
        <a:p>
          <a:endParaRPr lang="zh-CN" altLang="en-US">
            <a:latin typeface="仿宋" panose="02010609060101010101" charset="-122"/>
            <a:ea typeface="仿宋" panose="02010609060101010101" charset="-122"/>
          </a:endParaRPr>
        </a:p>
      </dgm:t>
    </dgm:pt>
    <dgm:pt modelId="{006DF1F8-274F-4C8A-A92A-8001F3261005}">
      <dgm:prSet phldrT="[文本]" custT="1"/>
      <dgm:spPr/>
      <dgm:t>
        <a:bodyPr/>
        <a:p>
          <a:r>
            <a:rPr lang="zh-CN" altLang="en-US" sz="1400" dirty="0" smtClean="0">
              <a:latin typeface="仿宋" panose="02010609060101010101" charset="-122"/>
              <a:ea typeface="仿宋" panose="02010609060101010101" charset="-122"/>
            </a:rPr>
            <a:t>交易用户</a:t>
          </a:r>
          <a:endParaRPr lang="zh-CN" altLang="en-US" sz="1400" dirty="0">
            <a:latin typeface="仿宋" panose="02010609060101010101" charset="-122"/>
            <a:ea typeface="仿宋" panose="02010609060101010101" charset="-122"/>
          </a:endParaRPr>
        </a:p>
      </dgm:t>
    </dgm:pt>
    <dgm:pt modelId="{2F8E3593-74E4-4AC4-B00E-4F77166774C8}" cxnId="{617C410E-D9D0-4FB9-9C31-FB1AA51EF38B}" type="parTrans">
      <dgm:prSet/>
      <dgm:spPr/>
      <dgm:t>
        <a:bodyPr/>
        <a:p>
          <a:endParaRPr lang="zh-CN" altLang="en-US">
            <a:latin typeface="仿宋" panose="02010609060101010101" charset="-122"/>
            <a:ea typeface="仿宋" panose="02010609060101010101" charset="-122"/>
          </a:endParaRPr>
        </a:p>
      </dgm:t>
    </dgm:pt>
    <dgm:pt modelId="{3DD43F4C-EE23-4AD4-A064-4491435261BB}" cxnId="{617C410E-D9D0-4FB9-9C31-FB1AA51EF38B}" type="sibTrans">
      <dgm:prSet/>
      <dgm:spPr/>
      <dgm:t>
        <a:bodyPr/>
        <a:p>
          <a:endParaRPr lang="zh-CN" altLang="en-US">
            <a:latin typeface="仿宋" panose="02010609060101010101" charset="-122"/>
            <a:ea typeface="仿宋" panose="02010609060101010101" charset="-122"/>
          </a:endParaRPr>
        </a:p>
      </dgm:t>
    </dgm:pt>
    <dgm:pt modelId="{47AECC2D-23E9-4317-9EDE-2AF9BBC1EB22}">
      <dgm:prSet phldrT="[文本]" custT="1"/>
      <dgm:spPr/>
      <dgm:t>
        <a:bodyPr/>
        <a:p>
          <a:r>
            <a:rPr lang="zh-CN" altLang="en-US" sz="1050" b="1" dirty="0">
              <a:latin typeface="仿宋" panose="02010609060101010101" charset="-122"/>
              <a:ea typeface="仿宋" panose="02010609060101010101" charset="-122"/>
            </a:rPr>
            <a:t>申报</a:t>
          </a:r>
          <a:r>
            <a:rPr lang="zh-CN" altLang="en-US" sz="1050" dirty="0">
              <a:latin typeface="仿宋" panose="02010609060101010101" charset="-122"/>
              <a:ea typeface="仿宋" panose="02010609060101010101" charset="-122"/>
            </a:rPr>
            <a:t>委托、查看权限</a:t>
          </a:r>
        </a:p>
      </dgm:t>
    </dgm:pt>
    <dgm:pt modelId="{53D067D6-EE3E-45C2-8715-EB5B94FE9C8E}" cxnId="{6757B88C-C118-4B49-886D-FEF88F617137}" type="parTrans">
      <dgm:prSet/>
      <dgm:spPr/>
      <dgm:t>
        <a:bodyPr/>
        <a:p>
          <a:endParaRPr lang="zh-CN" altLang="en-US">
            <a:latin typeface="仿宋" panose="02010609060101010101" charset="-122"/>
            <a:ea typeface="仿宋" panose="02010609060101010101" charset="-122"/>
          </a:endParaRPr>
        </a:p>
      </dgm:t>
    </dgm:pt>
    <dgm:pt modelId="{A4D65A8B-25BA-4772-B342-DD357B28B6DA}" cxnId="{6757B88C-C118-4B49-886D-FEF88F617137}" type="sibTrans">
      <dgm:prSet/>
      <dgm:spPr/>
      <dgm:t>
        <a:bodyPr/>
        <a:p>
          <a:endParaRPr lang="zh-CN" altLang="en-US">
            <a:latin typeface="仿宋" panose="02010609060101010101" charset="-122"/>
            <a:ea typeface="仿宋" panose="02010609060101010101" charset="-122"/>
          </a:endParaRPr>
        </a:p>
      </dgm:t>
    </dgm:pt>
    <dgm:pt modelId="{B60C7516-9EB6-4709-8B75-994C32DB16F7}">
      <dgm:prSet phldrT="[文本]" custT="1"/>
      <dgm:spPr/>
      <dgm:t>
        <a:bodyPr/>
        <a:p>
          <a:r>
            <a:rPr lang="zh-CN" altLang="en-US" sz="1050" b="1" dirty="0" smtClean="0">
              <a:latin typeface="仿宋" panose="02010609060101010101" charset="-122"/>
              <a:ea typeface="仿宋" panose="02010609060101010101" charset="-122"/>
            </a:rPr>
            <a:t>设置</a:t>
          </a:r>
          <a:r>
            <a:rPr lang="zh-CN" altLang="en-US" sz="1050" b="0" dirty="0" smtClean="0">
              <a:latin typeface="仿宋" panose="02010609060101010101" charset="-122"/>
              <a:ea typeface="仿宋" panose="02010609060101010101" charset="-122"/>
            </a:rPr>
            <a:t>各用户组的交易终端</a:t>
          </a:r>
          <a:r>
            <a:rPr lang="zh-CN" sz="1050">
              <a:latin typeface="仿宋" panose="02010609060101010101" charset="-122"/>
              <a:ea typeface="仿宋" panose="02010609060101010101" charset="-122"/>
            </a:rPr>
            <a:t>固收</a:t>
          </a:r>
          <a:r>
            <a:rPr lang="zh-CN" altLang="en-US" sz="1050">
              <a:latin typeface="仿宋" panose="02010609060101010101" charset="-122"/>
              <a:ea typeface="仿宋" panose="02010609060101010101" charset="-122"/>
            </a:rPr>
            <a:t>专区</a:t>
          </a:r>
          <a:r>
            <a:rPr lang="zh-CN" sz="1050">
              <a:latin typeface="仿宋" panose="02010609060101010101" charset="-122"/>
              <a:ea typeface="仿宋" panose="02010609060101010101" charset="-122"/>
            </a:rPr>
            <a:t>权限</a:t>
          </a:r>
          <a:r>
            <a:rPr lang="zh-CN" altLang="en-US" sz="1050">
              <a:latin typeface="仿宋" panose="02010609060101010101" charset="-122"/>
              <a:ea typeface="仿宋" panose="02010609060101010101" charset="-122"/>
            </a:rPr>
            <a:t>及所管理的交易员</a:t>
          </a:r>
          <a:endParaRPr lang="zh-CN" altLang="en-US" sz="1050" dirty="0">
            <a:latin typeface="仿宋" panose="02010609060101010101" charset="-122"/>
            <a:ea typeface="仿宋" panose="02010609060101010101" charset="-122"/>
          </a:endParaRPr>
        </a:p>
      </dgm:t>
    </dgm:pt>
    <dgm:pt modelId="{D3958B17-7AA6-488A-AF07-DFC98A45E1BD}" cxnId="{1E0EFF57-6301-4D45-BEA3-E5F5609D73C4}" type="parTrans">
      <dgm:prSet/>
      <dgm:spPr/>
      <dgm:t>
        <a:bodyPr/>
        <a:p>
          <a:endParaRPr lang="zh-CN" altLang="en-US">
            <a:latin typeface="仿宋" panose="02010609060101010101" charset="-122"/>
            <a:ea typeface="仿宋" panose="02010609060101010101" charset="-122"/>
          </a:endParaRPr>
        </a:p>
      </dgm:t>
    </dgm:pt>
    <dgm:pt modelId="{F4271C98-5D3C-46EA-9EB0-55A122D676A4}" cxnId="{1E0EFF57-6301-4D45-BEA3-E5F5609D73C4}" type="sibTrans">
      <dgm:prSet/>
      <dgm:spPr/>
      <dgm:t>
        <a:bodyPr/>
        <a:p>
          <a:endParaRPr lang="zh-CN" altLang="en-US">
            <a:latin typeface="仿宋" panose="02010609060101010101" charset="-122"/>
            <a:ea typeface="仿宋" panose="02010609060101010101" charset="-122"/>
          </a:endParaRPr>
        </a:p>
      </dgm:t>
    </dgm:pt>
    <dgm:pt modelId="{36D939DB-715D-4269-A2A9-B275D007C791}">
      <dgm:prSet phldrT="[文本]" custT="1"/>
      <dgm:spPr/>
      <dgm:t>
        <a:bodyPr/>
        <a:p>
          <a:r>
            <a:rPr lang="zh-CN" altLang="en-US" sz="1050" b="1" dirty="0" smtClean="0">
              <a:latin typeface="仿宋" panose="02010609060101010101" charset="-122"/>
              <a:ea typeface="仿宋" panose="02010609060101010101" charset="-122"/>
            </a:rPr>
            <a:t>新建</a:t>
          </a:r>
          <a:r>
            <a:rPr lang="en-US" altLang="zh-CN" sz="1050" b="1" dirty="0" smtClean="0">
              <a:latin typeface="仿宋" panose="02010609060101010101" charset="-122"/>
              <a:ea typeface="仿宋" panose="02010609060101010101" charset="-122"/>
            </a:rPr>
            <a:t>/</a:t>
          </a:r>
          <a:r>
            <a:rPr lang="zh-CN" altLang="en-US" sz="1050" b="1" dirty="0" smtClean="0">
              <a:latin typeface="仿宋" panose="02010609060101010101" charset="-122"/>
              <a:ea typeface="仿宋" panose="02010609060101010101" charset="-122"/>
            </a:rPr>
            <a:t>编辑</a:t>
          </a:r>
          <a:r>
            <a:rPr lang="zh-CN" altLang="en-US" sz="1050" dirty="0" smtClean="0">
              <a:latin typeface="仿宋" panose="02010609060101010101" charset="-122"/>
              <a:ea typeface="仿宋" panose="02010609060101010101" charset="-122"/>
            </a:rPr>
            <a:t>交易员用户组</a:t>
          </a:r>
          <a:endParaRPr lang="zh-CN" altLang="en-US" sz="1400" dirty="0">
            <a:latin typeface="仿宋" panose="02010609060101010101" charset="-122"/>
            <a:ea typeface="仿宋" panose="02010609060101010101" charset="-122"/>
          </a:endParaRPr>
        </a:p>
      </dgm:t>
    </dgm:pt>
    <dgm:pt modelId="{5D87F549-479B-4B29-8DBD-87BFF70D2796}" cxnId="{D8956A4F-A7CA-44C9-9770-D4454E1B6FDD}" type="parTrans">
      <dgm:prSet/>
      <dgm:spPr/>
      <dgm:t>
        <a:bodyPr/>
        <a:p>
          <a:endParaRPr lang="zh-CN" altLang="en-US">
            <a:latin typeface="仿宋" panose="02010609060101010101" charset="-122"/>
            <a:ea typeface="仿宋" panose="02010609060101010101" charset="-122"/>
          </a:endParaRPr>
        </a:p>
      </dgm:t>
    </dgm:pt>
    <dgm:pt modelId="{F4A254F9-AA70-4B9F-89A7-BFD6DE22412E}" cxnId="{D8956A4F-A7CA-44C9-9770-D4454E1B6FDD}" type="sibTrans">
      <dgm:prSet/>
      <dgm:spPr/>
      <dgm:t>
        <a:bodyPr/>
        <a:p>
          <a:endParaRPr lang="zh-CN" altLang="en-US">
            <a:latin typeface="仿宋" panose="02010609060101010101" charset="-122"/>
            <a:ea typeface="仿宋" panose="02010609060101010101" charset="-122"/>
          </a:endParaRPr>
        </a:p>
      </dgm:t>
    </dgm:pt>
    <dgm:pt modelId="{AF453C35-B021-4526-B7DE-DB0E890EA96C}">
      <dgm:prSet phldrT="[文本]" custT="1"/>
      <dgm:spPr/>
      <dgm:t>
        <a:bodyPr/>
        <a:p>
          <a:r>
            <a:rPr lang="zh-CN" altLang="en-US" sz="1050" b="1" dirty="0" smtClean="0">
              <a:latin typeface="仿宋" panose="02010609060101010101" charset="-122"/>
              <a:ea typeface="仿宋" panose="02010609060101010101" charset="-122"/>
            </a:rPr>
            <a:t>设置</a:t>
          </a:r>
          <a:r>
            <a:rPr lang="zh-CN" altLang="en-US" sz="1050" dirty="0" smtClean="0">
              <a:latin typeface="仿宋" panose="02010609060101010101" charset="-122"/>
              <a:ea typeface="仿宋" panose="02010609060101010101" charset="-122"/>
            </a:rPr>
            <a:t>各用户组的交易终端固收专区权限</a:t>
          </a:r>
          <a:endParaRPr lang="zh-CN" altLang="en-US" sz="1400" dirty="0">
            <a:latin typeface="仿宋" panose="02010609060101010101" charset="-122"/>
            <a:ea typeface="仿宋" panose="02010609060101010101" charset="-122"/>
          </a:endParaRPr>
        </a:p>
      </dgm:t>
    </dgm:pt>
    <dgm:pt modelId="{ACFF4D78-5454-4765-B4E6-6A55943D4444}" cxnId="{5109FBF3-2033-48BB-8A48-9A2C54C3B544}" type="parTrans">
      <dgm:prSet/>
      <dgm:spPr/>
      <dgm:t>
        <a:bodyPr/>
        <a:p>
          <a:endParaRPr lang="zh-CN" altLang="en-US">
            <a:latin typeface="仿宋" panose="02010609060101010101" charset="-122"/>
            <a:ea typeface="仿宋" panose="02010609060101010101" charset="-122"/>
          </a:endParaRPr>
        </a:p>
      </dgm:t>
    </dgm:pt>
    <dgm:pt modelId="{04322A38-3695-4CA3-BC13-1956EB189512}" cxnId="{5109FBF3-2033-48BB-8A48-9A2C54C3B544}" type="sibTrans">
      <dgm:prSet/>
      <dgm:spPr/>
      <dgm:t>
        <a:bodyPr/>
        <a:p>
          <a:endParaRPr lang="zh-CN" altLang="en-US">
            <a:latin typeface="仿宋" panose="02010609060101010101" charset="-122"/>
            <a:ea typeface="仿宋" panose="02010609060101010101" charset="-122"/>
          </a:endParaRPr>
        </a:p>
      </dgm:t>
    </dgm:pt>
    <dgm:pt modelId="{274DA124-26D4-4A6C-A22A-41A9EB598DE3}">
      <dgm:prSet phldrT="[文本]" custT="1"/>
      <dgm:spPr/>
      <dgm:t>
        <a:bodyPr/>
        <a:p>
          <a:r>
            <a:rPr lang="zh-CN" altLang="en-US" sz="1050" b="1" dirty="0" smtClean="0">
              <a:latin typeface="仿宋" panose="02010609060101010101" charset="-122"/>
              <a:ea typeface="仿宋" panose="02010609060101010101" charset="-122"/>
            </a:rPr>
            <a:t>新建</a:t>
          </a:r>
          <a:r>
            <a:rPr lang="en-US" altLang="zh-CN" sz="1050" b="1" dirty="0" smtClean="0">
              <a:latin typeface="仿宋" panose="02010609060101010101" charset="-122"/>
              <a:ea typeface="仿宋" panose="02010609060101010101" charset="-122"/>
            </a:rPr>
            <a:t>/</a:t>
          </a:r>
          <a:r>
            <a:rPr lang="zh-CN" altLang="en-US" sz="1050" b="1" dirty="0" smtClean="0">
              <a:latin typeface="仿宋" panose="02010609060101010101" charset="-122"/>
              <a:ea typeface="仿宋" panose="02010609060101010101" charset="-122"/>
            </a:rPr>
            <a:t>编辑</a:t>
          </a:r>
          <a:r>
            <a:rPr lang="zh-CN" altLang="en-US" sz="1050" b="0" dirty="0" smtClean="0">
              <a:latin typeface="仿宋" panose="02010609060101010101" charset="-122"/>
              <a:ea typeface="仿宋" panose="02010609060101010101" charset="-122"/>
            </a:rPr>
            <a:t>二级管理员用户组</a:t>
          </a:r>
          <a:endParaRPr lang="zh-CN" altLang="en-US" sz="1050" b="0" dirty="0">
            <a:latin typeface="仿宋" panose="02010609060101010101" charset="-122"/>
            <a:ea typeface="仿宋" panose="02010609060101010101" charset="-122"/>
          </a:endParaRPr>
        </a:p>
      </dgm:t>
    </dgm:pt>
    <dgm:pt modelId="{37D1DB42-D5A8-4A1D-8074-4C68040E0116}" cxnId="{0C0AC833-FCE5-4C38-BD07-4D7DDEB92694}" type="parTrans">
      <dgm:prSet/>
      <dgm:spPr/>
      <dgm:t>
        <a:bodyPr/>
        <a:p>
          <a:endParaRPr lang="zh-CN" altLang="en-US">
            <a:latin typeface="仿宋" panose="02010609060101010101" charset="-122"/>
            <a:ea typeface="仿宋" panose="02010609060101010101" charset="-122"/>
          </a:endParaRPr>
        </a:p>
      </dgm:t>
    </dgm:pt>
    <dgm:pt modelId="{D0DBEF0A-374B-4A04-8A4C-E7C1EE121740}" cxnId="{0C0AC833-FCE5-4C38-BD07-4D7DDEB92694}" type="sibTrans">
      <dgm:prSet/>
      <dgm:spPr/>
      <dgm:t>
        <a:bodyPr/>
        <a:p>
          <a:endParaRPr lang="zh-CN" altLang="en-US">
            <a:latin typeface="仿宋" panose="02010609060101010101" charset="-122"/>
            <a:ea typeface="仿宋" panose="02010609060101010101" charset="-122"/>
          </a:endParaRPr>
        </a:p>
      </dgm:t>
    </dgm:pt>
    <dgm:pt modelId="{EB7FB398-B378-4554-85D6-83E5E4749D6A}">
      <dgm:prSet phldrT="[文本]" custT="1"/>
      <dgm:spPr/>
      <dgm:t>
        <a:bodyPr/>
        <a:p>
          <a:r>
            <a:rPr lang="zh-CN" altLang="en-US" sz="1050" dirty="0" smtClean="0">
              <a:latin typeface="仿宋" panose="02010609060101010101" charset="-122"/>
              <a:ea typeface="仿宋" panose="02010609060101010101" charset="-122"/>
            </a:rPr>
            <a:t>为可管理的交易员</a:t>
          </a:r>
          <a:r>
            <a:rPr lang="zh-CN" altLang="en-US" sz="1050" b="1" dirty="0" smtClean="0">
              <a:latin typeface="仿宋" panose="02010609060101010101" charset="-122"/>
              <a:ea typeface="仿宋" panose="02010609060101010101" charset="-122"/>
            </a:rPr>
            <a:t>绑定</a:t>
          </a:r>
          <a:r>
            <a:rPr lang="zh-CN" altLang="en-US" sz="1050" dirty="0" smtClean="0">
              <a:latin typeface="仿宋" panose="02010609060101010101" charset="-122"/>
              <a:ea typeface="仿宋" panose="02010609060101010101" charset="-122"/>
            </a:rPr>
            <a:t>用户</a:t>
          </a:r>
          <a:r>
            <a:rPr lang="en-US" altLang="zh-CN" sz="1050" dirty="0" smtClean="0">
              <a:latin typeface="仿宋" panose="02010609060101010101" charset="-122"/>
              <a:ea typeface="仿宋" panose="02010609060101010101" charset="-122"/>
            </a:rPr>
            <a:t>ID</a:t>
          </a:r>
          <a:endParaRPr lang="zh-CN" altLang="en-US" sz="1050" dirty="0">
            <a:latin typeface="仿宋" panose="02010609060101010101" charset="-122"/>
            <a:ea typeface="仿宋" panose="02010609060101010101" charset="-122"/>
          </a:endParaRPr>
        </a:p>
      </dgm:t>
    </dgm:pt>
    <dgm:pt modelId="{18782A7E-6EDB-42E0-9CE5-39FB60798B5B}" cxnId="{ACCDBC22-2AD6-4074-96FC-78EF2008FD92}" type="parTrans">
      <dgm:prSet/>
      <dgm:spPr/>
      <dgm:t>
        <a:bodyPr/>
        <a:p>
          <a:endParaRPr lang="zh-CN" altLang="en-US">
            <a:latin typeface="仿宋" panose="02010609060101010101" charset="-122"/>
            <a:ea typeface="仿宋" panose="02010609060101010101" charset="-122"/>
          </a:endParaRPr>
        </a:p>
      </dgm:t>
    </dgm:pt>
    <dgm:pt modelId="{1407B752-3199-4DCE-B4D3-5C72D57E6C1C}" cxnId="{ACCDBC22-2AD6-4074-96FC-78EF2008FD92}" type="sibTrans">
      <dgm:prSet/>
      <dgm:spPr/>
      <dgm:t>
        <a:bodyPr/>
        <a:p>
          <a:endParaRPr lang="zh-CN" altLang="en-US">
            <a:latin typeface="仿宋" panose="02010609060101010101" charset="-122"/>
            <a:ea typeface="仿宋" panose="02010609060101010101" charset="-122"/>
          </a:endParaRPr>
        </a:p>
      </dgm:t>
    </dgm:pt>
    <dgm:pt modelId="{8287BE7A-05F5-4D67-9FE2-9C3D9C543250}" type="pres">
      <dgm:prSet presAssocID="{3C5E6BF6-7872-40E1-9D69-593106CB2EF2}" presName="Name0" presStyleCnt="0">
        <dgm:presLayoutVars>
          <dgm:dir/>
          <dgm:animLvl val="lvl"/>
          <dgm:resizeHandles val="exact"/>
        </dgm:presLayoutVars>
      </dgm:prSet>
      <dgm:spPr/>
      <dgm:t>
        <a:bodyPr/>
        <a:p>
          <a:endParaRPr lang="zh-CN" altLang="en-US"/>
        </a:p>
      </dgm:t>
    </dgm:pt>
    <dgm:pt modelId="{4E1FCE77-3393-4BB0-9E30-CE56033F9D49}" type="pres">
      <dgm:prSet presAssocID="{0138F74B-F4B0-4657-8F5C-38593066E2FB}" presName="vertFlow" presStyleCnt="0"/>
      <dgm:spPr/>
    </dgm:pt>
    <dgm:pt modelId="{5E015E56-76C9-481B-AFEB-3BB9D51BBC7F}" type="pres">
      <dgm:prSet presAssocID="{0138F74B-F4B0-4657-8F5C-38593066E2FB}" presName="header" presStyleLbl="node1" presStyleIdx="0" presStyleCnt="3"/>
      <dgm:spPr/>
      <dgm:t>
        <a:bodyPr/>
        <a:p>
          <a:endParaRPr lang="zh-CN" altLang="en-US"/>
        </a:p>
      </dgm:t>
    </dgm:pt>
    <dgm:pt modelId="{5D1CCA06-E6D0-42EC-8BA1-D750314EB1D1}" type="pres">
      <dgm:prSet presAssocID="{95CB33F0-ECB2-4470-A66C-EFF483652461}" presName="parTrans" presStyleLbl="sibTrans2D1" presStyleIdx="0" presStyleCnt="8"/>
      <dgm:spPr/>
      <dgm:t>
        <a:bodyPr/>
        <a:p>
          <a:endParaRPr lang="zh-CN" altLang="en-US"/>
        </a:p>
      </dgm:t>
    </dgm:pt>
    <dgm:pt modelId="{B812EC03-3942-4A06-9544-1B7A6F9855B7}" type="pres">
      <dgm:prSet presAssocID="{F45CC90B-FCEB-489C-8D56-E6EB0D645FC9}" presName="child" presStyleLbl="alignAccFollowNode1" presStyleIdx="0" presStyleCnt="8">
        <dgm:presLayoutVars>
          <dgm:chMax val="0"/>
          <dgm:bulletEnabled val="1"/>
        </dgm:presLayoutVars>
      </dgm:prSet>
      <dgm:spPr/>
      <dgm:t>
        <a:bodyPr/>
        <a:p>
          <a:endParaRPr lang="zh-CN" altLang="en-US"/>
        </a:p>
      </dgm:t>
    </dgm:pt>
    <dgm:pt modelId="{0B49C6D9-F85A-4D1D-B796-C98B818CB8B2}" type="pres">
      <dgm:prSet presAssocID="{9339C311-9FCD-4A62-BAA2-5AFBF6D5BB52}" presName="sibTrans" presStyleLbl="sibTrans2D1" presStyleIdx="1" presStyleCnt="8"/>
      <dgm:spPr/>
      <dgm:t>
        <a:bodyPr/>
        <a:p>
          <a:endParaRPr lang="zh-CN" altLang="en-US"/>
        </a:p>
      </dgm:t>
    </dgm:pt>
    <dgm:pt modelId="{76A8FE98-862D-484B-AAD9-D1949D0E8B19}" type="pres">
      <dgm:prSet presAssocID="{274DA124-26D4-4A6C-A22A-41A9EB598DE3}" presName="child" presStyleLbl="alignAccFollowNode1" presStyleIdx="1" presStyleCnt="8">
        <dgm:presLayoutVars>
          <dgm:chMax val="0"/>
          <dgm:bulletEnabled val="1"/>
        </dgm:presLayoutVars>
      </dgm:prSet>
      <dgm:spPr/>
      <dgm:t>
        <a:bodyPr/>
        <a:p>
          <a:endParaRPr lang="zh-CN" altLang="en-US"/>
        </a:p>
      </dgm:t>
    </dgm:pt>
    <dgm:pt modelId="{260A890C-D597-4D74-90C0-04B3EC8C7BAC}" type="pres">
      <dgm:prSet presAssocID="{D0DBEF0A-374B-4A04-8A4C-E7C1EE121740}" presName="sibTrans" presStyleLbl="sibTrans2D1" presStyleIdx="2" presStyleCnt="8"/>
      <dgm:spPr/>
      <dgm:t>
        <a:bodyPr/>
        <a:p>
          <a:endParaRPr lang="zh-CN" altLang="en-US"/>
        </a:p>
      </dgm:t>
    </dgm:pt>
    <dgm:pt modelId="{DB9DEA24-443E-45C9-AA14-FBB39AA2FA50}" type="pres">
      <dgm:prSet presAssocID="{B60C7516-9EB6-4709-8B75-994C32DB16F7}" presName="child" presStyleLbl="alignAccFollowNode1" presStyleIdx="2" presStyleCnt="8" custScaleX="99578" custScaleY="147574">
        <dgm:presLayoutVars>
          <dgm:chMax val="0"/>
          <dgm:bulletEnabled val="1"/>
        </dgm:presLayoutVars>
      </dgm:prSet>
      <dgm:spPr/>
      <dgm:t>
        <a:bodyPr/>
        <a:p>
          <a:endParaRPr lang="zh-CN" altLang="en-US"/>
        </a:p>
      </dgm:t>
    </dgm:pt>
    <dgm:pt modelId="{353E5C1E-18FA-4282-8138-2CE2F5AB1F5B}" type="pres">
      <dgm:prSet presAssocID="{0138F74B-F4B0-4657-8F5C-38593066E2FB}" presName="hSp" presStyleCnt="0"/>
      <dgm:spPr/>
    </dgm:pt>
    <dgm:pt modelId="{A7563F42-1236-430E-889F-AD1C6D4C5628}" type="pres">
      <dgm:prSet presAssocID="{6530F983-EC64-40CA-9ED7-39AED025BA2D}" presName="vertFlow" presStyleCnt="0"/>
      <dgm:spPr/>
    </dgm:pt>
    <dgm:pt modelId="{1208B812-4181-4A01-B5C8-5047DCB92F42}" type="pres">
      <dgm:prSet presAssocID="{6530F983-EC64-40CA-9ED7-39AED025BA2D}" presName="header" presStyleLbl="node1" presStyleIdx="1" presStyleCnt="3"/>
      <dgm:spPr/>
      <dgm:t>
        <a:bodyPr/>
        <a:p>
          <a:endParaRPr lang="zh-CN" altLang="en-US"/>
        </a:p>
      </dgm:t>
    </dgm:pt>
    <dgm:pt modelId="{B77C1351-4818-4C09-B30A-EBDCB0E2A44C}" type="pres">
      <dgm:prSet presAssocID="{18782A7E-6EDB-42E0-9CE5-39FB60798B5B}" presName="parTrans" presStyleLbl="sibTrans2D1" presStyleIdx="3" presStyleCnt="8"/>
      <dgm:spPr/>
      <dgm:t>
        <a:bodyPr/>
        <a:p>
          <a:endParaRPr lang="zh-CN" altLang="en-US"/>
        </a:p>
      </dgm:t>
    </dgm:pt>
    <dgm:pt modelId="{5FA043F2-B65E-4988-AFFF-DC65D33633B3}" type="pres">
      <dgm:prSet presAssocID="{EB7FB398-B378-4554-85D6-83E5E4749D6A}" presName="child" presStyleLbl="alignAccFollowNode1" presStyleIdx="3" presStyleCnt="8">
        <dgm:presLayoutVars>
          <dgm:chMax val="0"/>
          <dgm:bulletEnabled val="1"/>
        </dgm:presLayoutVars>
      </dgm:prSet>
      <dgm:spPr/>
      <dgm:t>
        <a:bodyPr/>
        <a:p>
          <a:endParaRPr lang="zh-CN" altLang="en-US"/>
        </a:p>
      </dgm:t>
    </dgm:pt>
    <dgm:pt modelId="{421A5D4F-D444-44D6-A98C-85B5FE3E9E2D}" type="pres">
      <dgm:prSet presAssocID="{1407B752-3199-4DCE-B4D3-5C72D57E6C1C}" presName="sibTrans" presStyleLbl="sibTrans2D1" presStyleIdx="4" presStyleCnt="8"/>
      <dgm:spPr/>
      <dgm:t>
        <a:bodyPr/>
        <a:p>
          <a:endParaRPr lang="zh-CN" altLang="en-US"/>
        </a:p>
      </dgm:t>
    </dgm:pt>
    <dgm:pt modelId="{3A945311-78D7-4A53-A830-6413145BD055}" type="pres">
      <dgm:prSet presAssocID="{43A1A206-E974-48E0-B189-9176CE8F0E39}" presName="child" presStyleLbl="alignAccFollowNode1" presStyleIdx="4" presStyleCnt="8">
        <dgm:presLayoutVars>
          <dgm:chMax val="0"/>
          <dgm:bulletEnabled val="1"/>
        </dgm:presLayoutVars>
      </dgm:prSet>
      <dgm:spPr/>
      <dgm:t>
        <a:bodyPr/>
        <a:p>
          <a:endParaRPr lang="zh-CN" altLang="en-US"/>
        </a:p>
      </dgm:t>
    </dgm:pt>
    <dgm:pt modelId="{83184E4F-4D5B-4FAA-A0EC-5CC60DD3A8A3}" type="pres">
      <dgm:prSet presAssocID="{56F60374-8697-438E-B4F5-E875A29FA273}" presName="sibTrans" presStyleLbl="sibTrans2D1" presStyleIdx="5" presStyleCnt="8"/>
      <dgm:spPr/>
      <dgm:t>
        <a:bodyPr/>
        <a:p>
          <a:endParaRPr lang="zh-CN" altLang="en-US"/>
        </a:p>
      </dgm:t>
    </dgm:pt>
    <dgm:pt modelId="{FDBDB93E-F120-4D47-AE8B-E1A21BEBCD2C}" type="pres">
      <dgm:prSet presAssocID="{36D939DB-715D-4269-A2A9-B275D007C791}" presName="child" presStyleLbl="alignAccFollowNode1" presStyleIdx="5" presStyleCnt="8">
        <dgm:presLayoutVars>
          <dgm:chMax val="0"/>
          <dgm:bulletEnabled val="1"/>
        </dgm:presLayoutVars>
      </dgm:prSet>
      <dgm:spPr/>
      <dgm:t>
        <a:bodyPr/>
        <a:p>
          <a:endParaRPr lang="zh-CN" altLang="en-US"/>
        </a:p>
      </dgm:t>
    </dgm:pt>
    <dgm:pt modelId="{335459EE-DE40-49A5-A1A5-1A9B67E2678C}" type="pres">
      <dgm:prSet presAssocID="{F4A254F9-AA70-4B9F-89A7-BFD6DE22412E}" presName="sibTrans" presStyleLbl="sibTrans2D1" presStyleIdx="6" presStyleCnt="8"/>
      <dgm:spPr/>
      <dgm:t>
        <a:bodyPr/>
        <a:p>
          <a:endParaRPr lang="zh-CN" altLang="en-US"/>
        </a:p>
      </dgm:t>
    </dgm:pt>
    <dgm:pt modelId="{FE448F90-B6AC-4ADD-9241-F1D8E7D3DBCF}" type="pres">
      <dgm:prSet presAssocID="{AF453C35-B021-4526-B7DE-DB0E890EA96C}" presName="child" presStyleLbl="alignAccFollowNode1" presStyleIdx="6" presStyleCnt="8">
        <dgm:presLayoutVars>
          <dgm:chMax val="0"/>
          <dgm:bulletEnabled val="1"/>
        </dgm:presLayoutVars>
      </dgm:prSet>
      <dgm:spPr/>
      <dgm:t>
        <a:bodyPr/>
        <a:p>
          <a:endParaRPr lang="zh-CN" altLang="en-US"/>
        </a:p>
      </dgm:t>
    </dgm:pt>
    <dgm:pt modelId="{DA7EB0D9-9BD3-41ED-9B41-0671D4D0379F}" type="pres">
      <dgm:prSet presAssocID="{6530F983-EC64-40CA-9ED7-39AED025BA2D}" presName="hSp" presStyleCnt="0"/>
      <dgm:spPr/>
    </dgm:pt>
    <dgm:pt modelId="{14038E10-2BB6-444F-A571-3F85B64D1FAE}" type="pres">
      <dgm:prSet presAssocID="{006DF1F8-274F-4C8A-A92A-8001F3261005}" presName="vertFlow" presStyleCnt="0"/>
      <dgm:spPr/>
    </dgm:pt>
    <dgm:pt modelId="{08C23166-D57A-47DA-9CB2-9920128FE051}" type="pres">
      <dgm:prSet presAssocID="{006DF1F8-274F-4C8A-A92A-8001F3261005}" presName="header" presStyleLbl="node1" presStyleIdx="2" presStyleCnt="3"/>
      <dgm:spPr/>
      <dgm:t>
        <a:bodyPr/>
        <a:p>
          <a:endParaRPr lang="zh-CN" altLang="en-US"/>
        </a:p>
      </dgm:t>
    </dgm:pt>
    <dgm:pt modelId="{00C090A5-D850-41A9-9829-6D2A5B7FE032}" type="pres">
      <dgm:prSet presAssocID="{53D067D6-EE3E-45C2-8715-EB5B94FE9C8E}" presName="parTrans" presStyleLbl="sibTrans2D1" presStyleIdx="7" presStyleCnt="8"/>
      <dgm:spPr/>
      <dgm:t>
        <a:bodyPr/>
        <a:p>
          <a:endParaRPr lang="zh-CN" altLang="en-US"/>
        </a:p>
      </dgm:t>
    </dgm:pt>
    <dgm:pt modelId="{22E176FF-C425-4B35-814A-5519ADA78F15}" type="pres">
      <dgm:prSet presAssocID="{47AECC2D-23E9-4317-9EDE-2AF9BBC1EB22}" presName="child" presStyleLbl="alignAccFollowNode1" presStyleIdx="7" presStyleCnt="8">
        <dgm:presLayoutVars>
          <dgm:chMax val="0"/>
          <dgm:bulletEnabled val="1"/>
        </dgm:presLayoutVars>
      </dgm:prSet>
      <dgm:spPr/>
      <dgm:t>
        <a:bodyPr/>
        <a:p>
          <a:endParaRPr lang="zh-CN" altLang="en-US"/>
        </a:p>
      </dgm:t>
    </dgm:pt>
  </dgm:ptLst>
  <dgm:cxnLst>
    <dgm:cxn modelId="{EE2EBD53-8785-4827-B5C8-A2A7C66E78B1}" type="presOf" srcId="{F4A254F9-AA70-4B9F-89A7-BFD6DE22412E}" destId="{335459EE-DE40-49A5-A1A5-1A9B67E2678C}" srcOrd="0" destOrd="0" presId="urn:microsoft.com/office/officeart/2005/8/layout/lProcess1#1"/>
    <dgm:cxn modelId="{2C1B6961-4324-41D7-9ACD-ECAD41FDEA41}" type="presOf" srcId="{274DA124-26D4-4A6C-A22A-41A9EB598DE3}" destId="{76A8FE98-862D-484B-AAD9-D1949D0E8B19}" srcOrd="0" destOrd="0" presId="urn:microsoft.com/office/officeart/2005/8/layout/lProcess1#1"/>
    <dgm:cxn modelId="{617C410E-D9D0-4FB9-9C31-FB1AA51EF38B}" srcId="{3C5E6BF6-7872-40E1-9D69-593106CB2EF2}" destId="{006DF1F8-274F-4C8A-A92A-8001F3261005}" srcOrd="2" destOrd="0" parTransId="{2F8E3593-74E4-4AC4-B00E-4F77166774C8}" sibTransId="{3DD43F4C-EE23-4AD4-A064-4491435261BB}"/>
    <dgm:cxn modelId="{D8956A4F-A7CA-44C9-9770-D4454E1B6FDD}" srcId="{6530F983-EC64-40CA-9ED7-39AED025BA2D}" destId="{36D939DB-715D-4269-A2A9-B275D007C791}" srcOrd="2" destOrd="0" parTransId="{5D87F549-479B-4B29-8DBD-87BFF70D2796}" sibTransId="{F4A254F9-AA70-4B9F-89A7-BFD6DE22412E}"/>
    <dgm:cxn modelId="{06418040-13CC-417D-B97B-87E73FACCA99}" type="presOf" srcId="{F45CC90B-FCEB-489C-8D56-E6EB0D645FC9}" destId="{B812EC03-3942-4A06-9544-1B7A6F9855B7}" srcOrd="0" destOrd="0" presId="urn:microsoft.com/office/officeart/2005/8/layout/lProcess1#1"/>
    <dgm:cxn modelId="{0C0AC833-FCE5-4C38-BD07-4D7DDEB92694}" srcId="{0138F74B-F4B0-4657-8F5C-38593066E2FB}" destId="{274DA124-26D4-4A6C-A22A-41A9EB598DE3}" srcOrd="1" destOrd="0" parTransId="{37D1DB42-D5A8-4A1D-8074-4C68040E0116}" sibTransId="{D0DBEF0A-374B-4A04-8A4C-E7C1EE121740}"/>
    <dgm:cxn modelId="{73842360-0A03-4C34-BD61-B3F95DE86284}" type="presOf" srcId="{AF453C35-B021-4526-B7DE-DB0E890EA96C}" destId="{FE448F90-B6AC-4ADD-9241-F1D8E7D3DBCF}" srcOrd="0" destOrd="0" presId="urn:microsoft.com/office/officeart/2005/8/layout/lProcess1#1"/>
    <dgm:cxn modelId="{514B3B8F-83D6-4145-B6A5-AEC0D2815714}" type="presOf" srcId="{9339C311-9FCD-4A62-BAA2-5AFBF6D5BB52}" destId="{0B49C6D9-F85A-4D1D-B796-C98B818CB8B2}" srcOrd="0" destOrd="0" presId="urn:microsoft.com/office/officeart/2005/8/layout/lProcess1#1"/>
    <dgm:cxn modelId="{8DD1E375-4C5E-4BFF-9220-547B318F820C}" type="presOf" srcId="{18782A7E-6EDB-42E0-9CE5-39FB60798B5B}" destId="{B77C1351-4818-4C09-B30A-EBDCB0E2A44C}" srcOrd="0" destOrd="0" presId="urn:microsoft.com/office/officeart/2005/8/layout/lProcess1#1"/>
    <dgm:cxn modelId="{7BD02831-8575-4813-BD88-D3A5D7988F33}" type="presOf" srcId="{1407B752-3199-4DCE-B4D3-5C72D57E6C1C}" destId="{421A5D4F-D444-44D6-A98C-85B5FE3E9E2D}" srcOrd="0" destOrd="0" presId="urn:microsoft.com/office/officeart/2005/8/layout/lProcess1#1"/>
    <dgm:cxn modelId="{6DD183D3-497D-4AB9-A7EF-7848D9CD3993}" type="presOf" srcId="{0138F74B-F4B0-4657-8F5C-38593066E2FB}" destId="{5E015E56-76C9-481B-AFEB-3BB9D51BBC7F}" srcOrd="0" destOrd="0" presId="urn:microsoft.com/office/officeart/2005/8/layout/lProcess1#1"/>
    <dgm:cxn modelId="{6757B88C-C118-4B49-886D-FEF88F617137}" srcId="{006DF1F8-274F-4C8A-A92A-8001F3261005}" destId="{47AECC2D-23E9-4317-9EDE-2AF9BBC1EB22}" srcOrd="0" destOrd="0" parTransId="{53D067D6-EE3E-45C2-8715-EB5B94FE9C8E}" sibTransId="{A4D65A8B-25BA-4772-B342-DD357B28B6DA}"/>
    <dgm:cxn modelId="{D29BE2EB-BD86-4E08-A48E-905F9A181DF0}" type="presOf" srcId="{95CB33F0-ECB2-4470-A66C-EFF483652461}" destId="{5D1CCA06-E6D0-42EC-8BA1-D750314EB1D1}" srcOrd="0" destOrd="0" presId="urn:microsoft.com/office/officeart/2005/8/layout/lProcess1#1"/>
    <dgm:cxn modelId="{241B2B37-36E7-4EAF-A9E0-D07066F73515}" srcId="{6530F983-EC64-40CA-9ED7-39AED025BA2D}" destId="{43A1A206-E974-48E0-B189-9176CE8F0E39}" srcOrd="1" destOrd="0" parTransId="{4F86D61D-EFDD-46F0-A715-2A678B0E752F}" sibTransId="{56F60374-8697-438E-B4F5-E875A29FA273}"/>
    <dgm:cxn modelId="{4E18E1AD-72CB-4676-8098-B6C387C3D24E}" type="presOf" srcId="{36D939DB-715D-4269-A2A9-B275D007C791}" destId="{FDBDB93E-F120-4D47-AE8B-E1A21BEBCD2C}" srcOrd="0" destOrd="0" presId="urn:microsoft.com/office/officeart/2005/8/layout/lProcess1#1"/>
    <dgm:cxn modelId="{59183C63-A97A-4582-AE26-3F11A76F430E}" type="presOf" srcId="{47AECC2D-23E9-4317-9EDE-2AF9BBC1EB22}" destId="{22E176FF-C425-4B35-814A-5519ADA78F15}" srcOrd="0" destOrd="0" presId="urn:microsoft.com/office/officeart/2005/8/layout/lProcess1#1"/>
    <dgm:cxn modelId="{B9B2A542-DFF9-4758-99A8-9913017A7D73}" type="presOf" srcId="{D0DBEF0A-374B-4A04-8A4C-E7C1EE121740}" destId="{260A890C-D597-4D74-90C0-04B3EC8C7BAC}" srcOrd="0" destOrd="0" presId="urn:microsoft.com/office/officeart/2005/8/layout/lProcess1#1"/>
    <dgm:cxn modelId="{ACCDBC22-2AD6-4074-96FC-78EF2008FD92}" srcId="{6530F983-EC64-40CA-9ED7-39AED025BA2D}" destId="{EB7FB398-B378-4554-85D6-83E5E4749D6A}" srcOrd="0" destOrd="0" parTransId="{18782A7E-6EDB-42E0-9CE5-39FB60798B5B}" sibTransId="{1407B752-3199-4DCE-B4D3-5C72D57E6C1C}"/>
    <dgm:cxn modelId="{205CBF3C-7B6E-4915-9240-45F568F568B6}" type="presOf" srcId="{43A1A206-E974-48E0-B189-9176CE8F0E39}" destId="{3A945311-78D7-4A53-A830-6413145BD055}" srcOrd="0" destOrd="0" presId="urn:microsoft.com/office/officeart/2005/8/layout/lProcess1#1"/>
    <dgm:cxn modelId="{BC4618B6-CE88-4604-923A-F47F785EEFC3}" srcId="{3C5E6BF6-7872-40E1-9D69-593106CB2EF2}" destId="{0138F74B-F4B0-4657-8F5C-38593066E2FB}" srcOrd="0" destOrd="0" parTransId="{781A6435-ECFA-4A5E-8CFC-8A9D657B9E50}" sibTransId="{27500071-8283-4751-AE8B-ED3F015B52CD}"/>
    <dgm:cxn modelId="{3B54DB17-403A-4B12-85E7-E1ABB0E50DAE}" type="presOf" srcId="{56F60374-8697-438E-B4F5-E875A29FA273}" destId="{83184E4F-4D5B-4FAA-A0EC-5CC60DD3A8A3}" srcOrd="0" destOrd="0" presId="urn:microsoft.com/office/officeart/2005/8/layout/lProcess1#1"/>
    <dgm:cxn modelId="{6D08AE47-4F3D-42CF-82E8-9876C762D3C7}" type="presOf" srcId="{53D067D6-EE3E-45C2-8715-EB5B94FE9C8E}" destId="{00C090A5-D850-41A9-9829-6D2A5B7FE032}" srcOrd="0" destOrd="0" presId="urn:microsoft.com/office/officeart/2005/8/layout/lProcess1#1"/>
    <dgm:cxn modelId="{1E0EFF57-6301-4D45-BEA3-E5F5609D73C4}" srcId="{0138F74B-F4B0-4657-8F5C-38593066E2FB}" destId="{B60C7516-9EB6-4709-8B75-994C32DB16F7}" srcOrd="2" destOrd="0" parTransId="{D3958B17-7AA6-488A-AF07-DFC98A45E1BD}" sibTransId="{F4271C98-5D3C-46EA-9EB0-55A122D676A4}"/>
    <dgm:cxn modelId="{15C1DE48-F07E-4BE4-A33F-7E111905C2AB}" type="presOf" srcId="{006DF1F8-274F-4C8A-A92A-8001F3261005}" destId="{08C23166-D57A-47DA-9CB2-9920128FE051}" srcOrd="0" destOrd="0" presId="urn:microsoft.com/office/officeart/2005/8/layout/lProcess1#1"/>
    <dgm:cxn modelId="{380199ED-4A1E-487E-A681-684A8A0A12E2}" type="presOf" srcId="{3C5E6BF6-7872-40E1-9D69-593106CB2EF2}" destId="{8287BE7A-05F5-4D67-9FE2-9C3D9C543250}" srcOrd="0" destOrd="0" presId="urn:microsoft.com/office/officeart/2005/8/layout/lProcess1#1"/>
    <dgm:cxn modelId="{9EEBB97C-091B-4B42-983A-77DA96626FA1}" type="presOf" srcId="{EB7FB398-B378-4554-85D6-83E5E4749D6A}" destId="{5FA043F2-B65E-4988-AFFF-DC65D33633B3}" srcOrd="0" destOrd="0" presId="urn:microsoft.com/office/officeart/2005/8/layout/lProcess1#1"/>
    <dgm:cxn modelId="{092EF50A-458C-4862-8290-C22068C1BD79}" srcId="{0138F74B-F4B0-4657-8F5C-38593066E2FB}" destId="{F45CC90B-FCEB-489C-8D56-E6EB0D645FC9}" srcOrd="0" destOrd="0" parTransId="{95CB33F0-ECB2-4470-A66C-EFF483652461}" sibTransId="{9339C311-9FCD-4A62-BAA2-5AFBF6D5BB52}"/>
    <dgm:cxn modelId="{9184B5A0-5B74-472F-AFCD-A7E6E60570B0}" srcId="{3C5E6BF6-7872-40E1-9D69-593106CB2EF2}" destId="{6530F983-EC64-40CA-9ED7-39AED025BA2D}" srcOrd="1" destOrd="0" parTransId="{9DB11ECE-702D-4E2B-A31E-B6514A359C30}" sibTransId="{FDDA1854-C1C5-4AF9-B338-467BDBA8548D}"/>
    <dgm:cxn modelId="{CC8C7219-2331-40E2-B41B-D02A47CF2388}" type="presOf" srcId="{6530F983-EC64-40CA-9ED7-39AED025BA2D}" destId="{1208B812-4181-4A01-B5C8-5047DCB92F42}" srcOrd="0" destOrd="0" presId="urn:microsoft.com/office/officeart/2005/8/layout/lProcess1#1"/>
    <dgm:cxn modelId="{57C66DB4-C429-4A2C-ACB7-2ADE5D1BD316}" type="presOf" srcId="{B60C7516-9EB6-4709-8B75-994C32DB16F7}" destId="{DB9DEA24-443E-45C9-AA14-FBB39AA2FA50}" srcOrd="0" destOrd="0" presId="urn:microsoft.com/office/officeart/2005/8/layout/lProcess1#1"/>
    <dgm:cxn modelId="{5109FBF3-2033-48BB-8A48-9A2C54C3B544}" srcId="{6530F983-EC64-40CA-9ED7-39AED025BA2D}" destId="{AF453C35-B021-4526-B7DE-DB0E890EA96C}" srcOrd="3" destOrd="0" parTransId="{ACFF4D78-5454-4765-B4E6-6A55943D4444}" sibTransId="{04322A38-3695-4CA3-BC13-1956EB189512}"/>
    <dgm:cxn modelId="{EDD8BCF0-04E2-413E-83E2-3C1E58F08D2A}" type="presParOf" srcId="{8287BE7A-05F5-4D67-9FE2-9C3D9C543250}" destId="{4E1FCE77-3393-4BB0-9E30-CE56033F9D49}" srcOrd="0" destOrd="0" presId="urn:microsoft.com/office/officeart/2005/8/layout/lProcess1#1"/>
    <dgm:cxn modelId="{7177FEFE-C5A8-4E5D-ADBA-3B2BA7DC3FEB}" type="presParOf" srcId="{4E1FCE77-3393-4BB0-9E30-CE56033F9D49}" destId="{5E015E56-76C9-481B-AFEB-3BB9D51BBC7F}" srcOrd="0" destOrd="0" presId="urn:microsoft.com/office/officeart/2005/8/layout/lProcess1#1"/>
    <dgm:cxn modelId="{EB8765A0-6BF4-4DFB-8A79-FB734000B7B7}" type="presParOf" srcId="{4E1FCE77-3393-4BB0-9E30-CE56033F9D49}" destId="{5D1CCA06-E6D0-42EC-8BA1-D750314EB1D1}" srcOrd="1" destOrd="0" presId="urn:microsoft.com/office/officeart/2005/8/layout/lProcess1#1"/>
    <dgm:cxn modelId="{8B5DD61F-C52B-47BA-B61E-F703CE717CC6}" type="presParOf" srcId="{4E1FCE77-3393-4BB0-9E30-CE56033F9D49}" destId="{B812EC03-3942-4A06-9544-1B7A6F9855B7}" srcOrd="2" destOrd="0" presId="urn:microsoft.com/office/officeart/2005/8/layout/lProcess1#1"/>
    <dgm:cxn modelId="{BA7699D1-1B34-404E-A474-CB21A3D6BB96}" type="presParOf" srcId="{4E1FCE77-3393-4BB0-9E30-CE56033F9D49}" destId="{0B49C6D9-F85A-4D1D-B796-C98B818CB8B2}" srcOrd="3" destOrd="0" presId="urn:microsoft.com/office/officeart/2005/8/layout/lProcess1#1"/>
    <dgm:cxn modelId="{C2280706-E5D1-4DB5-9EFA-247D1F03E69A}" type="presParOf" srcId="{4E1FCE77-3393-4BB0-9E30-CE56033F9D49}" destId="{76A8FE98-862D-484B-AAD9-D1949D0E8B19}" srcOrd="4" destOrd="0" presId="urn:microsoft.com/office/officeart/2005/8/layout/lProcess1#1"/>
    <dgm:cxn modelId="{B1CE1B87-8D66-413F-8F1F-AE02175DA0CE}" type="presParOf" srcId="{4E1FCE77-3393-4BB0-9E30-CE56033F9D49}" destId="{260A890C-D597-4D74-90C0-04B3EC8C7BAC}" srcOrd="5" destOrd="0" presId="urn:microsoft.com/office/officeart/2005/8/layout/lProcess1#1"/>
    <dgm:cxn modelId="{0140C657-3512-4EE3-AAAF-C1B823696F21}" type="presParOf" srcId="{4E1FCE77-3393-4BB0-9E30-CE56033F9D49}" destId="{DB9DEA24-443E-45C9-AA14-FBB39AA2FA50}" srcOrd="6" destOrd="0" presId="urn:microsoft.com/office/officeart/2005/8/layout/lProcess1#1"/>
    <dgm:cxn modelId="{5E818B07-0085-4BED-A262-D4184A22918D}" type="presParOf" srcId="{8287BE7A-05F5-4D67-9FE2-9C3D9C543250}" destId="{353E5C1E-18FA-4282-8138-2CE2F5AB1F5B}" srcOrd="1" destOrd="0" presId="urn:microsoft.com/office/officeart/2005/8/layout/lProcess1#1"/>
    <dgm:cxn modelId="{3FDED345-24D3-4776-9D81-292817663D7B}" type="presParOf" srcId="{8287BE7A-05F5-4D67-9FE2-9C3D9C543250}" destId="{A7563F42-1236-430E-889F-AD1C6D4C5628}" srcOrd="2" destOrd="0" presId="urn:microsoft.com/office/officeart/2005/8/layout/lProcess1#1"/>
    <dgm:cxn modelId="{D2C3BD8C-A250-478B-B446-3205E55BF0F4}" type="presParOf" srcId="{A7563F42-1236-430E-889F-AD1C6D4C5628}" destId="{1208B812-4181-4A01-B5C8-5047DCB92F42}" srcOrd="0" destOrd="0" presId="urn:microsoft.com/office/officeart/2005/8/layout/lProcess1#1"/>
    <dgm:cxn modelId="{62650BFE-0A9C-4058-8DF5-97BF3A068C80}" type="presParOf" srcId="{A7563F42-1236-430E-889F-AD1C6D4C5628}" destId="{B77C1351-4818-4C09-B30A-EBDCB0E2A44C}" srcOrd="1" destOrd="0" presId="urn:microsoft.com/office/officeart/2005/8/layout/lProcess1#1"/>
    <dgm:cxn modelId="{DB5E9C9A-AD2F-46CB-9BBA-B57D213B1839}" type="presParOf" srcId="{A7563F42-1236-430E-889F-AD1C6D4C5628}" destId="{5FA043F2-B65E-4988-AFFF-DC65D33633B3}" srcOrd="2" destOrd="0" presId="urn:microsoft.com/office/officeart/2005/8/layout/lProcess1#1"/>
    <dgm:cxn modelId="{CC2F081E-ACDC-42A6-AB77-D829146ED11C}" type="presParOf" srcId="{A7563F42-1236-430E-889F-AD1C6D4C5628}" destId="{421A5D4F-D444-44D6-A98C-85B5FE3E9E2D}" srcOrd="3" destOrd="0" presId="urn:microsoft.com/office/officeart/2005/8/layout/lProcess1#1"/>
    <dgm:cxn modelId="{36BE04E1-B537-47AD-9FB9-357CEA76DDEC}" type="presParOf" srcId="{A7563F42-1236-430E-889F-AD1C6D4C5628}" destId="{3A945311-78D7-4A53-A830-6413145BD055}" srcOrd="4" destOrd="0" presId="urn:microsoft.com/office/officeart/2005/8/layout/lProcess1#1"/>
    <dgm:cxn modelId="{013CF718-D1A4-4A9B-A0DF-62A076189594}" type="presParOf" srcId="{A7563F42-1236-430E-889F-AD1C6D4C5628}" destId="{83184E4F-4D5B-4FAA-A0EC-5CC60DD3A8A3}" srcOrd="5" destOrd="0" presId="urn:microsoft.com/office/officeart/2005/8/layout/lProcess1#1"/>
    <dgm:cxn modelId="{7C905F3A-A219-4411-B724-2FF0956F779D}" type="presParOf" srcId="{A7563F42-1236-430E-889F-AD1C6D4C5628}" destId="{FDBDB93E-F120-4D47-AE8B-E1A21BEBCD2C}" srcOrd="6" destOrd="0" presId="urn:microsoft.com/office/officeart/2005/8/layout/lProcess1#1"/>
    <dgm:cxn modelId="{174C0E90-2237-4429-97E6-192599E33047}" type="presParOf" srcId="{A7563F42-1236-430E-889F-AD1C6D4C5628}" destId="{335459EE-DE40-49A5-A1A5-1A9B67E2678C}" srcOrd="7" destOrd="0" presId="urn:microsoft.com/office/officeart/2005/8/layout/lProcess1#1"/>
    <dgm:cxn modelId="{C8E41881-DA9A-48AE-883A-151C319B8178}" type="presParOf" srcId="{A7563F42-1236-430E-889F-AD1C6D4C5628}" destId="{FE448F90-B6AC-4ADD-9241-F1D8E7D3DBCF}" srcOrd="8" destOrd="0" presId="urn:microsoft.com/office/officeart/2005/8/layout/lProcess1#1"/>
    <dgm:cxn modelId="{9D59410D-3797-49CA-BE07-4A9BB1112A3E}" type="presParOf" srcId="{8287BE7A-05F5-4D67-9FE2-9C3D9C543250}" destId="{DA7EB0D9-9BD3-41ED-9B41-0671D4D0379F}" srcOrd="3" destOrd="0" presId="urn:microsoft.com/office/officeart/2005/8/layout/lProcess1#1"/>
    <dgm:cxn modelId="{35C00B6F-5621-4B25-9A08-E702ECD67513}" type="presParOf" srcId="{8287BE7A-05F5-4D67-9FE2-9C3D9C543250}" destId="{14038E10-2BB6-444F-A571-3F85B64D1FAE}" srcOrd="4" destOrd="0" presId="urn:microsoft.com/office/officeart/2005/8/layout/lProcess1#1"/>
    <dgm:cxn modelId="{B7A1251F-1D51-46C6-8144-2A7BE666A718}" type="presParOf" srcId="{14038E10-2BB6-444F-A571-3F85B64D1FAE}" destId="{08C23166-D57A-47DA-9CB2-9920128FE051}" srcOrd="0" destOrd="0" presId="urn:microsoft.com/office/officeart/2005/8/layout/lProcess1#1"/>
    <dgm:cxn modelId="{9A6EBB62-8DF3-42EE-BB2C-020608D2842B}" type="presParOf" srcId="{14038E10-2BB6-444F-A571-3F85B64D1FAE}" destId="{00C090A5-D850-41A9-9829-6D2A5B7FE032}" srcOrd="1" destOrd="0" presId="urn:microsoft.com/office/officeart/2005/8/layout/lProcess1#1"/>
    <dgm:cxn modelId="{21FE7057-8A32-4800-9E55-E6A533D9AFFC}" type="presParOf" srcId="{14038E10-2BB6-444F-A571-3F85B64D1FAE}" destId="{22E176FF-C425-4B35-814A-5519ADA78F15}" srcOrd="2" destOrd="0" presId="urn:microsoft.com/office/officeart/2005/8/layout/lProcess1#1"/>
  </dgm:cxnLst>
  <dgm:bg/>
  <dgm:whole>
    <a:ln w="3175">
      <a:noFill/>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4310" cy="2640330"/>
        <a:chOff x="0" y="0"/>
        <a:chExt cx="5274310" cy="2640330"/>
      </a:xfrm>
    </dsp:grpSpPr>
    <dsp:sp modelId="{5E015E56-76C9-481B-AFEB-3BB9D51BBC7F}">
      <dsp:nvSpPr>
        <dsp:cNvPr id="3" name="圆角矩形 2"/>
        <dsp:cNvSpPr/>
      </dsp:nvSpPr>
      <dsp:spPr bwMode="white">
        <a:xfrm>
          <a:off x="0" y="33748"/>
          <a:ext cx="1608021" cy="402005"/>
        </a:xfrm>
        <a:prstGeom prst="roundRect">
          <a:avLst>
            <a:gd name="adj" fmla="val 10000"/>
          </a:avLst>
        </a:prstGeom>
        <a:sp3d prstMaterial="dkEdge">
          <a:bevelT w="8200" h="38100"/>
        </a:sp3d>
      </dsp:spPr>
      <dsp:style>
        <a:lnRef idx="0">
          <a:schemeClr val="dk1">
            <a:shade val="80000"/>
          </a:schemeClr>
        </a:lnRef>
        <a:fillRef idx="2">
          <a:schemeClr val="lt1"/>
        </a:fillRef>
        <a:effectRef idx="1">
          <a:scrgbClr r="0" g="0" b="0"/>
        </a:effectRef>
        <a:fontRef idx="minor">
          <a:schemeClr val="dk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smtClean="0">
              <a:solidFill>
                <a:schemeClr val="dk1"/>
              </a:solidFill>
              <a:latin typeface="仿宋" panose="02010609060101010101" charset="-122"/>
              <a:ea typeface="仿宋" panose="02010609060101010101" charset="-122"/>
            </a:rPr>
            <a:t>一级管理员</a:t>
          </a:r>
          <a:endParaRPr lang="zh-CN" altLang="en-US" sz="1400" dirty="0">
            <a:solidFill>
              <a:schemeClr val="dk1"/>
            </a:solidFill>
            <a:latin typeface="仿宋" panose="02010609060101010101" charset="-122"/>
            <a:ea typeface="仿宋" panose="02010609060101010101" charset="-122"/>
          </a:endParaRPr>
        </a:p>
      </dsp:txBody>
      <dsp:txXfrm>
        <a:off x="0" y="33748"/>
        <a:ext cx="1608021" cy="402005"/>
      </dsp:txXfrm>
    </dsp:sp>
    <dsp:sp modelId="{5D1CCA06-E6D0-42EC-8BA1-D750314EB1D1}">
      <dsp:nvSpPr>
        <dsp:cNvPr id="4" name="右箭头 3"/>
        <dsp:cNvSpPr/>
      </dsp:nvSpPr>
      <dsp:spPr bwMode="white">
        <a:xfrm rot="5399999">
          <a:off x="768835" y="470929"/>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768835" y="470929"/>
        <a:ext cx="70351" cy="70351"/>
      </dsp:txXfrm>
    </dsp:sp>
    <dsp:sp modelId="{B812EC03-3942-4A06-9544-1B7A6F9855B7}">
      <dsp:nvSpPr>
        <dsp:cNvPr id="5" name="圆角矩形 4"/>
        <dsp:cNvSpPr/>
      </dsp:nvSpPr>
      <dsp:spPr bwMode="white">
        <a:xfrm>
          <a:off x="0" y="576455"/>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050" b="1">
              <a:solidFill>
                <a:schemeClr val="dk1"/>
              </a:solidFill>
              <a:latin typeface="仿宋" panose="02010609060101010101" charset="-122"/>
              <a:ea typeface="仿宋" panose="02010609060101010101" charset="-122"/>
            </a:rPr>
            <a:t>创建</a:t>
          </a:r>
          <a:r>
            <a:rPr lang="zh-CN" sz="1050">
              <a:solidFill>
                <a:schemeClr val="dk1"/>
              </a:solidFill>
              <a:latin typeface="仿宋" panose="02010609060101010101" charset="-122"/>
              <a:ea typeface="仿宋" panose="02010609060101010101" charset="-122"/>
            </a:rPr>
            <a:t>二级管理员或者交易用户</a:t>
          </a:r>
          <a:endParaRPr lang="zh-CN" altLang="en-US" sz="1050" b="0" dirty="0">
            <a:solidFill>
              <a:schemeClr val="dk1"/>
            </a:solidFill>
            <a:latin typeface="仿宋" panose="02010609060101010101" charset="-122"/>
            <a:ea typeface="仿宋" panose="02010609060101010101" charset="-122"/>
          </a:endParaRPr>
        </a:p>
      </dsp:txBody>
      <dsp:txXfrm>
        <a:off x="0" y="576455"/>
        <a:ext cx="1608021" cy="402005"/>
      </dsp:txXfrm>
    </dsp:sp>
    <dsp:sp modelId="{0B49C6D9-F85A-4D1D-B796-C98B818CB8B2}">
      <dsp:nvSpPr>
        <dsp:cNvPr id="6" name="右箭头 5"/>
        <dsp:cNvSpPr/>
      </dsp:nvSpPr>
      <dsp:spPr bwMode="white">
        <a:xfrm rot="5399999">
          <a:off x="768835" y="1013636"/>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768835" y="1013636"/>
        <a:ext cx="70351" cy="70351"/>
      </dsp:txXfrm>
    </dsp:sp>
    <dsp:sp modelId="{76A8FE98-862D-484B-AAD9-D1949D0E8B19}">
      <dsp:nvSpPr>
        <dsp:cNvPr id="7" name="圆角矩形 6"/>
        <dsp:cNvSpPr/>
      </dsp:nvSpPr>
      <dsp:spPr bwMode="white">
        <a:xfrm>
          <a:off x="0" y="1119162"/>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smtClean="0">
              <a:solidFill>
                <a:schemeClr val="dk1"/>
              </a:solidFill>
              <a:latin typeface="仿宋" panose="02010609060101010101" charset="-122"/>
              <a:ea typeface="仿宋" panose="02010609060101010101" charset="-122"/>
            </a:rPr>
            <a:t>新建</a:t>
          </a:r>
          <a:r>
            <a:rPr lang="en-US" altLang="zh-CN" sz="1050" b="1" dirty="0" smtClean="0">
              <a:solidFill>
                <a:schemeClr val="dk1"/>
              </a:solidFill>
              <a:latin typeface="仿宋" panose="02010609060101010101" charset="-122"/>
              <a:ea typeface="仿宋" panose="02010609060101010101" charset="-122"/>
            </a:rPr>
            <a:t>/</a:t>
          </a:r>
          <a:r>
            <a:rPr lang="zh-CN" altLang="en-US" sz="1050" b="1" dirty="0" smtClean="0">
              <a:solidFill>
                <a:schemeClr val="dk1"/>
              </a:solidFill>
              <a:latin typeface="仿宋" panose="02010609060101010101" charset="-122"/>
              <a:ea typeface="仿宋" panose="02010609060101010101" charset="-122"/>
            </a:rPr>
            <a:t>编辑</a:t>
          </a:r>
          <a:r>
            <a:rPr lang="zh-CN" altLang="en-US" sz="1050" b="0" dirty="0" smtClean="0">
              <a:solidFill>
                <a:schemeClr val="dk1"/>
              </a:solidFill>
              <a:latin typeface="仿宋" panose="02010609060101010101" charset="-122"/>
              <a:ea typeface="仿宋" panose="02010609060101010101" charset="-122"/>
            </a:rPr>
            <a:t>二级管理员用户组</a:t>
          </a:r>
          <a:endParaRPr lang="zh-CN" altLang="en-US" sz="1050" b="0" dirty="0">
            <a:solidFill>
              <a:schemeClr val="dk1"/>
            </a:solidFill>
            <a:latin typeface="仿宋" panose="02010609060101010101" charset="-122"/>
            <a:ea typeface="仿宋" panose="02010609060101010101" charset="-122"/>
          </a:endParaRPr>
        </a:p>
      </dsp:txBody>
      <dsp:txXfrm>
        <a:off x="0" y="1119162"/>
        <a:ext cx="1608021" cy="402005"/>
      </dsp:txXfrm>
    </dsp:sp>
    <dsp:sp modelId="{260A890C-D597-4D74-90C0-04B3EC8C7BAC}">
      <dsp:nvSpPr>
        <dsp:cNvPr id="8" name="右箭头 7"/>
        <dsp:cNvSpPr/>
      </dsp:nvSpPr>
      <dsp:spPr bwMode="white">
        <a:xfrm rot="5399999">
          <a:off x="768835" y="1556343"/>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768835" y="1556343"/>
        <a:ext cx="70351" cy="70351"/>
      </dsp:txXfrm>
    </dsp:sp>
    <dsp:sp modelId="{DB9DEA24-443E-45C9-AA14-FBB39AA2FA50}">
      <dsp:nvSpPr>
        <dsp:cNvPr id="9" name="圆角矩形 8"/>
        <dsp:cNvSpPr/>
      </dsp:nvSpPr>
      <dsp:spPr bwMode="white">
        <a:xfrm>
          <a:off x="0" y="1661870"/>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smtClean="0">
              <a:solidFill>
                <a:schemeClr val="dk1"/>
              </a:solidFill>
              <a:latin typeface="仿宋" panose="02010609060101010101" charset="-122"/>
              <a:ea typeface="仿宋" panose="02010609060101010101" charset="-122"/>
            </a:rPr>
            <a:t>设置</a:t>
          </a:r>
          <a:r>
            <a:rPr lang="zh-CN" altLang="en-US" sz="1050" b="0" dirty="0" smtClean="0">
              <a:solidFill>
                <a:schemeClr val="dk1"/>
              </a:solidFill>
              <a:latin typeface="仿宋" panose="02010609060101010101" charset="-122"/>
              <a:ea typeface="仿宋" panose="02010609060101010101" charset="-122"/>
            </a:rPr>
            <a:t>各用户组的交易终端</a:t>
          </a:r>
          <a:r>
            <a:rPr lang="zh-CN" sz="1050">
              <a:solidFill>
                <a:schemeClr val="dk1"/>
              </a:solidFill>
              <a:latin typeface="仿宋" panose="02010609060101010101" charset="-122"/>
              <a:ea typeface="仿宋" panose="02010609060101010101" charset="-122"/>
            </a:rPr>
            <a:t>固收</a:t>
          </a:r>
          <a:r>
            <a:rPr lang="zh-CN" altLang="en-US" sz="1050">
              <a:solidFill>
                <a:schemeClr val="dk1"/>
              </a:solidFill>
              <a:latin typeface="仿宋" panose="02010609060101010101" charset="-122"/>
              <a:ea typeface="仿宋" panose="02010609060101010101" charset="-122"/>
            </a:rPr>
            <a:t>专区</a:t>
          </a:r>
          <a:r>
            <a:rPr lang="zh-CN" sz="1050">
              <a:solidFill>
                <a:schemeClr val="dk1"/>
              </a:solidFill>
              <a:latin typeface="仿宋" panose="02010609060101010101" charset="-122"/>
              <a:ea typeface="仿宋" panose="02010609060101010101" charset="-122"/>
            </a:rPr>
            <a:t>权限</a:t>
          </a:r>
          <a:r>
            <a:rPr lang="zh-CN" altLang="en-US" sz="1050">
              <a:solidFill>
                <a:schemeClr val="dk1"/>
              </a:solidFill>
              <a:latin typeface="仿宋" panose="02010609060101010101" charset="-122"/>
              <a:ea typeface="仿宋" panose="02010609060101010101" charset="-122"/>
            </a:rPr>
            <a:t>及所管理的交易员</a:t>
          </a:r>
          <a:endParaRPr lang="zh-CN" altLang="en-US" sz="1050" dirty="0">
            <a:solidFill>
              <a:schemeClr val="dk1"/>
            </a:solidFill>
            <a:latin typeface="仿宋" panose="02010609060101010101" charset="-122"/>
            <a:ea typeface="仿宋" panose="02010609060101010101" charset="-122"/>
          </a:endParaRPr>
        </a:p>
      </dsp:txBody>
      <dsp:txXfrm>
        <a:off x="0" y="1661870"/>
        <a:ext cx="1608021" cy="402005"/>
      </dsp:txXfrm>
    </dsp:sp>
    <dsp:sp modelId="{1208B812-4181-4A01-B5C8-5047DCB92F42}">
      <dsp:nvSpPr>
        <dsp:cNvPr id="10" name="圆角矩形 9"/>
        <dsp:cNvSpPr/>
      </dsp:nvSpPr>
      <dsp:spPr bwMode="white">
        <a:xfrm>
          <a:off x="1833144" y="33748"/>
          <a:ext cx="1608021" cy="402005"/>
        </a:xfrm>
        <a:prstGeom prst="roundRect">
          <a:avLst>
            <a:gd name="adj" fmla="val 10000"/>
          </a:avLst>
        </a:prstGeom>
        <a:sp3d prstMaterial="dkEdge">
          <a:bevelT w="8200" h="38100"/>
        </a:sp3d>
      </dsp:spPr>
      <dsp:style>
        <a:lnRef idx="0">
          <a:schemeClr val="dk1">
            <a:shade val="80000"/>
          </a:schemeClr>
        </a:lnRef>
        <a:fillRef idx="2">
          <a:schemeClr val="lt1"/>
        </a:fillRef>
        <a:effectRef idx="1">
          <a:scrgbClr r="0" g="0" b="0"/>
        </a:effectRef>
        <a:fontRef idx="minor">
          <a:schemeClr val="dk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smtClean="0">
              <a:solidFill>
                <a:schemeClr val="dk1"/>
              </a:solidFill>
              <a:latin typeface="仿宋" panose="02010609060101010101" charset="-122"/>
              <a:ea typeface="仿宋" panose="02010609060101010101" charset="-122"/>
            </a:rPr>
            <a:t>二级管理员</a:t>
          </a:r>
          <a:endParaRPr lang="zh-CN" altLang="en-US" sz="1400" dirty="0">
            <a:solidFill>
              <a:schemeClr val="dk1"/>
            </a:solidFill>
            <a:latin typeface="仿宋" panose="02010609060101010101" charset="-122"/>
            <a:ea typeface="仿宋" panose="02010609060101010101" charset="-122"/>
          </a:endParaRPr>
        </a:p>
      </dsp:txBody>
      <dsp:txXfrm>
        <a:off x="1833144" y="33748"/>
        <a:ext cx="1608021" cy="402005"/>
      </dsp:txXfrm>
    </dsp:sp>
    <dsp:sp modelId="{B77C1351-4818-4C09-B30A-EBDCB0E2A44C}">
      <dsp:nvSpPr>
        <dsp:cNvPr id="11" name="右箭头 10"/>
        <dsp:cNvSpPr/>
      </dsp:nvSpPr>
      <dsp:spPr bwMode="white">
        <a:xfrm rot="5399999">
          <a:off x="2601980" y="470929"/>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2601980" y="470929"/>
        <a:ext cx="70351" cy="70351"/>
      </dsp:txXfrm>
    </dsp:sp>
    <dsp:sp modelId="{5FA043F2-B65E-4988-AFFF-DC65D33633B3}">
      <dsp:nvSpPr>
        <dsp:cNvPr id="12" name="圆角矩形 11"/>
        <dsp:cNvSpPr/>
      </dsp:nvSpPr>
      <dsp:spPr bwMode="white">
        <a:xfrm>
          <a:off x="1833144" y="576455"/>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dirty="0" smtClean="0">
              <a:solidFill>
                <a:schemeClr val="dk1"/>
              </a:solidFill>
              <a:latin typeface="仿宋" panose="02010609060101010101" charset="-122"/>
              <a:ea typeface="仿宋" panose="02010609060101010101" charset="-122"/>
            </a:rPr>
            <a:t>为可管理的交易员</a:t>
          </a:r>
          <a:r>
            <a:rPr lang="zh-CN" altLang="en-US" sz="1050" b="1" dirty="0" smtClean="0">
              <a:solidFill>
                <a:schemeClr val="dk1"/>
              </a:solidFill>
              <a:latin typeface="仿宋" panose="02010609060101010101" charset="-122"/>
              <a:ea typeface="仿宋" panose="02010609060101010101" charset="-122"/>
            </a:rPr>
            <a:t>绑定</a:t>
          </a:r>
          <a:r>
            <a:rPr lang="zh-CN" altLang="en-US" sz="1050" dirty="0" smtClean="0">
              <a:solidFill>
                <a:schemeClr val="dk1"/>
              </a:solidFill>
              <a:latin typeface="仿宋" panose="02010609060101010101" charset="-122"/>
              <a:ea typeface="仿宋" panose="02010609060101010101" charset="-122"/>
            </a:rPr>
            <a:t>用户</a:t>
          </a:r>
          <a:r>
            <a:rPr lang="en-US" altLang="zh-CN" sz="1050" dirty="0" smtClean="0">
              <a:solidFill>
                <a:schemeClr val="dk1"/>
              </a:solidFill>
              <a:latin typeface="仿宋" panose="02010609060101010101" charset="-122"/>
              <a:ea typeface="仿宋" panose="02010609060101010101" charset="-122"/>
            </a:rPr>
            <a:t>ID</a:t>
          </a:r>
          <a:endParaRPr lang="zh-CN" altLang="en-US" sz="1050" dirty="0">
            <a:solidFill>
              <a:schemeClr val="dk1"/>
            </a:solidFill>
            <a:latin typeface="仿宋" panose="02010609060101010101" charset="-122"/>
            <a:ea typeface="仿宋" panose="02010609060101010101" charset="-122"/>
          </a:endParaRPr>
        </a:p>
      </dsp:txBody>
      <dsp:txXfrm>
        <a:off x="1833144" y="576455"/>
        <a:ext cx="1608021" cy="402005"/>
      </dsp:txXfrm>
    </dsp:sp>
    <dsp:sp modelId="{421A5D4F-D444-44D6-A98C-85B5FE3E9E2D}">
      <dsp:nvSpPr>
        <dsp:cNvPr id="13" name="右箭头 12"/>
        <dsp:cNvSpPr/>
      </dsp:nvSpPr>
      <dsp:spPr bwMode="white">
        <a:xfrm rot="5399999">
          <a:off x="2601980" y="1013636"/>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2601980" y="1013636"/>
        <a:ext cx="70351" cy="70351"/>
      </dsp:txXfrm>
    </dsp:sp>
    <dsp:sp modelId="{3A945311-78D7-4A53-A830-6413145BD055}">
      <dsp:nvSpPr>
        <dsp:cNvPr id="14" name="圆角矩形 13"/>
        <dsp:cNvSpPr/>
      </dsp:nvSpPr>
      <dsp:spPr bwMode="white">
        <a:xfrm>
          <a:off x="1833144" y="1119162"/>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a:solidFill>
                <a:schemeClr val="dk1"/>
              </a:solidFill>
              <a:latin typeface="仿宋" panose="02010609060101010101" charset="-122"/>
              <a:ea typeface="仿宋" panose="02010609060101010101" charset="-122"/>
            </a:rPr>
            <a:t>创建</a:t>
          </a:r>
          <a:r>
            <a:rPr lang="zh-CN" altLang="en-US" sz="1050" dirty="0">
              <a:solidFill>
                <a:schemeClr val="dk1"/>
              </a:solidFill>
              <a:latin typeface="仿宋" panose="02010609060101010101" charset="-122"/>
              <a:ea typeface="仿宋" panose="02010609060101010101" charset="-122"/>
            </a:rPr>
            <a:t>交易用户</a:t>
          </a:r>
          <a:endParaRPr>
            <a:solidFill>
              <a:schemeClr val="dk1"/>
            </a:solidFill>
          </a:endParaRPr>
        </a:p>
      </dsp:txBody>
      <dsp:txXfrm>
        <a:off x="1833144" y="1119162"/>
        <a:ext cx="1608021" cy="402005"/>
      </dsp:txXfrm>
    </dsp:sp>
    <dsp:sp modelId="{83184E4F-4D5B-4FAA-A0EC-5CC60DD3A8A3}">
      <dsp:nvSpPr>
        <dsp:cNvPr id="15" name="右箭头 14"/>
        <dsp:cNvSpPr/>
      </dsp:nvSpPr>
      <dsp:spPr bwMode="white">
        <a:xfrm rot="5399999">
          <a:off x="2601980" y="1556343"/>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2601980" y="1556343"/>
        <a:ext cx="70351" cy="70351"/>
      </dsp:txXfrm>
    </dsp:sp>
    <dsp:sp modelId="{FDBDB93E-F120-4D47-AE8B-E1A21BEBCD2C}">
      <dsp:nvSpPr>
        <dsp:cNvPr id="16" name="圆角矩形 15"/>
        <dsp:cNvSpPr/>
      </dsp:nvSpPr>
      <dsp:spPr bwMode="white">
        <a:xfrm>
          <a:off x="1833144" y="1661870"/>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smtClean="0">
              <a:solidFill>
                <a:schemeClr val="dk1"/>
              </a:solidFill>
              <a:latin typeface="仿宋" panose="02010609060101010101" charset="-122"/>
              <a:ea typeface="仿宋" panose="02010609060101010101" charset="-122"/>
            </a:rPr>
            <a:t>新建</a:t>
          </a:r>
          <a:r>
            <a:rPr lang="en-US" altLang="zh-CN" sz="1050" b="1" dirty="0" smtClean="0">
              <a:solidFill>
                <a:schemeClr val="dk1"/>
              </a:solidFill>
              <a:latin typeface="仿宋" panose="02010609060101010101" charset="-122"/>
              <a:ea typeface="仿宋" panose="02010609060101010101" charset="-122"/>
            </a:rPr>
            <a:t>/</a:t>
          </a:r>
          <a:r>
            <a:rPr lang="zh-CN" altLang="en-US" sz="1050" b="1" dirty="0" smtClean="0">
              <a:solidFill>
                <a:schemeClr val="dk1"/>
              </a:solidFill>
              <a:latin typeface="仿宋" panose="02010609060101010101" charset="-122"/>
              <a:ea typeface="仿宋" panose="02010609060101010101" charset="-122"/>
            </a:rPr>
            <a:t>编辑</a:t>
          </a:r>
          <a:r>
            <a:rPr lang="zh-CN" altLang="en-US" sz="1050" dirty="0" smtClean="0">
              <a:solidFill>
                <a:schemeClr val="dk1"/>
              </a:solidFill>
              <a:latin typeface="仿宋" panose="02010609060101010101" charset="-122"/>
              <a:ea typeface="仿宋" panose="02010609060101010101" charset="-122"/>
            </a:rPr>
            <a:t>交易员用户组</a:t>
          </a:r>
          <a:endParaRPr lang="zh-CN" altLang="en-US" sz="1400" dirty="0">
            <a:solidFill>
              <a:schemeClr val="dk1"/>
            </a:solidFill>
            <a:latin typeface="仿宋" panose="02010609060101010101" charset="-122"/>
            <a:ea typeface="仿宋" panose="02010609060101010101" charset="-122"/>
          </a:endParaRPr>
        </a:p>
      </dsp:txBody>
      <dsp:txXfrm>
        <a:off x="1833144" y="1661870"/>
        <a:ext cx="1608021" cy="402005"/>
      </dsp:txXfrm>
    </dsp:sp>
    <dsp:sp modelId="{335459EE-DE40-49A5-A1A5-1A9B67E2678C}">
      <dsp:nvSpPr>
        <dsp:cNvPr id="17" name="右箭头 16"/>
        <dsp:cNvSpPr/>
      </dsp:nvSpPr>
      <dsp:spPr bwMode="white">
        <a:xfrm rot="5399999">
          <a:off x="2601980" y="2099050"/>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2601980" y="2099050"/>
        <a:ext cx="70351" cy="70351"/>
      </dsp:txXfrm>
    </dsp:sp>
    <dsp:sp modelId="{FE448F90-B6AC-4ADD-9241-F1D8E7D3DBCF}">
      <dsp:nvSpPr>
        <dsp:cNvPr id="18" name="圆角矩形 17"/>
        <dsp:cNvSpPr/>
      </dsp:nvSpPr>
      <dsp:spPr bwMode="white">
        <a:xfrm>
          <a:off x="1833144" y="2204577"/>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smtClean="0">
              <a:solidFill>
                <a:schemeClr val="dk1"/>
              </a:solidFill>
              <a:latin typeface="仿宋" panose="02010609060101010101" charset="-122"/>
              <a:ea typeface="仿宋" panose="02010609060101010101" charset="-122"/>
            </a:rPr>
            <a:t>设置</a:t>
          </a:r>
          <a:r>
            <a:rPr lang="zh-CN" altLang="en-US" sz="1050" dirty="0" smtClean="0">
              <a:solidFill>
                <a:schemeClr val="dk1"/>
              </a:solidFill>
              <a:latin typeface="仿宋" panose="02010609060101010101" charset="-122"/>
              <a:ea typeface="仿宋" panose="02010609060101010101" charset="-122"/>
            </a:rPr>
            <a:t>各用户组的交易终端固收专区权限</a:t>
          </a:r>
          <a:endParaRPr lang="zh-CN" altLang="en-US" sz="1400" dirty="0">
            <a:solidFill>
              <a:schemeClr val="dk1"/>
            </a:solidFill>
            <a:latin typeface="仿宋" panose="02010609060101010101" charset="-122"/>
            <a:ea typeface="仿宋" panose="02010609060101010101" charset="-122"/>
          </a:endParaRPr>
        </a:p>
      </dsp:txBody>
      <dsp:txXfrm>
        <a:off x="1833144" y="2204577"/>
        <a:ext cx="1608021" cy="402005"/>
      </dsp:txXfrm>
    </dsp:sp>
    <dsp:sp modelId="{08C23166-D57A-47DA-9CB2-9920128FE051}">
      <dsp:nvSpPr>
        <dsp:cNvPr id="19" name="圆角矩形 18"/>
        <dsp:cNvSpPr/>
      </dsp:nvSpPr>
      <dsp:spPr bwMode="white">
        <a:xfrm>
          <a:off x="3666289" y="33748"/>
          <a:ext cx="1608021" cy="402005"/>
        </a:xfrm>
        <a:prstGeom prst="roundRect">
          <a:avLst>
            <a:gd name="adj" fmla="val 10000"/>
          </a:avLst>
        </a:prstGeom>
        <a:sp3d prstMaterial="dkEdge">
          <a:bevelT w="8200" h="38100"/>
        </a:sp3d>
      </dsp:spPr>
      <dsp:style>
        <a:lnRef idx="0">
          <a:schemeClr val="dk1">
            <a:shade val="80000"/>
          </a:schemeClr>
        </a:lnRef>
        <a:fillRef idx="2">
          <a:schemeClr val="lt1"/>
        </a:fillRef>
        <a:effectRef idx="1">
          <a:scrgbClr r="0" g="0" b="0"/>
        </a:effectRef>
        <a:fontRef idx="minor">
          <a:schemeClr val="dk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smtClean="0">
              <a:solidFill>
                <a:schemeClr val="dk1"/>
              </a:solidFill>
              <a:latin typeface="仿宋" panose="02010609060101010101" charset="-122"/>
              <a:ea typeface="仿宋" panose="02010609060101010101" charset="-122"/>
            </a:rPr>
            <a:t>交易用户</a:t>
          </a:r>
          <a:endParaRPr lang="zh-CN" altLang="en-US" sz="1400" dirty="0">
            <a:solidFill>
              <a:schemeClr val="dk1"/>
            </a:solidFill>
            <a:latin typeface="仿宋" panose="02010609060101010101" charset="-122"/>
            <a:ea typeface="仿宋" panose="02010609060101010101" charset="-122"/>
          </a:endParaRPr>
        </a:p>
      </dsp:txBody>
      <dsp:txXfrm>
        <a:off x="3666289" y="33748"/>
        <a:ext cx="1608021" cy="402005"/>
      </dsp:txXfrm>
    </dsp:sp>
    <dsp:sp modelId="{00C090A5-D850-41A9-9829-6D2A5B7FE032}">
      <dsp:nvSpPr>
        <dsp:cNvPr id="20" name="右箭头 19"/>
        <dsp:cNvSpPr/>
      </dsp:nvSpPr>
      <dsp:spPr bwMode="white">
        <a:xfrm rot="5399999">
          <a:off x="4435124" y="470929"/>
          <a:ext cx="70351" cy="70351"/>
        </a:xfrm>
        <a:prstGeom prst="rightArrow">
          <a:avLst>
            <a:gd name="adj1" fmla="val 66700"/>
            <a:gd name="adj2" fmla="val 50000"/>
          </a:avLst>
        </a:prstGeom>
      </dsp:spPr>
      <dsp:style>
        <a:lnRef idx="0">
          <a:schemeClr val="dk1">
            <a:tint val="60000"/>
          </a:schemeClr>
        </a:lnRef>
        <a:fillRef idx="2">
          <a:schemeClr val="dk1">
            <a:tint val="60000"/>
          </a:schemeClr>
        </a:fillRef>
        <a:effectRef idx="1">
          <a:scrgbClr r="0" g="0" b="0"/>
        </a:effectRef>
        <a:fontRef idx="minor">
          <a:schemeClr val="dk1"/>
        </a:fontRef>
      </dsp:style>
      <dsp:txXfrm rot="5399999">
        <a:off x="4435124" y="470929"/>
        <a:ext cx="70351" cy="70351"/>
      </dsp:txXfrm>
    </dsp:sp>
    <dsp:sp modelId="{22E176FF-C425-4B35-814A-5519ADA78F15}">
      <dsp:nvSpPr>
        <dsp:cNvPr id="21" name="圆角矩形 20"/>
        <dsp:cNvSpPr/>
      </dsp:nvSpPr>
      <dsp:spPr bwMode="white">
        <a:xfrm>
          <a:off x="3666289" y="576455"/>
          <a:ext cx="1608021" cy="402005"/>
        </a:xfrm>
        <a:prstGeom prst="roundRect">
          <a:avLst>
            <a:gd name="adj" fmla="val 10000"/>
          </a:avLst>
        </a:prstGeom>
      </dsp:spPr>
      <dsp:style>
        <a:lnRef idx="1">
          <a:schemeClr val="dk1">
            <a:alpha val="90000"/>
          </a:schemeClr>
        </a:lnRef>
        <a:fillRef idx="1">
          <a:schemeClr val="lt1">
            <a:alpha val="90000"/>
            <a:tint val="40000"/>
          </a:schemeClr>
        </a:fillRef>
        <a:effectRef idx="0">
          <a:scrgbClr r="0" g="0" b="0"/>
        </a:effectRef>
        <a:fontRef idx="minor"/>
      </dsp:style>
      <dsp:txBody>
        <a:bodyPr lIns="12700" tIns="12700" rIns="12700" bIns="127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50" b="1" dirty="0">
              <a:solidFill>
                <a:schemeClr val="dk1"/>
              </a:solidFill>
              <a:latin typeface="仿宋" panose="02010609060101010101" charset="-122"/>
              <a:ea typeface="仿宋" panose="02010609060101010101" charset="-122"/>
            </a:rPr>
            <a:t>申报</a:t>
          </a:r>
          <a:r>
            <a:rPr lang="zh-CN" altLang="en-US" sz="1050" dirty="0">
              <a:solidFill>
                <a:schemeClr val="dk1"/>
              </a:solidFill>
              <a:latin typeface="仿宋" panose="02010609060101010101" charset="-122"/>
              <a:ea typeface="仿宋" panose="02010609060101010101" charset="-122"/>
            </a:rPr>
            <a:t>委托、查看权限</a:t>
          </a:r>
          <a:endParaRPr>
            <a:solidFill>
              <a:schemeClr val="dk1"/>
            </a:solidFill>
          </a:endParaRPr>
        </a:p>
      </dsp:txBody>
      <dsp:txXfrm>
        <a:off x="3666289" y="576455"/>
        <a:ext cx="1608021" cy="40200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param type="vertAlign" val="mid"/>
          <dgm:param type="nodeHorzAlign" val="l"/>
          <dgm:param type="fallback" val="2D"/>
        </dgm:alg>
      </dgm:if>
      <dgm:else name="Name3">
        <dgm:alg type="lin">
          <dgm:param type="linDir" val="fromR"/>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VertAlign" val="t"/>
              <dgm:param type="nodeHorzAlign" val="ctr"/>
              <dgm:param type="fallback" val="2D"/>
            </dgm:alg>
          </dgm:if>
          <dgm:else name="Name7">
            <dgm:alg type="lin">
              <dgm:param type="linDir" val="fromT"/>
              <dgm:param type="nodeVertAlign" val="t"/>
              <dgm:param type="nodeHorzAlign" val="ctr"/>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08EA-B7D3-4BE4-9347-B37C2998CB6D}">
  <ds:schemaRefs/>
</ds:datastoreItem>
</file>

<file path=customXml/itemProps2.xml><?xml version="1.0" encoding="utf-8"?>
<ds:datastoreItem xmlns:ds="http://schemas.openxmlformats.org/officeDocument/2006/customXml" ds:itemID="{D2001481-D1A3-4ADA-9C98-0A06942E00C9}">
  <ds:schemaRefs/>
</ds:datastoreItem>
</file>

<file path=customXml/itemProps3.xml><?xml version="1.0" encoding="utf-8"?>
<ds:datastoreItem xmlns:ds="http://schemas.openxmlformats.org/officeDocument/2006/customXml" ds:itemID="{FC6A18FF-E983-4701-BFB9-0BA9D69D473D}">
  <ds:schemaRefs/>
</ds:datastoreItem>
</file>

<file path=docProps/app.xml><?xml version="1.0" encoding="utf-8"?>
<Properties xmlns="http://schemas.openxmlformats.org/officeDocument/2006/extended-properties" xmlns:vt="http://schemas.openxmlformats.org/officeDocument/2006/docPropsVTypes">
  <Template>Normal</Template>
  <Pages>47</Pages>
  <Words>3981</Words>
  <Characters>22696</Characters>
  <Lines>189</Lines>
  <Paragraphs>53</Paragraphs>
  <TotalTime>6</TotalTime>
  <ScaleCrop>false</ScaleCrop>
  <LinksUpToDate>false</LinksUpToDate>
  <CharactersWithSpaces>26624</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2023-06-13T01:46:00Z</dcterms:created>
  <dc:creator>xding</dc:creator>
  <cp:lastModifiedBy>辛雅婷</cp:lastModifiedBy>
  <cp:lastPrinted>2022-05-09T02:28:00Z</cp:lastPrinted>
  <dcterms:modified xsi:type="dcterms:W3CDTF">2023-12-26T09:45:00Z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2052-11.8.2.12080</vt:lpwstr>
  </property>
  <property fmtid="{D5CDD505-2E9C-101B-9397-08002B2CF9AE}" pid="4" name="ICV">
    <vt:lpwstr>805153B34610495C98641CB2BAEC0F82</vt:lpwstr>
  </property>
</Properties>
</file>