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简体" w:cs="Times New Roman"/>
          <w:sz w:val="32"/>
          <w:szCs w:val="32"/>
          <w:highlight w:val="none"/>
        </w:rPr>
      </w:pPr>
      <w:bookmarkStart w:id="0" w:name="_GoBack"/>
      <w:bookmarkEnd w:id="0"/>
      <w:r>
        <w:rPr>
          <w:rFonts w:hint="default" w:ascii="Times New Roman" w:hAnsi="Times New Roman" w:eastAsia="黑体" w:cs="Times New Roman"/>
          <w:bCs/>
          <w:sz w:val="32"/>
          <w:szCs w:val="32"/>
          <w:highlight w:val="none"/>
        </w:rPr>
        <w:t>附件</w:t>
      </w:r>
    </w:p>
    <w:p>
      <w:pPr>
        <w:spacing w:line="240" w:lineRule="auto"/>
        <w:jc w:val="center"/>
        <w:rPr>
          <w:rFonts w:ascii="Times New Roman" w:hAnsi="Times New Roman" w:eastAsia="方正小标宋简体" w:cs="Times New Roman"/>
          <w:b w:val="0"/>
          <w:sz w:val="40"/>
          <w:szCs w:val="40"/>
          <w:highlight w:val="none"/>
          <w:lang w:bidi="ar-SA"/>
        </w:rPr>
      </w:pPr>
    </w:p>
    <w:p>
      <w:pPr>
        <w:snapToGrid w:val="0"/>
        <w:spacing w:line="240" w:lineRule="auto"/>
        <w:jc w:val="center"/>
        <w:rPr>
          <w:rFonts w:hint="eastAsia" w:ascii="方正小标宋简体" w:hAnsi="方正小标宋简体" w:eastAsia="方正小标宋简体" w:cs="方正小标宋简体"/>
          <w:b w:val="0"/>
          <w:sz w:val="44"/>
          <w:szCs w:val="44"/>
          <w:highlight w:val="none"/>
          <w:lang w:bidi="ar-SA"/>
        </w:rPr>
      </w:pPr>
      <w:r>
        <w:rPr>
          <w:rFonts w:hint="eastAsia" w:ascii="方正小标宋简体" w:hAnsi="方正小标宋简体" w:eastAsia="方正小标宋简体" w:cs="方正小标宋简体"/>
          <w:b w:val="0"/>
          <w:sz w:val="44"/>
          <w:szCs w:val="44"/>
          <w:highlight w:val="none"/>
          <w:lang w:bidi="ar-SA"/>
        </w:rPr>
        <w:t>深圳证券交易所公司债券存续期业务指南第</w:t>
      </w:r>
      <w:r>
        <w:rPr>
          <w:rFonts w:hint="eastAsia" w:ascii="方正小标宋简体" w:hAnsi="方正小标宋简体" w:eastAsia="方正小标宋简体" w:cs="方正小标宋简体"/>
          <w:b w:val="0"/>
          <w:sz w:val="44"/>
          <w:szCs w:val="44"/>
          <w:highlight w:val="none"/>
          <w:lang w:val="en-US" w:eastAsia="zh-CN" w:bidi="ar-SA"/>
        </w:rPr>
        <w:t>3</w:t>
      </w:r>
      <w:r>
        <w:rPr>
          <w:rFonts w:hint="eastAsia" w:ascii="方正小标宋简体" w:hAnsi="方正小标宋简体" w:eastAsia="方正小标宋简体" w:cs="方正小标宋简体"/>
          <w:b w:val="0"/>
          <w:sz w:val="44"/>
          <w:szCs w:val="44"/>
          <w:highlight w:val="none"/>
          <w:lang w:bidi="ar-SA"/>
        </w:rPr>
        <w:t>号——募集资金管理重点关注事项</w:t>
      </w:r>
    </w:p>
    <w:p>
      <w:pPr>
        <w:snapToGrid w:val="0"/>
        <w:spacing w:line="240" w:lineRule="auto"/>
        <w:jc w:val="center"/>
        <w:rPr>
          <w:rFonts w:hint="eastAsia" w:ascii="方正小标宋简体" w:hAnsi="方正小标宋简体" w:eastAsia="方正小标宋简体" w:cs="方正小标宋简体"/>
          <w:b w:val="0"/>
          <w:sz w:val="44"/>
          <w:szCs w:val="44"/>
          <w:highlight w:val="none"/>
          <w:lang w:eastAsia="zh-CN" w:bidi="ar-SA"/>
        </w:rPr>
      </w:pPr>
      <w:r>
        <w:rPr>
          <w:rFonts w:hint="eastAsia" w:ascii="方正小标宋简体" w:hAnsi="方正小标宋简体" w:eastAsia="方正小标宋简体" w:cs="方正小标宋简体"/>
          <w:b w:val="0"/>
          <w:sz w:val="44"/>
          <w:szCs w:val="44"/>
          <w:highlight w:val="none"/>
          <w:lang w:eastAsia="zh-CN" w:bidi="ar-SA"/>
        </w:rPr>
        <w:t>（试行）</w:t>
      </w:r>
    </w:p>
    <w:p>
      <w:pPr>
        <w:spacing w:line="560" w:lineRule="exact"/>
        <w:jc w:val="center"/>
        <w:rPr>
          <w:rFonts w:ascii="Times New Roman" w:hAnsi="Times New Roman" w:eastAsia="黑体" w:cs="Times New Roman"/>
          <w:b/>
          <w:sz w:val="44"/>
          <w:szCs w:val="44"/>
          <w:highlight w:val="none"/>
        </w:rPr>
      </w:pPr>
    </w:p>
    <w:p>
      <w:pPr>
        <w:widowControl/>
        <w:spacing w:line="560" w:lineRule="exact"/>
        <w:ind w:firstLine="643" w:firstLineChars="200"/>
        <w:jc w:val="left"/>
        <w:rPr>
          <w:rFonts w:ascii="Times New Roman" w:hAnsi="Times New Roman" w:eastAsia="仿宋_GB2312" w:cs="Times New Roman"/>
          <w:sz w:val="32"/>
          <w:szCs w:val="32"/>
          <w:highlight w:val="none"/>
        </w:rPr>
      </w:pPr>
      <w:r>
        <w:rPr>
          <w:rFonts w:hint="default" w:ascii="Times New Roman" w:hAnsi="Times New Roman" w:eastAsia="黑体" w:cs="Times New Roman"/>
          <w:b/>
          <w:sz w:val="32"/>
          <w:szCs w:val="32"/>
          <w:highlight w:val="none"/>
        </w:rPr>
        <w:t>一</w:t>
      </w:r>
      <w:r>
        <w:rPr>
          <w:rFonts w:ascii="Times New Roman" w:hAnsi="Times New Roman" w:eastAsia="黑体" w:cs="Times New Roman"/>
          <w:b/>
          <w:sz w:val="32"/>
          <w:szCs w:val="32"/>
          <w:highlight w:val="none"/>
        </w:rPr>
        <w:t>、</w:t>
      </w:r>
      <w:r>
        <w:rPr>
          <w:rFonts w:hint="default" w:ascii="Times New Roman" w:hAnsi="Times New Roman" w:eastAsia="黑体" w:cs="Times New Roman"/>
          <w:b/>
          <w:sz w:val="32"/>
          <w:szCs w:val="32"/>
          <w:highlight w:val="none"/>
        </w:rPr>
        <w:t>一般</w:t>
      </w:r>
      <w:r>
        <w:rPr>
          <w:rFonts w:ascii="Times New Roman" w:hAnsi="Times New Roman" w:eastAsia="黑体" w:cs="Times New Roman"/>
          <w:b/>
          <w:sz w:val="32"/>
          <w:szCs w:val="32"/>
          <w:highlight w:val="none"/>
        </w:rPr>
        <w:t>规定</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w:t>
      </w:r>
      <w:r>
        <w:rPr>
          <w:rFonts w:hint="eastAsia"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为了规范公司债券（含企业债券）募集资金的管理和使用行为，根据《深圳证券交易所公司债券发行上市审核规则》《深圳证券交易所公司债券上市规则》《深圳证券交易所非公开发行公司债券挂牌规则》等有关规定，制定本指南。</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本指南对发行人、受托管理人等市场主体募集资金管理中的常见问题进行了总结明确。</w:t>
      </w:r>
      <w:r>
        <w:rPr>
          <w:rFonts w:hint="default" w:ascii="Times New Roman" w:hAnsi="Times New Roman" w:eastAsia="仿宋_GB2312" w:cs="Times New Roman"/>
          <w:sz w:val="32"/>
          <w:szCs w:val="32"/>
          <w:highlight w:val="none"/>
          <w:lang w:eastAsia="zh-CN"/>
        </w:rPr>
        <w:t>相</w:t>
      </w:r>
      <w:r>
        <w:rPr>
          <w:rFonts w:hint="default" w:ascii="Times New Roman" w:hAnsi="Times New Roman" w:eastAsia="仿宋_GB2312" w:cs="Times New Roman"/>
          <w:sz w:val="32"/>
          <w:szCs w:val="32"/>
          <w:highlight w:val="none"/>
        </w:rPr>
        <w:t>关市场主体应当按照本所业务规则、本指南的规定和募集说明书</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约定使用募集资金。</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发行人应当按照规定和生产经营实际需求，合理、审慎确定募集资金规模和用途，并在募集说明书中明确募集资金具体用于偿还债务、补充流动资金、固定资产投资项目、股权投资或</w:t>
      </w:r>
      <w:r>
        <w:rPr>
          <w:rFonts w:hint="eastAsia" w:ascii="Times New Roman" w:hAnsi="Times New Roman" w:eastAsia="仿宋_GB2312" w:cs="Times New Roman"/>
          <w:sz w:val="32"/>
          <w:szCs w:val="32"/>
          <w:highlight w:val="none"/>
          <w:lang w:eastAsia="zh-CN"/>
        </w:rPr>
        <w:t>者</w:t>
      </w:r>
      <w:r>
        <w:rPr>
          <w:rFonts w:hint="default" w:ascii="Times New Roman" w:hAnsi="Times New Roman" w:eastAsia="仿宋_GB2312" w:cs="Times New Roman"/>
          <w:sz w:val="32"/>
          <w:szCs w:val="32"/>
          <w:highlight w:val="none"/>
        </w:rPr>
        <w:t>资产收购等一类或</w:t>
      </w:r>
      <w:r>
        <w:rPr>
          <w:rFonts w:hint="eastAsia" w:ascii="Times New Roman" w:hAnsi="Times New Roman" w:eastAsia="仿宋_GB2312" w:cs="Times New Roman"/>
          <w:sz w:val="32"/>
          <w:szCs w:val="32"/>
          <w:highlight w:val="none"/>
          <w:lang w:eastAsia="zh-CN"/>
        </w:rPr>
        <w:t>者</w:t>
      </w:r>
      <w:r>
        <w:rPr>
          <w:rFonts w:hint="default" w:ascii="Times New Roman" w:hAnsi="Times New Roman" w:eastAsia="仿宋_GB2312" w:cs="Times New Roman"/>
          <w:sz w:val="32"/>
          <w:szCs w:val="32"/>
          <w:highlight w:val="none"/>
        </w:rPr>
        <w:t>多类用途以及对应规模。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发行人同时符合下列条件的，无需按照前款规定在募集说明书中约定募集资金的具体用途类别规模，法律法规或者本所业务规则另有规定的除外：</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（一）发行人属于知名成熟发行人或者不存在限定募集资金用途的情形；</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（二）报告期内及期后不存在违规使用募集资金的情形。</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1.4</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募集资金限定用于偿还或者置换公司债券的，发行人原则上应当在相应债券到期或者回售前6个月内，至到期或者回售后3个月内发行新的债券。</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拟偿还或者置换回售公司债券的，债券发行备案前相应债券回售撤销期原则上应</w:t>
      </w:r>
      <w:r>
        <w:rPr>
          <w:rFonts w:hint="eastAsia"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已</w:t>
      </w:r>
      <w:r>
        <w:rPr>
          <w:rFonts w:hint="eastAsia" w:ascii="Times New Roman" w:hAnsi="Times New Roman" w:eastAsia="仿宋_GB2312" w:cs="Times New Roman"/>
          <w:sz w:val="32"/>
          <w:szCs w:val="32"/>
          <w:highlight w:val="none"/>
          <w:lang w:eastAsia="zh-CN"/>
        </w:rPr>
        <w:t>经</w:t>
      </w:r>
      <w:r>
        <w:rPr>
          <w:rFonts w:hint="default" w:ascii="Times New Roman" w:hAnsi="Times New Roman" w:eastAsia="仿宋_GB2312" w:cs="Times New Roman"/>
          <w:sz w:val="32"/>
          <w:szCs w:val="32"/>
          <w:highlight w:val="none"/>
        </w:rPr>
        <w:t>届满。</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发行人应当建立健全有效的内部控制制度，明确募集资金存储、使用、变更</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等事项的审批权限、决策程序、风险控制措施</w:t>
      </w:r>
      <w:r>
        <w:rPr>
          <w:rFonts w:hint="eastAsia"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及信息披露要求，防止募集资金被约定使用主体以外的其他主体违规占用或挪用，确保募集资金使用合规、安全。</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发行人的董事、监事和高级管理人员应当勤勉尽责，督促发行人规范使用募集资金。</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发行人应当通过募集资金专项账户（以下简称募集资金专户）接收、存储、划转募集资金。募集资金使用完毕以前，募集资金专户不得存放非本期债券募集资金或者用作其他用途。</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发行人应当按照规定和募集说明书</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约定使用募集资金，并建立募集资金使用台账，完整记录募集资金收支和使用情况。</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w:t>
      </w:r>
      <w:r>
        <w:rPr>
          <w:rFonts w:hint="default"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规定和募集说明书</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约定，在募集说明书、定期报告、临时报告中披露募集资金专户管理、募集资金使用、用途变更</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等情况，并保证信息披露的真实、准确、完整。</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承销机构、受托管理人以及律师事务所等中介机构</w:t>
      </w:r>
      <w:r>
        <w:rPr>
          <w:rFonts w:hint="eastAsia" w:ascii="Times New Roman" w:hAnsi="Times New Roman" w:eastAsia="仿宋_GB2312" w:cs="Times New Roman"/>
          <w:sz w:val="32"/>
          <w:szCs w:val="32"/>
          <w:highlight w:val="none"/>
          <w:lang w:eastAsia="zh-CN"/>
        </w:rPr>
        <w:t>以及</w:t>
      </w:r>
      <w:r>
        <w:rPr>
          <w:rFonts w:hint="default" w:ascii="Times New Roman" w:hAnsi="Times New Roman" w:eastAsia="仿宋_GB2312" w:cs="Times New Roman"/>
          <w:sz w:val="32"/>
          <w:szCs w:val="32"/>
          <w:highlight w:val="none"/>
          <w:lang w:eastAsia="zh-CN"/>
        </w:rPr>
        <w:t>有关</w:t>
      </w:r>
      <w:r>
        <w:rPr>
          <w:rFonts w:hint="default" w:ascii="Times New Roman" w:hAnsi="Times New Roman" w:eastAsia="仿宋_GB2312" w:cs="Times New Roman"/>
          <w:sz w:val="32"/>
          <w:szCs w:val="32"/>
          <w:highlight w:val="none"/>
        </w:rPr>
        <w:t>人员应当勤勉尽责，严格遵守执业规范和监管规则，按照规定</w:t>
      </w:r>
      <w:r>
        <w:rPr>
          <w:rFonts w:hint="eastAsia"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及募集说明书</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约定，对发行人募集资金专户管理、募集资金使用等事项履行核查、督促和披露等义务。</w:t>
      </w:r>
    </w:p>
    <w:p>
      <w:pPr>
        <w:spacing w:line="560" w:lineRule="exact"/>
        <w:ind w:firstLine="643" w:firstLineChars="200"/>
        <w:rPr>
          <w:rFonts w:ascii="Times New Roman" w:hAnsi="Times New Roman" w:eastAsia="黑体" w:cs="Times New Roman"/>
          <w:b/>
          <w:sz w:val="32"/>
          <w:szCs w:val="32"/>
          <w:highlight w:val="none"/>
        </w:rPr>
      </w:pPr>
      <w:r>
        <w:rPr>
          <w:rFonts w:hint="default" w:ascii="Times New Roman" w:hAnsi="Times New Roman" w:eastAsia="黑体" w:cs="Times New Roman"/>
          <w:b/>
          <w:sz w:val="32"/>
          <w:szCs w:val="32"/>
          <w:highlight w:val="none"/>
        </w:rPr>
        <w:t>二</w:t>
      </w:r>
      <w:r>
        <w:rPr>
          <w:rFonts w:ascii="Times New Roman" w:hAnsi="Times New Roman" w:eastAsia="黑体" w:cs="Times New Roman"/>
          <w:b/>
          <w:sz w:val="32"/>
          <w:szCs w:val="32"/>
          <w:highlight w:val="none"/>
        </w:rPr>
        <w:t>、</w:t>
      </w:r>
      <w:r>
        <w:rPr>
          <w:rFonts w:hint="default" w:ascii="Times New Roman" w:hAnsi="Times New Roman" w:eastAsia="黑体" w:cs="Times New Roman"/>
          <w:b/>
          <w:sz w:val="32"/>
          <w:szCs w:val="32"/>
          <w:highlight w:val="none"/>
        </w:rPr>
        <w:t>闲置募集资金补充流动资金</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结合募集资金的约定用途及使用计划，在募集说明书中审慎约定闲置募集资金用于补充流动资金（以下简称临时补流）条款。发行人存在集中偿付压力较大、信贷收缩、过度融资等情形的，原则上不得约定临时补流条款。</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约定临时补流条款的，发行人应当在募集说明书中明确约定临时补流的使用期限、回收机制、决策程序。募集说明书未明确约定的，发行人不得将募集资金用于临时补流。</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符合第</w:t>
      </w:r>
      <w:r>
        <w:rPr>
          <w:rFonts w:hint="default" w:ascii="Times New Roman" w:hAnsi="Times New Roman" w:eastAsia="仿宋_GB2312" w:cs="Times New Roman"/>
          <w:sz w:val="32"/>
          <w:szCs w:val="32"/>
          <w:highlight w:val="none"/>
          <w:lang w:val="en-US" w:eastAsia="zh-CN"/>
        </w:rPr>
        <w:t>2.1条规定的</w:t>
      </w:r>
      <w:r>
        <w:rPr>
          <w:rFonts w:hint="default" w:ascii="Times New Roman" w:hAnsi="Times New Roman" w:eastAsia="仿宋_GB2312" w:cs="Times New Roman"/>
          <w:sz w:val="32"/>
          <w:szCs w:val="32"/>
          <w:highlight w:val="none"/>
        </w:rPr>
        <w:t>发行人将募集资金用于临时补流的，应当按照约定履行内部审批决策程序，并采取有效内部控制措施，确保临时补流不违反规定</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募集说明书</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约定，不影响募集资金使用计划的正常实施。</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发行人应当提前做好临时补流资金的回收安排，于临时补流之日起</w:t>
      </w:r>
      <w:r>
        <w:rPr>
          <w:rFonts w:ascii="Times New Roman" w:hAnsi="Times New Roman" w:eastAsia="仿宋_GB2312" w:cs="Times New Roman"/>
          <w:sz w:val="32"/>
          <w:szCs w:val="32"/>
          <w:highlight w:val="none"/>
        </w:rPr>
        <w:t>12</w:t>
      </w:r>
      <w:r>
        <w:rPr>
          <w:rFonts w:hint="default" w:ascii="Times New Roman" w:hAnsi="Times New Roman" w:eastAsia="仿宋_GB2312" w:cs="Times New Roman"/>
          <w:sz w:val="32"/>
          <w:szCs w:val="32"/>
          <w:highlight w:val="none"/>
        </w:rPr>
        <w:t>个月内或者募集说明书约定用途的相应付款节点（如有）的孰早日前，回收临时补流资金并归集至募集资金专户。</w:t>
      </w:r>
    </w:p>
    <w:p>
      <w:pPr>
        <w:spacing w:line="560" w:lineRule="exact"/>
        <w:ind w:firstLine="643" w:firstLineChars="200"/>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rPr>
        <w:t>三</w:t>
      </w:r>
      <w:r>
        <w:rPr>
          <w:rFonts w:ascii="Times New Roman" w:hAnsi="Times New Roman" w:eastAsia="黑体" w:cs="Times New Roman"/>
          <w:b/>
          <w:sz w:val="32"/>
          <w:szCs w:val="32"/>
          <w:highlight w:val="none"/>
        </w:rPr>
        <w:t>、</w:t>
      </w:r>
      <w:r>
        <w:rPr>
          <w:rFonts w:hint="default" w:ascii="Times New Roman" w:hAnsi="Times New Roman" w:eastAsia="黑体" w:cs="Times New Roman"/>
          <w:b/>
          <w:sz w:val="32"/>
          <w:szCs w:val="32"/>
          <w:highlight w:val="none"/>
        </w:rPr>
        <w:t>募集资金用途变更</w:t>
      </w:r>
      <w:r>
        <w:rPr>
          <w:rFonts w:hint="default" w:ascii="Times New Roman" w:hAnsi="Times New Roman" w:eastAsia="黑体" w:cs="Times New Roman"/>
          <w:b/>
          <w:sz w:val="32"/>
          <w:szCs w:val="32"/>
          <w:highlight w:val="none"/>
          <w:lang w:val="en-US" w:eastAsia="zh-CN"/>
        </w:rPr>
        <w:t>调整</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发行人</w:t>
      </w:r>
      <w:r>
        <w:rPr>
          <w:rFonts w:hint="default" w:ascii="Times New Roman" w:hAnsi="Times New Roman" w:eastAsia="仿宋_GB2312" w:cs="Times New Roman"/>
          <w:sz w:val="32"/>
          <w:szCs w:val="32"/>
          <w:highlight w:val="none"/>
        </w:rPr>
        <w:t>在公司债券申报发行阶段已明确限定全部或者部分募集资金应当用于偿还存量公司债券、偿还其他有息负债等偿债用途的，发行人不得将相关募集资金</w:t>
      </w:r>
      <w:r>
        <w:rPr>
          <w:rFonts w:hint="default" w:ascii="Times New Roman" w:hAnsi="Times New Roman" w:eastAsia="仿宋_GB2312" w:cs="Times New Roman"/>
          <w:sz w:val="32"/>
          <w:szCs w:val="32"/>
          <w:highlight w:val="none"/>
          <w:lang w:eastAsia="zh-CN"/>
        </w:rPr>
        <w:t>用途</w:t>
      </w:r>
      <w:r>
        <w:rPr>
          <w:rFonts w:hint="default" w:ascii="Times New Roman" w:hAnsi="Times New Roman" w:eastAsia="仿宋_GB2312" w:cs="Times New Roman"/>
          <w:sz w:val="32"/>
          <w:szCs w:val="32"/>
          <w:highlight w:val="none"/>
        </w:rPr>
        <w:t>变更</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为非限定偿债用途</w:t>
      </w:r>
      <w:r>
        <w:rPr>
          <w:rFonts w:hint="default" w:ascii="Times New Roman" w:hAnsi="Times New Roman" w:eastAsia="仿宋_GB2312" w:cs="Times New Roman"/>
          <w:sz w:val="32"/>
          <w:szCs w:val="32"/>
          <w:highlight w:val="none"/>
          <w:lang w:eastAsia="zh-CN"/>
        </w:rPr>
        <w:t>。发行人应当</w:t>
      </w:r>
      <w:r>
        <w:rPr>
          <w:rFonts w:hint="default" w:ascii="Times New Roman" w:hAnsi="Times New Roman" w:eastAsia="仿宋_GB2312" w:cs="Times New Roman"/>
          <w:sz w:val="32"/>
          <w:szCs w:val="32"/>
          <w:highlight w:val="none"/>
        </w:rPr>
        <w:t>在募集说明书中</w:t>
      </w:r>
      <w:r>
        <w:rPr>
          <w:rFonts w:hint="default" w:ascii="Times New Roman" w:hAnsi="Times New Roman" w:eastAsia="仿宋_GB2312" w:cs="Times New Roman"/>
          <w:sz w:val="32"/>
          <w:szCs w:val="32"/>
          <w:highlight w:val="none"/>
          <w:lang w:eastAsia="zh-CN"/>
        </w:rPr>
        <w:t>作</w:t>
      </w:r>
      <w:r>
        <w:rPr>
          <w:rFonts w:hint="default" w:ascii="Times New Roman" w:hAnsi="Times New Roman" w:eastAsia="仿宋_GB2312" w:cs="Times New Roman"/>
          <w:sz w:val="32"/>
          <w:szCs w:val="32"/>
          <w:highlight w:val="none"/>
        </w:rPr>
        <w:t>出明确承诺。</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发行人在债券存续期内</w:t>
      </w:r>
      <w:r>
        <w:rPr>
          <w:rFonts w:hint="default" w:ascii="Times New Roman" w:hAnsi="Times New Roman" w:eastAsia="仿宋_GB2312" w:cs="Times New Roman"/>
          <w:sz w:val="32"/>
          <w:szCs w:val="32"/>
          <w:highlight w:val="none"/>
          <w:lang w:val="en-US" w:eastAsia="zh-CN"/>
        </w:rPr>
        <w:t>变更</w:t>
      </w:r>
      <w:r>
        <w:rPr>
          <w:rFonts w:hint="default" w:ascii="Times New Roman" w:hAnsi="Times New Roman" w:eastAsia="仿宋_GB2312" w:cs="Times New Roman"/>
          <w:sz w:val="32"/>
          <w:szCs w:val="32"/>
          <w:highlight w:val="none"/>
        </w:rPr>
        <w:t>调整募集资金用途的，应当</w:t>
      </w:r>
      <w:r>
        <w:rPr>
          <w:rFonts w:hint="default"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规定和募集说明书</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约定履行</w:t>
      </w:r>
      <w:r>
        <w:rPr>
          <w:rFonts w:hint="default" w:ascii="Times New Roman" w:hAnsi="Times New Roman" w:eastAsia="仿宋_GB2312" w:cs="Times New Roman"/>
          <w:sz w:val="32"/>
          <w:szCs w:val="32"/>
          <w:highlight w:val="none"/>
          <w:lang w:eastAsia="zh-CN"/>
        </w:rPr>
        <w:t>相应</w:t>
      </w:r>
      <w:r>
        <w:rPr>
          <w:rFonts w:hint="default" w:ascii="Times New Roman" w:hAnsi="Times New Roman" w:eastAsia="仿宋_GB2312" w:cs="Times New Roman"/>
          <w:sz w:val="32"/>
          <w:szCs w:val="32"/>
          <w:highlight w:val="none"/>
        </w:rPr>
        <w:t>程序。</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存在</w:t>
      </w:r>
      <w:r>
        <w:rPr>
          <w:rFonts w:hint="default" w:ascii="Times New Roman" w:hAnsi="Times New Roman" w:eastAsia="仿宋_GB2312" w:cs="Times New Roman"/>
          <w:sz w:val="32"/>
          <w:szCs w:val="32"/>
          <w:highlight w:val="none"/>
        </w:rPr>
        <w:t>下列情形之一的，</w:t>
      </w:r>
      <w:r>
        <w:rPr>
          <w:rFonts w:hint="default" w:ascii="Times New Roman" w:hAnsi="Times New Roman" w:eastAsia="仿宋_GB2312" w:cs="Times New Roman"/>
          <w:sz w:val="32"/>
          <w:szCs w:val="32"/>
          <w:highlight w:val="none"/>
          <w:lang w:val="en-US" w:eastAsia="zh-CN"/>
        </w:rPr>
        <w:t>变更</w:t>
      </w:r>
      <w:r>
        <w:rPr>
          <w:rFonts w:hint="default" w:ascii="Times New Roman" w:hAnsi="Times New Roman" w:eastAsia="仿宋_GB2312" w:cs="Times New Roman"/>
          <w:sz w:val="32"/>
          <w:szCs w:val="32"/>
          <w:highlight w:val="none"/>
        </w:rPr>
        <w:t>调整募集资金用途应当经债券持有人会议</w:t>
      </w:r>
      <w:r>
        <w:rPr>
          <w:rFonts w:hint="default" w:ascii="Times New Roman" w:hAnsi="Times New Roman" w:eastAsia="仿宋_GB2312" w:cs="Times New Roman"/>
          <w:sz w:val="32"/>
          <w:szCs w:val="32"/>
          <w:highlight w:val="none"/>
          <w:lang w:eastAsia="zh-CN"/>
        </w:rPr>
        <w:t>作出决议</w:t>
      </w:r>
      <w:r>
        <w:rPr>
          <w:rFonts w:hint="default"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（一）募集说明书没有约定</w:t>
      </w:r>
      <w:r>
        <w:rPr>
          <w:rFonts w:hint="default" w:ascii="Times New Roman" w:hAnsi="Times New Roman" w:eastAsia="仿宋_GB2312" w:cs="Times New Roman"/>
          <w:sz w:val="32"/>
          <w:szCs w:val="32"/>
          <w:highlight w:val="none"/>
          <w:lang w:val="en-US" w:eastAsia="zh-CN"/>
        </w:rPr>
        <w:t>变更</w:t>
      </w:r>
      <w:r>
        <w:rPr>
          <w:rFonts w:hint="default" w:ascii="Times New Roman" w:hAnsi="Times New Roman" w:eastAsia="仿宋_GB2312" w:cs="Times New Roman"/>
          <w:sz w:val="32"/>
          <w:szCs w:val="32"/>
          <w:highlight w:val="none"/>
        </w:rPr>
        <w:t>调整程序或者约定不明确；</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（二）公开发行公司债券，</w:t>
      </w:r>
      <w:r>
        <w:rPr>
          <w:rFonts w:hint="default" w:ascii="Times New Roman" w:hAnsi="Times New Roman" w:eastAsia="仿宋_GB2312" w:cs="Times New Roman"/>
          <w:sz w:val="32"/>
          <w:szCs w:val="32"/>
          <w:highlight w:val="none"/>
          <w:lang w:val="en-US" w:eastAsia="zh-CN"/>
        </w:rPr>
        <w:t>变更调整</w:t>
      </w:r>
      <w:r>
        <w:rPr>
          <w:rFonts w:hint="default" w:ascii="Times New Roman" w:hAnsi="Times New Roman" w:eastAsia="仿宋_GB2312" w:cs="Times New Roman"/>
          <w:sz w:val="32"/>
          <w:szCs w:val="32"/>
          <w:highlight w:val="none"/>
        </w:rPr>
        <w:t>前后的募集资金用途分别属于偿还债务、补充流动资金、固定资产投资项目、股权投资或资产收购等用途中的不同类别。</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发行人应当披露临时报告，说明</w:t>
      </w:r>
      <w:r>
        <w:rPr>
          <w:rFonts w:hint="default" w:ascii="Times New Roman" w:hAnsi="Times New Roman" w:eastAsia="仿宋_GB2312" w:cs="Times New Roman"/>
          <w:sz w:val="32"/>
          <w:szCs w:val="32"/>
          <w:highlight w:val="none"/>
          <w:lang w:val="en-US" w:eastAsia="zh-CN"/>
        </w:rPr>
        <w:t>变更</w:t>
      </w:r>
      <w:r>
        <w:rPr>
          <w:rFonts w:hint="default" w:ascii="Times New Roman" w:hAnsi="Times New Roman" w:eastAsia="仿宋_GB2312" w:cs="Times New Roman"/>
          <w:sz w:val="32"/>
          <w:szCs w:val="32"/>
          <w:highlight w:val="none"/>
        </w:rPr>
        <w:t>调整程序、</w:t>
      </w:r>
      <w:r>
        <w:rPr>
          <w:rFonts w:hint="default" w:ascii="Times New Roman" w:hAnsi="Times New Roman" w:eastAsia="仿宋_GB2312" w:cs="Times New Roman"/>
          <w:sz w:val="32"/>
          <w:szCs w:val="32"/>
          <w:highlight w:val="none"/>
          <w:lang w:val="en-US" w:eastAsia="zh-CN"/>
        </w:rPr>
        <w:t>变更</w:t>
      </w:r>
      <w:r>
        <w:rPr>
          <w:rFonts w:hint="default" w:ascii="Times New Roman" w:hAnsi="Times New Roman" w:eastAsia="仿宋_GB2312" w:cs="Times New Roman"/>
          <w:sz w:val="32"/>
          <w:szCs w:val="32"/>
          <w:highlight w:val="none"/>
        </w:rPr>
        <w:t>调整后的募集资金用途是否符合规定和募集说明书约定。</w:t>
      </w:r>
    </w:p>
    <w:p>
      <w:pPr>
        <w:spacing w:line="560" w:lineRule="exact"/>
        <w:ind w:firstLine="643" w:firstLineChars="200"/>
        <w:rPr>
          <w:rFonts w:ascii="Times New Roman" w:hAnsi="Times New Roman" w:eastAsia="黑体" w:cs="Times New Roman"/>
          <w:b/>
          <w:sz w:val="32"/>
          <w:szCs w:val="32"/>
          <w:highlight w:val="none"/>
        </w:rPr>
      </w:pPr>
      <w:r>
        <w:rPr>
          <w:rFonts w:hint="default" w:ascii="Times New Roman" w:hAnsi="Times New Roman" w:eastAsia="黑体" w:cs="Times New Roman"/>
          <w:b/>
          <w:sz w:val="32"/>
          <w:szCs w:val="32"/>
          <w:highlight w:val="none"/>
        </w:rPr>
        <w:t>四</w:t>
      </w:r>
      <w:r>
        <w:rPr>
          <w:rFonts w:ascii="Times New Roman" w:hAnsi="Times New Roman" w:eastAsia="黑体" w:cs="Times New Roman"/>
          <w:b/>
          <w:sz w:val="32"/>
          <w:szCs w:val="32"/>
          <w:highlight w:val="none"/>
        </w:rPr>
        <w:t>、</w:t>
      </w:r>
      <w:r>
        <w:rPr>
          <w:rFonts w:hint="default" w:ascii="Times New Roman" w:hAnsi="Times New Roman" w:eastAsia="黑体" w:cs="Times New Roman"/>
          <w:b/>
          <w:sz w:val="32"/>
          <w:szCs w:val="32"/>
          <w:highlight w:val="none"/>
        </w:rPr>
        <w:t>募集</w:t>
      </w:r>
      <w:r>
        <w:rPr>
          <w:rFonts w:ascii="Times New Roman" w:hAnsi="Times New Roman" w:eastAsia="黑体" w:cs="Times New Roman"/>
          <w:b/>
          <w:sz w:val="32"/>
          <w:szCs w:val="32"/>
          <w:highlight w:val="none"/>
        </w:rPr>
        <w:t>资金</w:t>
      </w:r>
      <w:r>
        <w:rPr>
          <w:rFonts w:hint="default" w:ascii="Times New Roman" w:hAnsi="Times New Roman" w:eastAsia="黑体" w:cs="Times New Roman"/>
          <w:b/>
          <w:sz w:val="32"/>
          <w:szCs w:val="32"/>
          <w:highlight w:val="none"/>
        </w:rPr>
        <w:t>使用披露</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发行人</w:t>
      </w:r>
      <w:r>
        <w:rPr>
          <w:rFonts w:hint="default" w:ascii="Times New Roman" w:hAnsi="Times New Roman" w:eastAsia="仿宋_GB2312" w:cs="Times New Roman"/>
          <w:sz w:val="32"/>
          <w:szCs w:val="32"/>
          <w:highlight w:val="none"/>
        </w:rPr>
        <w:t>再次申请发行公司债券的，应当在募集说明书中披露前</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次发行公司债券募集资金</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使用</w:t>
      </w:r>
      <w:r>
        <w:rPr>
          <w:rFonts w:hint="default" w:ascii="Times New Roman" w:hAnsi="Times New Roman" w:eastAsia="仿宋_GB2312" w:cs="Times New Roman"/>
          <w:sz w:val="32"/>
          <w:szCs w:val="32"/>
          <w:highlight w:val="none"/>
          <w:lang w:eastAsia="zh-CN"/>
        </w:rPr>
        <w:t>的下列</w:t>
      </w:r>
      <w:r>
        <w:rPr>
          <w:rFonts w:hint="default" w:ascii="Times New Roman" w:hAnsi="Times New Roman" w:eastAsia="仿宋_GB2312" w:cs="Times New Roman"/>
          <w:sz w:val="32"/>
          <w:szCs w:val="32"/>
          <w:highlight w:val="none"/>
        </w:rPr>
        <w:t>情况：</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募集资金总额、实际使用金额与募集资金余额；</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募集资金专户运作情况；</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（三）募集资金约定用途、用途变更调整情况与实际用途；</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（四）募集资金违规使用及其整改情况。</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再次</w:t>
      </w:r>
      <w:r>
        <w:rPr>
          <w:rFonts w:ascii="Times New Roman" w:hAnsi="Times New Roman" w:eastAsia="仿宋_GB2312" w:cs="Times New Roman"/>
          <w:sz w:val="32"/>
          <w:szCs w:val="32"/>
          <w:highlight w:val="none"/>
        </w:rPr>
        <w:t>申请发行公司债券的，</w:t>
      </w:r>
      <w:r>
        <w:rPr>
          <w:rFonts w:hint="default" w:ascii="Times New Roman" w:hAnsi="Times New Roman" w:eastAsia="仿宋_GB2312" w:cs="Times New Roman"/>
          <w:sz w:val="32"/>
          <w:szCs w:val="32"/>
          <w:highlight w:val="none"/>
        </w:rPr>
        <w:t>发行人应当自查并披露截至募集说明书签署日，公司债券是否存在擅自改变公司债券募集资金用途</w:t>
      </w:r>
      <w:r>
        <w:rPr>
          <w:rFonts w:hint="eastAsia" w:ascii="Times New Roman" w:hAnsi="Times New Roman" w:eastAsia="仿宋_GB2312" w:cs="Times New Roman"/>
          <w:sz w:val="32"/>
          <w:szCs w:val="32"/>
          <w:highlight w:val="none"/>
          <w:lang w:eastAsia="zh-CN"/>
        </w:rPr>
        <w:t>且</w:t>
      </w:r>
      <w:r>
        <w:rPr>
          <w:rFonts w:hint="default" w:ascii="Times New Roman" w:hAnsi="Times New Roman" w:eastAsia="仿宋_GB2312" w:cs="Times New Roman"/>
          <w:sz w:val="32"/>
          <w:szCs w:val="32"/>
          <w:highlight w:val="none"/>
        </w:rPr>
        <w:t>尚未整改的情形。</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发行人擅自改变前次发行公司债券募集资金用途</w:t>
      </w:r>
      <w:r>
        <w:rPr>
          <w:rFonts w:hint="eastAsia" w:ascii="Times New Roman" w:hAnsi="Times New Roman" w:eastAsia="仿宋_GB2312" w:cs="Times New Roman"/>
          <w:sz w:val="32"/>
          <w:szCs w:val="32"/>
          <w:highlight w:val="none"/>
          <w:lang w:eastAsia="zh-CN"/>
        </w:rPr>
        <w:t>且</w:t>
      </w:r>
      <w:r>
        <w:rPr>
          <w:rFonts w:hint="default" w:ascii="Times New Roman" w:hAnsi="Times New Roman" w:eastAsia="仿宋_GB2312" w:cs="Times New Roman"/>
          <w:sz w:val="32"/>
          <w:szCs w:val="32"/>
          <w:highlight w:val="none"/>
          <w:lang w:eastAsia="zh-CN"/>
        </w:rPr>
        <w:t>尚</w:t>
      </w:r>
      <w:r>
        <w:rPr>
          <w:rFonts w:hint="default" w:ascii="Times New Roman" w:hAnsi="Times New Roman" w:eastAsia="仿宋_GB2312" w:cs="Times New Roman"/>
          <w:sz w:val="32"/>
          <w:szCs w:val="32"/>
          <w:highlight w:val="none"/>
        </w:rPr>
        <w:t>未完成整改的，不得再次申报发行公司债券。</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发行专项品种公司债券的，募集资金用途应当符合《深圳证券交易所公司债券发行上市审核业务指引第7号——专项品种公司债券》的相关规定。发行人应当在募集说明书中披露相关用途详情、具体实施计划、政策支持情况等，并按照规定在定期报告等文件中披露项目的进展情况及其产生的效益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如适用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4.4</w:t>
      </w:r>
      <w:r>
        <w:rPr>
          <w:rFonts w:hint="eastAsia" w:ascii="Times New Roman" w:hAnsi="Times New Roman" w:eastAsia="仿宋_GB2312" w:cs="Times New Roman"/>
          <w:sz w:val="32"/>
          <w:szCs w:val="32"/>
          <w:highlight w:val="none"/>
          <w:lang w:val="en-US" w:eastAsia="zh-CN" w:bidi="ar-SA"/>
        </w:rPr>
        <w:t xml:space="preserve"> </w:t>
      </w:r>
      <w:r>
        <w:rPr>
          <w:rFonts w:hint="default" w:ascii="Times New Roman" w:hAnsi="Times New Roman" w:eastAsia="仿宋_GB2312" w:cs="Times New Roman"/>
          <w:sz w:val="32"/>
          <w:szCs w:val="32"/>
          <w:highlight w:val="none"/>
          <w:lang w:bidi="ar-SA"/>
        </w:rPr>
        <w:t>发行人应当在定期报告中，按照债项逐一披露报告期内募集资金使用和整改</w:t>
      </w:r>
      <w:r>
        <w:rPr>
          <w:rFonts w:hint="eastAsia" w:ascii="Times New Roman" w:hAnsi="Times New Roman" w:eastAsia="仿宋_GB2312" w:cs="Times New Roman"/>
          <w:sz w:val="32"/>
          <w:szCs w:val="32"/>
          <w:highlight w:val="none"/>
          <w:lang w:eastAsia="zh-CN" w:bidi="ar-SA"/>
        </w:rPr>
        <w:t>的下列</w:t>
      </w:r>
      <w:r>
        <w:rPr>
          <w:rFonts w:hint="default" w:ascii="Times New Roman" w:hAnsi="Times New Roman" w:eastAsia="仿宋_GB2312" w:cs="Times New Roman"/>
          <w:sz w:val="32"/>
          <w:szCs w:val="32"/>
          <w:highlight w:val="none"/>
          <w:lang w:bidi="ar-SA"/>
        </w:rPr>
        <w:t>情况：</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（一）募集资金总额、实际使用金额、报告期末余额；</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（二）不同用途类别募集资金的实际使用情况、实际用途</w:t>
      </w:r>
      <w:r>
        <w:rPr>
          <w:rFonts w:hint="default" w:ascii="Times New Roman" w:hAnsi="Times New Roman" w:eastAsia="仿宋_GB2312" w:cs="Times New Roman"/>
          <w:sz w:val="32"/>
          <w:szCs w:val="32"/>
          <w:highlight w:val="none"/>
          <w:lang w:val="en-US" w:eastAsia="zh-CN" w:bidi="ar-SA"/>
        </w:rPr>
        <w:t>与约定用途的差异情况</w:t>
      </w:r>
      <w:r>
        <w:rPr>
          <w:rFonts w:hint="default" w:ascii="Times New Roman" w:hAnsi="Times New Roman" w:eastAsia="仿宋_GB2312" w:cs="Times New Roman"/>
          <w:sz w:val="32"/>
          <w:szCs w:val="32"/>
          <w:highlight w:val="none"/>
          <w:lang w:bidi="ar-SA"/>
        </w:rPr>
        <w:t>；</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（三）临时补流的金额和用途；</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（四）募集资金专户运作情况；</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（五）募集资金用途变更调整情况；</w:t>
      </w:r>
    </w:p>
    <w:p>
      <w:pPr>
        <w:spacing w:line="560" w:lineRule="exact"/>
        <w:ind w:firstLine="640" w:firstLineChars="200"/>
        <w:contextualSpacing/>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（六）募集资金违规使用</w:t>
      </w:r>
      <w:r>
        <w:rPr>
          <w:rFonts w:hint="eastAsia" w:ascii="Times New Roman" w:hAnsi="Times New Roman" w:eastAsia="仿宋_GB2312" w:cs="Times New Roman"/>
          <w:sz w:val="32"/>
          <w:szCs w:val="32"/>
          <w:highlight w:val="none"/>
          <w:lang w:eastAsia="zh-CN" w:bidi="ar-SA"/>
        </w:rPr>
        <w:t>以</w:t>
      </w:r>
      <w:r>
        <w:rPr>
          <w:rFonts w:hint="default" w:ascii="Times New Roman" w:hAnsi="Times New Roman" w:eastAsia="仿宋_GB2312" w:cs="Times New Roman"/>
          <w:sz w:val="32"/>
          <w:szCs w:val="32"/>
          <w:highlight w:val="none"/>
          <w:lang w:bidi="ar-SA"/>
        </w:rPr>
        <w:t>及整改情况。</w:t>
      </w:r>
    </w:p>
    <w:p>
      <w:pPr>
        <w:spacing w:line="560" w:lineRule="exact"/>
        <w:ind w:firstLine="643" w:firstLineChars="200"/>
        <w:rPr>
          <w:rFonts w:ascii="Times New Roman" w:hAnsi="Times New Roman" w:eastAsia="黑体" w:cs="Times New Roman"/>
          <w:b/>
          <w:sz w:val="32"/>
          <w:szCs w:val="32"/>
          <w:highlight w:val="none"/>
        </w:rPr>
      </w:pPr>
      <w:r>
        <w:rPr>
          <w:rFonts w:hint="default" w:ascii="Times New Roman" w:hAnsi="Times New Roman" w:eastAsia="黑体" w:cs="Times New Roman"/>
          <w:b/>
          <w:sz w:val="32"/>
          <w:szCs w:val="32"/>
          <w:highlight w:val="none"/>
        </w:rPr>
        <w:t>五</w:t>
      </w:r>
      <w:r>
        <w:rPr>
          <w:rFonts w:ascii="Times New Roman" w:hAnsi="Times New Roman" w:eastAsia="黑体" w:cs="Times New Roman"/>
          <w:b/>
          <w:sz w:val="32"/>
          <w:szCs w:val="32"/>
          <w:highlight w:val="none"/>
        </w:rPr>
        <w:t>、</w:t>
      </w:r>
      <w:r>
        <w:rPr>
          <w:rFonts w:hint="default" w:ascii="Times New Roman" w:hAnsi="Times New Roman" w:eastAsia="黑体" w:cs="Times New Roman"/>
          <w:b/>
          <w:sz w:val="32"/>
          <w:szCs w:val="32"/>
          <w:highlight w:val="none"/>
        </w:rPr>
        <w:t>募集</w:t>
      </w:r>
      <w:r>
        <w:rPr>
          <w:rFonts w:ascii="Times New Roman" w:hAnsi="Times New Roman" w:eastAsia="黑体" w:cs="Times New Roman"/>
          <w:b/>
          <w:sz w:val="32"/>
          <w:szCs w:val="32"/>
          <w:highlight w:val="none"/>
        </w:rPr>
        <w:t>资金</w:t>
      </w:r>
      <w:r>
        <w:rPr>
          <w:rFonts w:hint="default" w:ascii="Times New Roman" w:hAnsi="Times New Roman" w:eastAsia="黑体" w:cs="Times New Roman"/>
          <w:b/>
          <w:sz w:val="32"/>
          <w:szCs w:val="32"/>
          <w:highlight w:val="none"/>
        </w:rPr>
        <w:t>使用核查</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申报发行阶段，公司债券主承销商与律师事务所应当</w:t>
      </w:r>
      <w:r>
        <w:rPr>
          <w:rFonts w:hint="default"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规定对募集资金用途是否合法合规、是否存在违规改变前次发行公司债券募集资金用途</w:t>
      </w:r>
      <w:r>
        <w:rPr>
          <w:rFonts w:hint="default" w:ascii="Times New Roman" w:hAnsi="Times New Roman" w:eastAsia="仿宋_GB2312" w:cs="Times New Roman"/>
          <w:sz w:val="32"/>
          <w:szCs w:val="32"/>
          <w:highlight w:val="none"/>
          <w:lang w:eastAsia="zh-CN"/>
        </w:rPr>
        <w:t>且</w:t>
      </w:r>
      <w:r>
        <w:rPr>
          <w:rFonts w:hint="default" w:ascii="Times New Roman" w:hAnsi="Times New Roman" w:eastAsia="仿宋_GB2312" w:cs="Times New Roman"/>
          <w:sz w:val="32"/>
          <w:szCs w:val="32"/>
          <w:highlight w:val="none"/>
        </w:rPr>
        <w:t>未</w:t>
      </w:r>
      <w:r>
        <w:rPr>
          <w:rFonts w:hint="default" w:ascii="Times New Roman" w:hAnsi="Times New Roman" w:eastAsia="仿宋_GB2312" w:cs="Times New Roman"/>
          <w:sz w:val="32"/>
          <w:szCs w:val="32"/>
          <w:highlight w:val="none"/>
          <w:lang w:eastAsia="zh-CN"/>
        </w:rPr>
        <w:t>作</w:t>
      </w:r>
      <w:r>
        <w:rPr>
          <w:rFonts w:hint="default" w:ascii="Times New Roman" w:hAnsi="Times New Roman" w:eastAsia="仿宋_GB2312" w:cs="Times New Roman"/>
          <w:sz w:val="32"/>
          <w:szCs w:val="32"/>
          <w:highlight w:val="none"/>
        </w:rPr>
        <w:t>纠正等情形进行核查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并发表明确意见。</w:t>
      </w:r>
    </w:p>
    <w:p>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公司债券募集资金全部使用完毕前，受托管理人应当至少每季度核查</w:t>
      </w:r>
      <w:r>
        <w:rPr>
          <w:rFonts w:hint="default" w:ascii="Times New Roman" w:hAnsi="Times New Roman" w:eastAsia="仿宋_GB2312" w:cs="Times New Roman"/>
          <w:sz w:val="32"/>
          <w:szCs w:val="32"/>
          <w:highlight w:val="none"/>
          <w:lang w:eastAsia="zh-CN"/>
        </w:rPr>
        <w:t>一次</w:t>
      </w:r>
      <w:r>
        <w:rPr>
          <w:rFonts w:hint="default" w:ascii="Times New Roman" w:hAnsi="Times New Roman" w:eastAsia="仿宋_GB2312" w:cs="Times New Roman"/>
          <w:sz w:val="32"/>
          <w:szCs w:val="32"/>
          <w:highlight w:val="none"/>
        </w:rPr>
        <w:t>发行人募集资金使用凭证、募集资金专户流水。</w:t>
      </w:r>
    </w:p>
    <w:p>
      <w:pPr>
        <w:spacing w:line="560" w:lineRule="exact"/>
        <w:ind w:firstLine="640" w:firstLineChars="200"/>
        <w:rPr>
          <w:rFonts w:ascii="Times New Roman" w:hAnsi="Times New Roman" w:eastAsia="仿宋_GB2312" w:cs="Times New Roman"/>
          <w:kern w:val="0"/>
          <w:sz w:val="32"/>
          <w:highlight w:val="none"/>
        </w:rPr>
      </w:pPr>
      <w:r>
        <w:rPr>
          <w:rFonts w:hint="default" w:ascii="Times New Roman" w:hAnsi="Times New Roman" w:eastAsia="仿宋_GB2312" w:cs="Times New Roman"/>
          <w:sz w:val="32"/>
          <w:szCs w:val="32"/>
          <w:highlight w:val="none"/>
        </w:rPr>
        <w:t>受托管理人按照前款规定进行核查，应当重点关注募集资金专户运作情况、募集资金使用情况、临时补流情况、募集资金用途变更</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情况、募集资金相关信息披露合规性等</w:t>
      </w:r>
      <w:r>
        <w:rPr>
          <w:rFonts w:hint="default" w:ascii="Times New Roman" w:hAnsi="Times New Roman" w:eastAsia="仿宋_GB2312" w:cs="Times New Roman"/>
          <w:kern w:val="0"/>
          <w:sz w:val="32"/>
          <w:highlight w:val="none"/>
        </w:rPr>
        <w:t>。</w:t>
      </w:r>
    </w:p>
    <w:p>
      <w:pPr>
        <w:spacing w:line="560" w:lineRule="exact"/>
        <w:ind w:firstLine="640" w:firstLineChars="200"/>
        <w:rPr>
          <w:rFonts w:hint="default" w:ascii="Times New Roman" w:hAnsi="Times New Roman" w:eastAsia="仿宋_GB2312" w:cs="Times New Roman"/>
          <w:kern w:val="0"/>
          <w:sz w:val="32"/>
          <w:highlight w:val="none"/>
        </w:rPr>
      </w:pPr>
      <w:r>
        <w:rPr>
          <w:rFonts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募集资金用于固定资产投资项目的，受托管理人应当至少每年对项目建设进展及运营情况开展一次现场核查</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kern w:val="0"/>
          <w:sz w:val="32"/>
          <w:highlight w:val="none"/>
        </w:rPr>
        <w:t>在核查中</w:t>
      </w:r>
      <w:r>
        <w:rPr>
          <w:rFonts w:hint="default" w:ascii="Times New Roman" w:hAnsi="Times New Roman" w:eastAsia="仿宋_GB2312" w:cs="Times New Roman"/>
          <w:kern w:val="0"/>
          <w:sz w:val="32"/>
          <w:highlight w:val="none"/>
          <w:lang w:eastAsia="zh-CN"/>
        </w:rPr>
        <w:t>重点</w:t>
      </w:r>
      <w:r>
        <w:rPr>
          <w:rFonts w:hint="default" w:ascii="Times New Roman" w:hAnsi="Times New Roman" w:eastAsia="仿宋_GB2312" w:cs="Times New Roman"/>
          <w:kern w:val="0"/>
          <w:sz w:val="32"/>
          <w:highlight w:val="none"/>
        </w:rPr>
        <w:t>关注募集资金实际投入情况是否符合投资进展和发行时的合理预期。</w:t>
      </w:r>
    </w:p>
    <w:p>
      <w:pPr>
        <w:spacing w:line="560" w:lineRule="exact"/>
        <w:ind w:firstLine="640" w:firstLineChars="200"/>
        <w:rPr>
          <w:rFonts w:ascii="Times New Roman" w:hAnsi="Times New Roman" w:eastAsia="仿宋_GB2312" w:cs="Times New Roman"/>
          <w:kern w:val="0"/>
          <w:sz w:val="32"/>
          <w:highlight w:val="none"/>
        </w:rPr>
      </w:pPr>
      <w:r>
        <w:rPr>
          <w:rFonts w:hint="default" w:ascii="Times New Roman" w:hAnsi="Times New Roman" w:eastAsia="仿宋_GB2312" w:cs="Times New Roman"/>
          <w:kern w:val="0"/>
          <w:sz w:val="32"/>
          <w:highlight w:val="none"/>
        </w:rPr>
        <w:t>核查发现存在明显不符或者</w:t>
      </w:r>
      <w:r>
        <w:rPr>
          <w:rFonts w:hint="default" w:ascii="Times New Roman" w:hAnsi="Times New Roman" w:eastAsia="仿宋_GB2312" w:cs="Times New Roman"/>
          <w:kern w:val="0"/>
          <w:sz w:val="32"/>
          <w:highlight w:val="none"/>
          <w:lang w:eastAsia="zh-CN"/>
        </w:rPr>
        <w:t>重大异常</w:t>
      </w:r>
      <w:r>
        <w:rPr>
          <w:rFonts w:hint="default" w:ascii="Times New Roman" w:hAnsi="Times New Roman" w:eastAsia="仿宋_GB2312" w:cs="Times New Roman"/>
          <w:kern w:val="0"/>
          <w:sz w:val="32"/>
          <w:highlight w:val="none"/>
        </w:rPr>
        <w:t>情形</w:t>
      </w:r>
      <w:r>
        <w:rPr>
          <w:rFonts w:hint="default" w:ascii="Times New Roman" w:hAnsi="Times New Roman" w:eastAsia="仿宋_GB2312" w:cs="Times New Roman"/>
          <w:kern w:val="0"/>
          <w:sz w:val="32"/>
          <w:highlight w:val="none"/>
          <w:lang w:eastAsia="zh-CN"/>
        </w:rPr>
        <w:t>的</w:t>
      </w:r>
      <w:r>
        <w:rPr>
          <w:rFonts w:hint="default" w:ascii="Times New Roman" w:hAnsi="Times New Roman" w:eastAsia="仿宋_GB2312" w:cs="Times New Roman"/>
          <w:kern w:val="0"/>
          <w:sz w:val="32"/>
          <w:highlight w:val="none"/>
        </w:rPr>
        <w:t>，</w:t>
      </w:r>
      <w:r>
        <w:rPr>
          <w:rFonts w:hint="default" w:ascii="Times New Roman" w:hAnsi="Times New Roman" w:eastAsia="仿宋_GB2312" w:cs="Times New Roman"/>
          <w:sz w:val="32"/>
          <w:szCs w:val="32"/>
          <w:highlight w:val="none"/>
        </w:rPr>
        <w:t>受托管理人</w:t>
      </w:r>
      <w:r>
        <w:rPr>
          <w:rFonts w:hint="default" w:ascii="Times New Roman" w:hAnsi="Times New Roman" w:eastAsia="仿宋_GB2312" w:cs="Times New Roman"/>
          <w:kern w:val="0"/>
          <w:sz w:val="32"/>
          <w:highlight w:val="none"/>
        </w:rPr>
        <w:t>应当督促发行人披露公告，说明项目进展情况、募集资金未按预期进度投入的原因、发行人已采取或</w:t>
      </w:r>
      <w:r>
        <w:rPr>
          <w:rFonts w:hint="eastAsia" w:ascii="Times New Roman" w:hAnsi="Times New Roman" w:eastAsia="仿宋_GB2312" w:cs="Times New Roman"/>
          <w:kern w:val="0"/>
          <w:sz w:val="32"/>
          <w:highlight w:val="none"/>
          <w:lang w:eastAsia="zh-CN"/>
        </w:rPr>
        <w:t>者</w:t>
      </w:r>
      <w:r>
        <w:rPr>
          <w:rFonts w:hint="default" w:ascii="Times New Roman" w:hAnsi="Times New Roman" w:eastAsia="仿宋_GB2312" w:cs="Times New Roman"/>
          <w:kern w:val="0"/>
          <w:sz w:val="32"/>
          <w:highlight w:val="none"/>
        </w:rPr>
        <w:t>拟采取的投资者权益保护措施。</w:t>
      </w:r>
    </w:p>
    <w:p>
      <w:pPr>
        <w:rPr>
          <w:rFonts w:ascii="Times New Roman" w:hAnsi="Times New Roman" w:cs="Times New Roman"/>
          <w:b/>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TIyYjEwZWVlYTI3ODYwYjc2ZmY1Y2ZlZmU2MGEifQ=="/>
  </w:docVars>
  <w:rsids>
    <w:rsidRoot w:val="00172A27"/>
    <w:rsid w:val="00002287"/>
    <w:rsid w:val="000024B9"/>
    <w:rsid w:val="00004488"/>
    <w:rsid w:val="00004D67"/>
    <w:rsid w:val="000058C0"/>
    <w:rsid w:val="00005B33"/>
    <w:rsid w:val="00010CDA"/>
    <w:rsid w:val="000154FD"/>
    <w:rsid w:val="00017780"/>
    <w:rsid w:val="0002281F"/>
    <w:rsid w:val="00023064"/>
    <w:rsid w:val="00027698"/>
    <w:rsid w:val="0003368A"/>
    <w:rsid w:val="00033EA4"/>
    <w:rsid w:val="00035FC6"/>
    <w:rsid w:val="00042A0C"/>
    <w:rsid w:val="00042B7E"/>
    <w:rsid w:val="00043173"/>
    <w:rsid w:val="00043715"/>
    <w:rsid w:val="00043EEB"/>
    <w:rsid w:val="00044598"/>
    <w:rsid w:val="00045D0C"/>
    <w:rsid w:val="00050191"/>
    <w:rsid w:val="0005132A"/>
    <w:rsid w:val="00051440"/>
    <w:rsid w:val="00053BCB"/>
    <w:rsid w:val="000546AE"/>
    <w:rsid w:val="00060864"/>
    <w:rsid w:val="00061387"/>
    <w:rsid w:val="00063BE6"/>
    <w:rsid w:val="0006499B"/>
    <w:rsid w:val="000653C5"/>
    <w:rsid w:val="00065C7F"/>
    <w:rsid w:val="00066B40"/>
    <w:rsid w:val="00066CE8"/>
    <w:rsid w:val="00066E00"/>
    <w:rsid w:val="00067B64"/>
    <w:rsid w:val="00070A31"/>
    <w:rsid w:val="00071528"/>
    <w:rsid w:val="00071D38"/>
    <w:rsid w:val="00073E6D"/>
    <w:rsid w:val="00075CC8"/>
    <w:rsid w:val="00075F87"/>
    <w:rsid w:val="00083AC1"/>
    <w:rsid w:val="0008551E"/>
    <w:rsid w:val="000864C0"/>
    <w:rsid w:val="00086DA0"/>
    <w:rsid w:val="000877F1"/>
    <w:rsid w:val="00087821"/>
    <w:rsid w:val="00090C23"/>
    <w:rsid w:val="00091467"/>
    <w:rsid w:val="00093EA8"/>
    <w:rsid w:val="000961A8"/>
    <w:rsid w:val="00097A53"/>
    <w:rsid w:val="00097E8E"/>
    <w:rsid w:val="000A05FC"/>
    <w:rsid w:val="000A3644"/>
    <w:rsid w:val="000A64E8"/>
    <w:rsid w:val="000A7D96"/>
    <w:rsid w:val="000B079D"/>
    <w:rsid w:val="000B1711"/>
    <w:rsid w:val="000B1A08"/>
    <w:rsid w:val="000B1F53"/>
    <w:rsid w:val="000B2CC2"/>
    <w:rsid w:val="000B3203"/>
    <w:rsid w:val="000B3E50"/>
    <w:rsid w:val="000B493B"/>
    <w:rsid w:val="000B5B38"/>
    <w:rsid w:val="000B636F"/>
    <w:rsid w:val="000B6B51"/>
    <w:rsid w:val="000C04CD"/>
    <w:rsid w:val="000C0E79"/>
    <w:rsid w:val="000C19BD"/>
    <w:rsid w:val="000C288E"/>
    <w:rsid w:val="000C3A3A"/>
    <w:rsid w:val="000C3EEC"/>
    <w:rsid w:val="000C4D4F"/>
    <w:rsid w:val="000C4F85"/>
    <w:rsid w:val="000C69FD"/>
    <w:rsid w:val="000C6EA6"/>
    <w:rsid w:val="000C7003"/>
    <w:rsid w:val="000D024E"/>
    <w:rsid w:val="000D15A4"/>
    <w:rsid w:val="000D3875"/>
    <w:rsid w:val="000D6374"/>
    <w:rsid w:val="000D7168"/>
    <w:rsid w:val="000D7B20"/>
    <w:rsid w:val="000E1DDB"/>
    <w:rsid w:val="000E2422"/>
    <w:rsid w:val="000E6017"/>
    <w:rsid w:val="000E68C7"/>
    <w:rsid w:val="000E6BD0"/>
    <w:rsid w:val="000E7027"/>
    <w:rsid w:val="000E7A8A"/>
    <w:rsid w:val="000F0BDC"/>
    <w:rsid w:val="000F0D11"/>
    <w:rsid w:val="000F16EE"/>
    <w:rsid w:val="000F1B3B"/>
    <w:rsid w:val="000F1E9B"/>
    <w:rsid w:val="000F2134"/>
    <w:rsid w:val="000F4EF7"/>
    <w:rsid w:val="000F5F14"/>
    <w:rsid w:val="000F6CB7"/>
    <w:rsid w:val="000F73EF"/>
    <w:rsid w:val="000F7ED4"/>
    <w:rsid w:val="001004E6"/>
    <w:rsid w:val="001008CB"/>
    <w:rsid w:val="00101D04"/>
    <w:rsid w:val="001023F1"/>
    <w:rsid w:val="0010260B"/>
    <w:rsid w:val="001041FD"/>
    <w:rsid w:val="0010478D"/>
    <w:rsid w:val="0010567A"/>
    <w:rsid w:val="00106D91"/>
    <w:rsid w:val="00111480"/>
    <w:rsid w:val="001124A4"/>
    <w:rsid w:val="00112EEE"/>
    <w:rsid w:val="0011474C"/>
    <w:rsid w:val="00114EAD"/>
    <w:rsid w:val="00117C32"/>
    <w:rsid w:val="0012069D"/>
    <w:rsid w:val="001208EA"/>
    <w:rsid w:val="00121CD6"/>
    <w:rsid w:val="00126C34"/>
    <w:rsid w:val="00127F06"/>
    <w:rsid w:val="00131AD3"/>
    <w:rsid w:val="00134D13"/>
    <w:rsid w:val="001353F8"/>
    <w:rsid w:val="0013640F"/>
    <w:rsid w:val="0013688A"/>
    <w:rsid w:val="00142FFA"/>
    <w:rsid w:val="0015336F"/>
    <w:rsid w:val="00154697"/>
    <w:rsid w:val="00155B0B"/>
    <w:rsid w:val="0015720D"/>
    <w:rsid w:val="00157FCD"/>
    <w:rsid w:val="001627B0"/>
    <w:rsid w:val="001630E1"/>
    <w:rsid w:val="00163A8D"/>
    <w:rsid w:val="00163E29"/>
    <w:rsid w:val="00165817"/>
    <w:rsid w:val="0017079C"/>
    <w:rsid w:val="001716E1"/>
    <w:rsid w:val="00171765"/>
    <w:rsid w:val="00171A52"/>
    <w:rsid w:val="0017348F"/>
    <w:rsid w:val="00174230"/>
    <w:rsid w:val="001746DD"/>
    <w:rsid w:val="00174D05"/>
    <w:rsid w:val="00175E21"/>
    <w:rsid w:val="00176754"/>
    <w:rsid w:val="0017680E"/>
    <w:rsid w:val="001779E5"/>
    <w:rsid w:val="00177E88"/>
    <w:rsid w:val="00180438"/>
    <w:rsid w:val="00180577"/>
    <w:rsid w:val="001809DD"/>
    <w:rsid w:val="00181471"/>
    <w:rsid w:val="0018184C"/>
    <w:rsid w:val="00185736"/>
    <w:rsid w:val="00185C71"/>
    <w:rsid w:val="00186245"/>
    <w:rsid w:val="001912F5"/>
    <w:rsid w:val="00193727"/>
    <w:rsid w:val="00194519"/>
    <w:rsid w:val="00195E77"/>
    <w:rsid w:val="00196308"/>
    <w:rsid w:val="0019718D"/>
    <w:rsid w:val="001A035C"/>
    <w:rsid w:val="001A0A04"/>
    <w:rsid w:val="001A1A00"/>
    <w:rsid w:val="001A2DFE"/>
    <w:rsid w:val="001A53CF"/>
    <w:rsid w:val="001A75EB"/>
    <w:rsid w:val="001B1F1A"/>
    <w:rsid w:val="001B2DCE"/>
    <w:rsid w:val="001B3372"/>
    <w:rsid w:val="001B570D"/>
    <w:rsid w:val="001B5CC5"/>
    <w:rsid w:val="001C0E71"/>
    <w:rsid w:val="001C1162"/>
    <w:rsid w:val="001C3DAC"/>
    <w:rsid w:val="001C5ED9"/>
    <w:rsid w:val="001C5EDB"/>
    <w:rsid w:val="001C621D"/>
    <w:rsid w:val="001D0C66"/>
    <w:rsid w:val="001D29E0"/>
    <w:rsid w:val="001D4CAD"/>
    <w:rsid w:val="001D4ED7"/>
    <w:rsid w:val="001D68B6"/>
    <w:rsid w:val="001D7D2D"/>
    <w:rsid w:val="001E1B4A"/>
    <w:rsid w:val="001E1B89"/>
    <w:rsid w:val="001E4BC3"/>
    <w:rsid w:val="001E5D46"/>
    <w:rsid w:val="001E70CB"/>
    <w:rsid w:val="001E73C9"/>
    <w:rsid w:val="001E73E7"/>
    <w:rsid w:val="001F23C6"/>
    <w:rsid w:val="001F2510"/>
    <w:rsid w:val="001F4B2A"/>
    <w:rsid w:val="001F60AB"/>
    <w:rsid w:val="00200A3C"/>
    <w:rsid w:val="00200F97"/>
    <w:rsid w:val="002011CA"/>
    <w:rsid w:val="002024A4"/>
    <w:rsid w:val="00202970"/>
    <w:rsid w:val="002030C6"/>
    <w:rsid w:val="0020385F"/>
    <w:rsid w:val="00203EE3"/>
    <w:rsid w:val="00204E83"/>
    <w:rsid w:val="002053CF"/>
    <w:rsid w:val="0020759D"/>
    <w:rsid w:val="00207C0A"/>
    <w:rsid w:val="002103C4"/>
    <w:rsid w:val="00211883"/>
    <w:rsid w:val="00211CC2"/>
    <w:rsid w:val="0021216E"/>
    <w:rsid w:val="00213B42"/>
    <w:rsid w:val="00216C84"/>
    <w:rsid w:val="002217C6"/>
    <w:rsid w:val="00221B3A"/>
    <w:rsid w:val="00221CD3"/>
    <w:rsid w:val="0022387A"/>
    <w:rsid w:val="0022731B"/>
    <w:rsid w:val="0023365C"/>
    <w:rsid w:val="00235EF5"/>
    <w:rsid w:val="0023671C"/>
    <w:rsid w:val="00240D20"/>
    <w:rsid w:val="00241BDC"/>
    <w:rsid w:val="00242D49"/>
    <w:rsid w:val="00243867"/>
    <w:rsid w:val="00243DC1"/>
    <w:rsid w:val="0024447C"/>
    <w:rsid w:val="00246045"/>
    <w:rsid w:val="0024613E"/>
    <w:rsid w:val="00247BAA"/>
    <w:rsid w:val="002526C2"/>
    <w:rsid w:val="00253844"/>
    <w:rsid w:val="00254771"/>
    <w:rsid w:val="002547B9"/>
    <w:rsid w:val="00257756"/>
    <w:rsid w:val="00260864"/>
    <w:rsid w:val="002628C6"/>
    <w:rsid w:val="00265A9C"/>
    <w:rsid w:val="0026699A"/>
    <w:rsid w:val="00273B08"/>
    <w:rsid w:val="00273FF4"/>
    <w:rsid w:val="00274600"/>
    <w:rsid w:val="00276E88"/>
    <w:rsid w:val="00280BBB"/>
    <w:rsid w:val="00282878"/>
    <w:rsid w:val="00282DF2"/>
    <w:rsid w:val="00284E58"/>
    <w:rsid w:val="00285FE4"/>
    <w:rsid w:val="00286150"/>
    <w:rsid w:val="00286E92"/>
    <w:rsid w:val="0028759E"/>
    <w:rsid w:val="002908AB"/>
    <w:rsid w:val="00290D37"/>
    <w:rsid w:val="00293E79"/>
    <w:rsid w:val="00297336"/>
    <w:rsid w:val="002A16A4"/>
    <w:rsid w:val="002A2FB4"/>
    <w:rsid w:val="002A344F"/>
    <w:rsid w:val="002A354D"/>
    <w:rsid w:val="002A3686"/>
    <w:rsid w:val="002A3E1B"/>
    <w:rsid w:val="002A41E9"/>
    <w:rsid w:val="002A523A"/>
    <w:rsid w:val="002A66E5"/>
    <w:rsid w:val="002A6D77"/>
    <w:rsid w:val="002B164F"/>
    <w:rsid w:val="002B39CF"/>
    <w:rsid w:val="002B6DA9"/>
    <w:rsid w:val="002C0450"/>
    <w:rsid w:val="002C15E1"/>
    <w:rsid w:val="002C2761"/>
    <w:rsid w:val="002C2CAC"/>
    <w:rsid w:val="002C47FE"/>
    <w:rsid w:val="002C75E2"/>
    <w:rsid w:val="002D2164"/>
    <w:rsid w:val="002D3451"/>
    <w:rsid w:val="002D3C6A"/>
    <w:rsid w:val="002D68A4"/>
    <w:rsid w:val="002E309E"/>
    <w:rsid w:val="002E4CD2"/>
    <w:rsid w:val="002E4F08"/>
    <w:rsid w:val="002E61E3"/>
    <w:rsid w:val="002E7715"/>
    <w:rsid w:val="002E7A87"/>
    <w:rsid w:val="002E7BE8"/>
    <w:rsid w:val="002E7DA6"/>
    <w:rsid w:val="002F3953"/>
    <w:rsid w:val="002F3C94"/>
    <w:rsid w:val="002F42F8"/>
    <w:rsid w:val="002F7379"/>
    <w:rsid w:val="00300F78"/>
    <w:rsid w:val="003014B7"/>
    <w:rsid w:val="0030274A"/>
    <w:rsid w:val="00305F5C"/>
    <w:rsid w:val="003071FF"/>
    <w:rsid w:val="0031123E"/>
    <w:rsid w:val="00311CBB"/>
    <w:rsid w:val="00315128"/>
    <w:rsid w:val="00320EFD"/>
    <w:rsid w:val="0032288D"/>
    <w:rsid w:val="0032335D"/>
    <w:rsid w:val="00327954"/>
    <w:rsid w:val="003313DA"/>
    <w:rsid w:val="00332075"/>
    <w:rsid w:val="0033496E"/>
    <w:rsid w:val="00334CC0"/>
    <w:rsid w:val="003357FC"/>
    <w:rsid w:val="00335CC5"/>
    <w:rsid w:val="003402AD"/>
    <w:rsid w:val="00340675"/>
    <w:rsid w:val="003517B4"/>
    <w:rsid w:val="00352DCA"/>
    <w:rsid w:val="003545F3"/>
    <w:rsid w:val="00356E43"/>
    <w:rsid w:val="00356FBB"/>
    <w:rsid w:val="00357FE4"/>
    <w:rsid w:val="00360FC6"/>
    <w:rsid w:val="0036232E"/>
    <w:rsid w:val="0036259E"/>
    <w:rsid w:val="003641DA"/>
    <w:rsid w:val="00364353"/>
    <w:rsid w:val="003654B9"/>
    <w:rsid w:val="0036649F"/>
    <w:rsid w:val="00366A22"/>
    <w:rsid w:val="00367484"/>
    <w:rsid w:val="0036793E"/>
    <w:rsid w:val="0037182E"/>
    <w:rsid w:val="00371CCB"/>
    <w:rsid w:val="003721EA"/>
    <w:rsid w:val="00373445"/>
    <w:rsid w:val="0037346C"/>
    <w:rsid w:val="0037437E"/>
    <w:rsid w:val="0037585E"/>
    <w:rsid w:val="00375F59"/>
    <w:rsid w:val="00377DBE"/>
    <w:rsid w:val="003808F6"/>
    <w:rsid w:val="00384589"/>
    <w:rsid w:val="0038568E"/>
    <w:rsid w:val="0038755B"/>
    <w:rsid w:val="003902BF"/>
    <w:rsid w:val="00390512"/>
    <w:rsid w:val="0039126B"/>
    <w:rsid w:val="00391311"/>
    <w:rsid w:val="003921B5"/>
    <w:rsid w:val="00392563"/>
    <w:rsid w:val="0039407E"/>
    <w:rsid w:val="00395369"/>
    <w:rsid w:val="00395ACD"/>
    <w:rsid w:val="00397418"/>
    <w:rsid w:val="00397C3B"/>
    <w:rsid w:val="003A05DB"/>
    <w:rsid w:val="003A0CC2"/>
    <w:rsid w:val="003A13DE"/>
    <w:rsid w:val="003A1C03"/>
    <w:rsid w:val="003A2383"/>
    <w:rsid w:val="003A63F8"/>
    <w:rsid w:val="003A703E"/>
    <w:rsid w:val="003A7623"/>
    <w:rsid w:val="003B0A05"/>
    <w:rsid w:val="003B1573"/>
    <w:rsid w:val="003B3219"/>
    <w:rsid w:val="003B3591"/>
    <w:rsid w:val="003B3607"/>
    <w:rsid w:val="003B737B"/>
    <w:rsid w:val="003B7549"/>
    <w:rsid w:val="003B78D5"/>
    <w:rsid w:val="003C03D4"/>
    <w:rsid w:val="003C4EC5"/>
    <w:rsid w:val="003C57C6"/>
    <w:rsid w:val="003C7328"/>
    <w:rsid w:val="003D6879"/>
    <w:rsid w:val="003E024D"/>
    <w:rsid w:val="003E073A"/>
    <w:rsid w:val="003E3658"/>
    <w:rsid w:val="003E4EF4"/>
    <w:rsid w:val="003E5430"/>
    <w:rsid w:val="003E5982"/>
    <w:rsid w:val="003E7054"/>
    <w:rsid w:val="003F0276"/>
    <w:rsid w:val="003F0E6E"/>
    <w:rsid w:val="003F1BB9"/>
    <w:rsid w:val="003F4F65"/>
    <w:rsid w:val="003F682A"/>
    <w:rsid w:val="003F745B"/>
    <w:rsid w:val="00400C8B"/>
    <w:rsid w:val="00401100"/>
    <w:rsid w:val="004034B5"/>
    <w:rsid w:val="00403BFD"/>
    <w:rsid w:val="00405E4E"/>
    <w:rsid w:val="00410954"/>
    <w:rsid w:val="00412408"/>
    <w:rsid w:val="00413161"/>
    <w:rsid w:val="004203E1"/>
    <w:rsid w:val="004218C0"/>
    <w:rsid w:val="0042256E"/>
    <w:rsid w:val="00425511"/>
    <w:rsid w:val="004325B9"/>
    <w:rsid w:val="004334C7"/>
    <w:rsid w:val="004335AE"/>
    <w:rsid w:val="00434DCC"/>
    <w:rsid w:val="004359DA"/>
    <w:rsid w:val="00435D26"/>
    <w:rsid w:val="004360AF"/>
    <w:rsid w:val="004432A4"/>
    <w:rsid w:val="004457A7"/>
    <w:rsid w:val="00446822"/>
    <w:rsid w:val="00446BD8"/>
    <w:rsid w:val="004474ED"/>
    <w:rsid w:val="0044773F"/>
    <w:rsid w:val="00447BDA"/>
    <w:rsid w:val="004508E6"/>
    <w:rsid w:val="0045104E"/>
    <w:rsid w:val="0045470C"/>
    <w:rsid w:val="00460BFF"/>
    <w:rsid w:val="0046141D"/>
    <w:rsid w:val="0046239E"/>
    <w:rsid w:val="0046303F"/>
    <w:rsid w:val="00463A7F"/>
    <w:rsid w:val="004672D7"/>
    <w:rsid w:val="00471BFB"/>
    <w:rsid w:val="0047256F"/>
    <w:rsid w:val="00472AB3"/>
    <w:rsid w:val="004733D5"/>
    <w:rsid w:val="0047341B"/>
    <w:rsid w:val="00475F46"/>
    <w:rsid w:val="004822A1"/>
    <w:rsid w:val="00482FAA"/>
    <w:rsid w:val="00484D4C"/>
    <w:rsid w:val="0049144B"/>
    <w:rsid w:val="0049158D"/>
    <w:rsid w:val="004919E7"/>
    <w:rsid w:val="004933D4"/>
    <w:rsid w:val="004934BA"/>
    <w:rsid w:val="0049565A"/>
    <w:rsid w:val="0049591C"/>
    <w:rsid w:val="00497F6C"/>
    <w:rsid w:val="004A0718"/>
    <w:rsid w:val="004A0C4D"/>
    <w:rsid w:val="004A17BA"/>
    <w:rsid w:val="004A4608"/>
    <w:rsid w:val="004B045F"/>
    <w:rsid w:val="004B1689"/>
    <w:rsid w:val="004B24C7"/>
    <w:rsid w:val="004B2500"/>
    <w:rsid w:val="004B4720"/>
    <w:rsid w:val="004B6ACC"/>
    <w:rsid w:val="004B7608"/>
    <w:rsid w:val="004B7849"/>
    <w:rsid w:val="004C08C6"/>
    <w:rsid w:val="004C1370"/>
    <w:rsid w:val="004C25C1"/>
    <w:rsid w:val="004C2EDF"/>
    <w:rsid w:val="004C33E9"/>
    <w:rsid w:val="004C3729"/>
    <w:rsid w:val="004C5B71"/>
    <w:rsid w:val="004C61D4"/>
    <w:rsid w:val="004C7146"/>
    <w:rsid w:val="004D0378"/>
    <w:rsid w:val="004D0A81"/>
    <w:rsid w:val="004D1322"/>
    <w:rsid w:val="004D2785"/>
    <w:rsid w:val="004D2CA7"/>
    <w:rsid w:val="004D48CC"/>
    <w:rsid w:val="004D553C"/>
    <w:rsid w:val="004D5945"/>
    <w:rsid w:val="004E0C14"/>
    <w:rsid w:val="004E1075"/>
    <w:rsid w:val="004E21F5"/>
    <w:rsid w:val="004E4E2B"/>
    <w:rsid w:val="004F02F9"/>
    <w:rsid w:val="004F0BDE"/>
    <w:rsid w:val="004F2B3E"/>
    <w:rsid w:val="004F4D2F"/>
    <w:rsid w:val="004F4E28"/>
    <w:rsid w:val="004F743C"/>
    <w:rsid w:val="005007E2"/>
    <w:rsid w:val="005011D2"/>
    <w:rsid w:val="005013F7"/>
    <w:rsid w:val="00501838"/>
    <w:rsid w:val="00502DCA"/>
    <w:rsid w:val="005037C8"/>
    <w:rsid w:val="00505694"/>
    <w:rsid w:val="005060BC"/>
    <w:rsid w:val="00507642"/>
    <w:rsid w:val="0051008D"/>
    <w:rsid w:val="00511333"/>
    <w:rsid w:val="00511D01"/>
    <w:rsid w:val="005126D6"/>
    <w:rsid w:val="00513092"/>
    <w:rsid w:val="00513165"/>
    <w:rsid w:val="00513526"/>
    <w:rsid w:val="00513605"/>
    <w:rsid w:val="0051484F"/>
    <w:rsid w:val="005177F0"/>
    <w:rsid w:val="005179BA"/>
    <w:rsid w:val="00520E1C"/>
    <w:rsid w:val="00522576"/>
    <w:rsid w:val="005236E9"/>
    <w:rsid w:val="00524277"/>
    <w:rsid w:val="00527336"/>
    <w:rsid w:val="005316A3"/>
    <w:rsid w:val="005328A9"/>
    <w:rsid w:val="00534858"/>
    <w:rsid w:val="00534B3C"/>
    <w:rsid w:val="0053588A"/>
    <w:rsid w:val="00535B50"/>
    <w:rsid w:val="00537464"/>
    <w:rsid w:val="00537588"/>
    <w:rsid w:val="00537B30"/>
    <w:rsid w:val="005403B1"/>
    <w:rsid w:val="00540776"/>
    <w:rsid w:val="00546F01"/>
    <w:rsid w:val="00547245"/>
    <w:rsid w:val="00550872"/>
    <w:rsid w:val="00550E43"/>
    <w:rsid w:val="005519A8"/>
    <w:rsid w:val="00551DF2"/>
    <w:rsid w:val="00553D1C"/>
    <w:rsid w:val="00555F4F"/>
    <w:rsid w:val="005610C5"/>
    <w:rsid w:val="00561289"/>
    <w:rsid w:val="0056543C"/>
    <w:rsid w:val="005654BA"/>
    <w:rsid w:val="00566483"/>
    <w:rsid w:val="00566DE0"/>
    <w:rsid w:val="005679A7"/>
    <w:rsid w:val="0057007B"/>
    <w:rsid w:val="00572DCF"/>
    <w:rsid w:val="00573043"/>
    <w:rsid w:val="005733D3"/>
    <w:rsid w:val="00573CF1"/>
    <w:rsid w:val="00575700"/>
    <w:rsid w:val="0057607F"/>
    <w:rsid w:val="00576085"/>
    <w:rsid w:val="005801A7"/>
    <w:rsid w:val="00580A3D"/>
    <w:rsid w:val="00583C70"/>
    <w:rsid w:val="00587DFB"/>
    <w:rsid w:val="0059054B"/>
    <w:rsid w:val="00590846"/>
    <w:rsid w:val="00591C42"/>
    <w:rsid w:val="00594117"/>
    <w:rsid w:val="00594BBE"/>
    <w:rsid w:val="00596A52"/>
    <w:rsid w:val="00597024"/>
    <w:rsid w:val="00597AD3"/>
    <w:rsid w:val="005A2788"/>
    <w:rsid w:val="005A3CD8"/>
    <w:rsid w:val="005A5F4C"/>
    <w:rsid w:val="005A622B"/>
    <w:rsid w:val="005A6766"/>
    <w:rsid w:val="005A71E3"/>
    <w:rsid w:val="005A771B"/>
    <w:rsid w:val="005B099B"/>
    <w:rsid w:val="005B2055"/>
    <w:rsid w:val="005B28DF"/>
    <w:rsid w:val="005B28E9"/>
    <w:rsid w:val="005B3532"/>
    <w:rsid w:val="005B40DD"/>
    <w:rsid w:val="005B44CF"/>
    <w:rsid w:val="005B726B"/>
    <w:rsid w:val="005B7FBB"/>
    <w:rsid w:val="005C02DE"/>
    <w:rsid w:val="005C2248"/>
    <w:rsid w:val="005C335A"/>
    <w:rsid w:val="005C4189"/>
    <w:rsid w:val="005C7539"/>
    <w:rsid w:val="005D0513"/>
    <w:rsid w:val="005D0834"/>
    <w:rsid w:val="005D560C"/>
    <w:rsid w:val="005D5B37"/>
    <w:rsid w:val="005D7199"/>
    <w:rsid w:val="005E0A88"/>
    <w:rsid w:val="005E3441"/>
    <w:rsid w:val="005E3ABB"/>
    <w:rsid w:val="005E3E77"/>
    <w:rsid w:val="005F3955"/>
    <w:rsid w:val="005F6016"/>
    <w:rsid w:val="005F614C"/>
    <w:rsid w:val="006019C4"/>
    <w:rsid w:val="00601F43"/>
    <w:rsid w:val="00603E9F"/>
    <w:rsid w:val="0060469D"/>
    <w:rsid w:val="00605A93"/>
    <w:rsid w:val="0060611B"/>
    <w:rsid w:val="0061088B"/>
    <w:rsid w:val="006114E3"/>
    <w:rsid w:val="00611C95"/>
    <w:rsid w:val="00613751"/>
    <w:rsid w:val="006140FE"/>
    <w:rsid w:val="00614BBF"/>
    <w:rsid w:val="006156CE"/>
    <w:rsid w:val="00615F3D"/>
    <w:rsid w:val="00617AD4"/>
    <w:rsid w:val="00617BE2"/>
    <w:rsid w:val="006244E1"/>
    <w:rsid w:val="006267AE"/>
    <w:rsid w:val="00626DB7"/>
    <w:rsid w:val="00627D5F"/>
    <w:rsid w:val="0063135A"/>
    <w:rsid w:val="00631E2E"/>
    <w:rsid w:val="0063392B"/>
    <w:rsid w:val="00633BC1"/>
    <w:rsid w:val="00635187"/>
    <w:rsid w:val="006361A6"/>
    <w:rsid w:val="00636B29"/>
    <w:rsid w:val="00637C15"/>
    <w:rsid w:val="006403E7"/>
    <w:rsid w:val="0064053E"/>
    <w:rsid w:val="00640EBD"/>
    <w:rsid w:val="00641BF1"/>
    <w:rsid w:val="00641D20"/>
    <w:rsid w:val="0064310F"/>
    <w:rsid w:val="00643BE3"/>
    <w:rsid w:val="0064599C"/>
    <w:rsid w:val="00647784"/>
    <w:rsid w:val="006529B4"/>
    <w:rsid w:val="00652E35"/>
    <w:rsid w:val="00653BF7"/>
    <w:rsid w:val="006546D2"/>
    <w:rsid w:val="00656A03"/>
    <w:rsid w:val="00657B9B"/>
    <w:rsid w:val="00657FD1"/>
    <w:rsid w:val="006620F1"/>
    <w:rsid w:val="006631A7"/>
    <w:rsid w:val="00665FCB"/>
    <w:rsid w:val="006666D3"/>
    <w:rsid w:val="006673D7"/>
    <w:rsid w:val="00667B39"/>
    <w:rsid w:val="00670B64"/>
    <w:rsid w:val="0067259C"/>
    <w:rsid w:val="006729B4"/>
    <w:rsid w:val="0067488B"/>
    <w:rsid w:val="00675D0D"/>
    <w:rsid w:val="006773CA"/>
    <w:rsid w:val="00677637"/>
    <w:rsid w:val="00682332"/>
    <w:rsid w:val="00682BD7"/>
    <w:rsid w:val="006836BA"/>
    <w:rsid w:val="00685915"/>
    <w:rsid w:val="00685E2A"/>
    <w:rsid w:val="00691E6F"/>
    <w:rsid w:val="006930D2"/>
    <w:rsid w:val="00693508"/>
    <w:rsid w:val="00694CEA"/>
    <w:rsid w:val="00694FCE"/>
    <w:rsid w:val="00695CF7"/>
    <w:rsid w:val="006A4DCF"/>
    <w:rsid w:val="006A58D2"/>
    <w:rsid w:val="006A6A4D"/>
    <w:rsid w:val="006A751F"/>
    <w:rsid w:val="006A7DF5"/>
    <w:rsid w:val="006B11AF"/>
    <w:rsid w:val="006B1292"/>
    <w:rsid w:val="006B1C22"/>
    <w:rsid w:val="006B5951"/>
    <w:rsid w:val="006B70C0"/>
    <w:rsid w:val="006C0492"/>
    <w:rsid w:val="006C0F55"/>
    <w:rsid w:val="006C332D"/>
    <w:rsid w:val="006C5B6A"/>
    <w:rsid w:val="006C6089"/>
    <w:rsid w:val="006C7B42"/>
    <w:rsid w:val="006D052C"/>
    <w:rsid w:val="006D2C7F"/>
    <w:rsid w:val="006D4344"/>
    <w:rsid w:val="006D50CF"/>
    <w:rsid w:val="006D619C"/>
    <w:rsid w:val="006D6F58"/>
    <w:rsid w:val="006E0D9E"/>
    <w:rsid w:val="006E1350"/>
    <w:rsid w:val="006E2082"/>
    <w:rsid w:val="006E2945"/>
    <w:rsid w:val="006E4B6B"/>
    <w:rsid w:val="006F1525"/>
    <w:rsid w:val="006F1917"/>
    <w:rsid w:val="006F6922"/>
    <w:rsid w:val="006F766F"/>
    <w:rsid w:val="0070232B"/>
    <w:rsid w:val="00702401"/>
    <w:rsid w:val="007028A1"/>
    <w:rsid w:val="00705895"/>
    <w:rsid w:val="00706C2F"/>
    <w:rsid w:val="007102C8"/>
    <w:rsid w:val="00711902"/>
    <w:rsid w:val="00711EAC"/>
    <w:rsid w:val="00713298"/>
    <w:rsid w:val="007135B1"/>
    <w:rsid w:val="00713E99"/>
    <w:rsid w:val="0071485D"/>
    <w:rsid w:val="00714971"/>
    <w:rsid w:val="00715D85"/>
    <w:rsid w:val="00716B5B"/>
    <w:rsid w:val="0072074D"/>
    <w:rsid w:val="00723975"/>
    <w:rsid w:val="00723B54"/>
    <w:rsid w:val="007300F7"/>
    <w:rsid w:val="007308B5"/>
    <w:rsid w:val="0073130F"/>
    <w:rsid w:val="00732473"/>
    <w:rsid w:val="007341BC"/>
    <w:rsid w:val="00736544"/>
    <w:rsid w:val="00736C5F"/>
    <w:rsid w:val="00737375"/>
    <w:rsid w:val="00737B65"/>
    <w:rsid w:val="00740373"/>
    <w:rsid w:val="007403BE"/>
    <w:rsid w:val="00741C0D"/>
    <w:rsid w:val="0074229F"/>
    <w:rsid w:val="0074342D"/>
    <w:rsid w:val="007438EE"/>
    <w:rsid w:val="00744EC4"/>
    <w:rsid w:val="00744EEE"/>
    <w:rsid w:val="007520DB"/>
    <w:rsid w:val="00755702"/>
    <w:rsid w:val="00757A07"/>
    <w:rsid w:val="0076175D"/>
    <w:rsid w:val="00761D63"/>
    <w:rsid w:val="00763627"/>
    <w:rsid w:val="00764AA6"/>
    <w:rsid w:val="00764FC0"/>
    <w:rsid w:val="00765600"/>
    <w:rsid w:val="00766F56"/>
    <w:rsid w:val="0077042B"/>
    <w:rsid w:val="00771214"/>
    <w:rsid w:val="00771353"/>
    <w:rsid w:val="00772941"/>
    <w:rsid w:val="00773269"/>
    <w:rsid w:val="00775660"/>
    <w:rsid w:val="00775669"/>
    <w:rsid w:val="00775798"/>
    <w:rsid w:val="00776C57"/>
    <w:rsid w:val="00784766"/>
    <w:rsid w:val="007906D4"/>
    <w:rsid w:val="00791684"/>
    <w:rsid w:val="00792AEB"/>
    <w:rsid w:val="00794C79"/>
    <w:rsid w:val="00795069"/>
    <w:rsid w:val="00795995"/>
    <w:rsid w:val="00795E9B"/>
    <w:rsid w:val="00796B5D"/>
    <w:rsid w:val="007A1DA8"/>
    <w:rsid w:val="007A2637"/>
    <w:rsid w:val="007A2984"/>
    <w:rsid w:val="007A3559"/>
    <w:rsid w:val="007A789A"/>
    <w:rsid w:val="007A7FBD"/>
    <w:rsid w:val="007B0776"/>
    <w:rsid w:val="007B15EF"/>
    <w:rsid w:val="007B2944"/>
    <w:rsid w:val="007B29C6"/>
    <w:rsid w:val="007B5E12"/>
    <w:rsid w:val="007B6016"/>
    <w:rsid w:val="007B6451"/>
    <w:rsid w:val="007B6513"/>
    <w:rsid w:val="007B70A5"/>
    <w:rsid w:val="007B731C"/>
    <w:rsid w:val="007B7C34"/>
    <w:rsid w:val="007C013A"/>
    <w:rsid w:val="007C1499"/>
    <w:rsid w:val="007C36C8"/>
    <w:rsid w:val="007C372E"/>
    <w:rsid w:val="007C4A6C"/>
    <w:rsid w:val="007C52E1"/>
    <w:rsid w:val="007C5326"/>
    <w:rsid w:val="007C71B7"/>
    <w:rsid w:val="007D06A1"/>
    <w:rsid w:val="007D12E2"/>
    <w:rsid w:val="007D39A4"/>
    <w:rsid w:val="007D4E28"/>
    <w:rsid w:val="007E0305"/>
    <w:rsid w:val="007E3A53"/>
    <w:rsid w:val="007E42CA"/>
    <w:rsid w:val="007E5122"/>
    <w:rsid w:val="007E59B4"/>
    <w:rsid w:val="007E5D48"/>
    <w:rsid w:val="007E6692"/>
    <w:rsid w:val="007E7895"/>
    <w:rsid w:val="007E7D6F"/>
    <w:rsid w:val="007F3B70"/>
    <w:rsid w:val="007F453E"/>
    <w:rsid w:val="007F71DB"/>
    <w:rsid w:val="0080265F"/>
    <w:rsid w:val="008030DC"/>
    <w:rsid w:val="008031FB"/>
    <w:rsid w:val="008043A4"/>
    <w:rsid w:val="00804412"/>
    <w:rsid w:val="008102FB"/>
    <w:rsid w:val="00810713"/>
    <w:rsid w:val="0081244B"/>
    <w:rsid w:val="008128BB"/>
    <w:rsid w:val="00812D7D"/>
    <w:rsid w:val="008134CA"/>
    <w:rsid w:val="008160CF"/>
    <w:rsid w:val="0082258F"/>
    <w:rsid w:val="00825F03"/>
    <w:rsid w:val="008267E5"/>
    <w:rsid w:val="00831305"/>
    <w:rsid w:val="00831E12"/>
    <w:rsid w:val="008347DF"/>
    <w:rsid w:val="00834E8B"/>
    <w:rsid w:val="0083643C"/>
    <w:rsid w:val="00836BC2"/>
    <w:rsid w:val="0083722E"/>
    <w:rsid w:val="00844F96"/>
    <w:rsid w:val="008459AD"/>
    <w:rsid w:val="0084695B"/>
    <w:rsid w:val="00846A02"/>
    <w:rsid w:val="008474FE"/>
    <w:rsid w:val="008475AD"/>
    <w:rsid w:val="008477B5"/>
    <w:rsid w:val="00850078"/>
    <w:rsid w:val="00851B11"/>
    <w:rsid w:val="00852235"/>
    <w:rsid w:val="008537CE"/>
    <w:rsid w:val="00855C49"/>
    <w:rsid w:val="008579DF"/>
    <w:rsid w:val="0086099D"/>
    <w:rsid w:val="00860ABD"/>
    <w:rsid w:val="00861CE3"/>
    <w:rsid w:val="0086263C"/>
    <w:rsid w:val="00863DE6"/>
    <w:rsid w:val="00870007"/>
    <w:rsid w:val="00872953"/>
    <w:rsid w:val="00874485"/>
    <w:rsid w:val="0087465A"/>
    <w:rsid w:val="0087509C"/>
    <w:rsid w:val="008771C6"/>
    <w:rsid w:val="00877F46"/>
    <w:rsid w:val="00880F1A"/>
    <w:rsid w:val="008815F9"/>
    <w:rsid w:val="0088176F"/>
    <w:rsid w:val="00884769"/>
    <w:rsid w:val="00885B86"/>
    <w:rsid w:val="00885E61"/>
    <w:rsid w:val="00885F2F"/>
    <w:rsid w:val="00886051"/>
    <w:rsid w:val="00886187"/>
    <w:rsid w:val="00886F3C"/>
    <w:rsid w:val="008878A9"/>
    <w:rsid w:val="00891E4A"/>
    <w:rsid w:val="008933DC"/>
    <w:rsid w:val="00894255"/>
    <w:rsid w:val="008942D8"/>
    <w:rsid w:val="008973B2"/>
    <w:rsid w:val="00897C54"/>
    <w:rsid w:val="008A00C4"/>
    <w:rsid w:val="008A1762"/>
    <w:rsid w:val="008A1954"/>
    <w:rsid w:val="008A1D91"/>
    <w:rsid w:val="008A3519"/>
    <w:rsid w:val="008A59B8"/>
    <w:rsid w:val="008A62DF"/>
    <w:rsid w:val="008A6489"/>
    <w:rsid w:val="008A77B9"/>
    <w:rsid w:val="008A77EF"/>
    <w:rsid w:val="008B05DF"/>
    <w:rsid w:val="008B0A8E"/>
    <w:rsid w:val="008B1C48"/>
    <w:rsid w:val="008B1F74"/>
    <w:rsid w:val="008C05B2"/>
    <w:rsid w:val="008C0F27"/>
    <w:rsid w:val="008C1913"/>
    <w:rsid w:val="008C4256"/>
    <w:rsid w:val="008C5095"/>
    <w:rsid w:val="008C5A45"/>
    <w:rsid w:val="008C693A"/>
    <w:rsid w:val="008C6C4F"/>
    <w:rsid w:val="008C764B"/>
    <w:rsid w:val="008C7BE1"/>
    <w:rsid w:val="008D0023"/>
    <w:rsid w:val="008D1968"/>
    <w:rsid w:val="008D2A75"/>
    <w:rsid w:val="008D3D6F"/>
    <w:rsid w:val="008D46BD"/>
    <w:rsid w:val="008D64EE"/>
    <w:rsid w:val="008D7266"/>
    <w:rsid w:val="008D79A3"/>
    <w:rsid w:val="008D7EC0"/>
    <w:rsid w:val="008E07DA"/>
    <w:rsid w:val="008E0FDA"/>
    <w:rsid w:val="008E2BF3"/>
    <w:rsid w:val="008E3F16"/>
    <w:rsid w:val="008F1F80"/>
    <w:rsid w:val="008F4638"/>
    <w:rsid w:val="008F5E56"/>
    <w:rsid w:val="00901260"/>
    <w:rsid w:val="0090242A"/>
    <w:rsid w:val="00903222"/>
    <w:rsid w:val="00904A27"/>
    <w:rsid w:val="00904C12"/>
    <w:rsid w:val="009066D8"/>
    <w:rsid w:val="00913D0C"/>
    <w:rsid w:val="00914A8E"/>
    <w:rsid w:val="00914B68"/>
    <w:rsid w:val="00917E65"/>
    <w:rsid w:val="0092095C"/>
    <w:rsid w:val="0092414D"/>
    <w:rsid w:val="00926B61"/>
    <w:rsid w:val="0093117D"/>
    <w:rsid w:val="00932CA6"/>
    <w:rsid w:val="009360AA"/>
    <w:rsid w:val="0093784E"/>
    <w:rsid w:val="00943142"/>
    <w:rsid w:val="00943F9D"/>
    <w:rsid w:val="00944C7E"/>
    <w:rsid w:val="0095059A"/>
    <w:rsid w:val="009517A3"/>
    <w:rsid w:val="009518D5"/>
    <w:rsid w:val="0095269B"/>
    <w:rsid w:val="00957C7C"/>
    <w:rsid w:val="00962467"/>
    <w:rsid w:val="009625E3"/>
    <w:rsid w:val="00962A29"/>
    <w:rsid w:val="00966093"/>
    <w:rsid w:val="009660FF"/>
    <w:rsid w:val="00966DEF"/>
    <w:rsid w:val="00967818"/>
    <w:rsid w:val="00967A06"/>
    <w:rsid w:val="0097129D"/>
    <w:rsid w:val="00971D92"/>
    <w:rsid w:val="0097272F"/>
    <w:rsid w:val="00972B59"/>
    <w:rsid w:val="0097313C"/>
    <w:rsid w:val="00976457"/>
    <w:rsid w:val="00980BF4"/>
    <w:rsid w:val="00980CE0"/>
    <w:rsid w:val="009830F4"/>
    <w:rsid w:val="00984313"/>
    <w:rsid w:val="009843AA"/>
    <w:rsid w:val="009866F2"/>
    <w:rsid w:val="00987731"/>
    <w:rsid w:val="00987D69"/>
    <w:rsid w:val="00990315"/>
    <w:rsid w:val="00993887"/>
    <w:rsid w:val="0099431B"/>
    <w:rsid w:val="009963A9"/>
    <w:rsid w:val="00996E23"/>
    <w:rsid w:val="00997561"/>
    <w:rsid w:val="009A0A4D"/>
    <w:rsid w:val="009A0BC8"/>
    <w:rsid w:val="009A1A2E"/>
    <w:rsid w:val="009A262C"/>
    <w:rsid w:val="009A7128"/>
    <w:rsid w:val="009A7A92"/>
    <w:rsid w:val="009A7ADB"/>
    <w:rsid w:val="009B16E6"/>
    <w:rsid w:val="009B3E91"/>
    <w:rsid w:val="009B4357"/>
    <w:rsid w:val="009B513E"/>
    <w:rsid w:val="009B6431"/>
    <w:rsid w:val="009B69D2"/>
    <w:rsid w:val="009B7164"/>
    <w:rsid w:val="009C1ECD"/>
    <w:rsid w:val="009C6812"/>
    <w:rsid w:val="009D33AC"/>
    <w:rsid w:val="009D4837"/>
    <w:rsid w:val="009D6BFB"/>
    <w:rsid w:val="009D7CA3"/>
    <w:rsid w:val="009E0F30"/>
    <w:rsid w:val="009E5771"/>
    <w:rsid w:val="009E63BB"/>
    <w:rsid w:val="009E6E02"/>
    <w:rsid w:val="009E7BE7"/>
    <w:rsid w:val="009F0D2E"/>
    <w:rsid w:val="009F1CD3"/>
    <w:rsid w:val="009F1D3F"/>
    <w:rsid w:val="009F7EDC"/>
    <w:rsid w:val="00A0019C"/>
    <w:rsid w:val="00A02987"/>
    <w:rsid w:val="00A06364"/>
    <w:rsid w:val="00A06C3E"/>
    <w:rsid w:val="00A06EF0"/>
    <w:rsid w:val="00A1065D"/>
    <w:rsid w:val="00A10894"/>
    <w:rsid w:val="00A12259"/>
    <w:rsid w:val="00A12C3C"/>
    <w:rsid w:val="00A15AAA"/>
    <w:rsid w:val="00A15FB8"/>
    <w:rsid w:val="00A17DBB"/>
    <w:rsid w:val="00A247C7"/>
    <w:rsid w:val="00A25B2B"/>
    <w:rsid w:val="00A25CBA"/>
    <w:rsid w:val="00A25F46"/>
    <w:rsid w:val="00A303B0"/>
    <w:rsid w:val="00A30695"/>
    <w:rsid w:val="00A316BF"/>
    <w:rsid w:val="00A317EE"/>
    <w:rsid w:val="00A31EA6"/>
    <w:rsid w:val="00A32295"/>
    <w:rsid w:val="00A32868"/>
    <w:rsid w:val="00A32CC5"/>
    <w:rsid w:val="00A33E42"/>
    <w:rsid w:val="00A33EAD"/>
    <w:rsid w:val="00A4175B"/>
    <w:rsid w:val="00A4220A"/>
    <w:rsid w:val="00A431BD"/>
    <w:rsid w:val="00A43477"/>
    <w:rsid w:val="00A44F45"/>
    <w:rsid w:val="00A45258"/>
    <w:rsid w:val="00A45953"/>
    <w:rsid w:val="00A45B0D"/>
    <w:rsid w:val="00A47BF9"/>
    <w:rsid w:val="00A51848"/>
    <w:rsid w:val="00A6028F"/>
    <w:rsid w:val="00A6251E"/>
    <w:rsid w:val="00A661A5"/>
    <w:rsid w:val="00A670C8"/>
    <w:rsid w:val="00A702EB"/>
    <w:rsid w:val="00A703C5"/>
    <w:rsid w:val="00A75969"/>
    <w:rsid w:val="00A75E20"/>
    <w:rsid w:val="00A80B4E"/>
    <w:rsid w:val="00A81C55"/>
    <w:rsid w:val="00A81D9D"/>
    <w:rsid w:val="00A828F6"/>
    <w:rsid w:val="00A839D9"/>
    <w:rsid w:val="00A86096"/>
    <w:rsid w:val="00A91EED"/>
    <w:rsid w:val="00A94157"/>
    <w:rsid w:val="00A947E2"/>
    <w:rsid w:val="00A94A92"/>
    <w:rsid w:val="00A94BB9"/>
    <w:rsid w:val="00A951B7"/>
    <w:rsid w:val="00A957F2"/>
    <w:rsid w:val="00A959AB"/>
    <w:rsid w:val="00A95A9A"/>
    <w:rsid w:val="00AA22DD"/>
    <w:rsid w:val="00AA25D6"/>
    <w:rsid w:val="00AA2809"/>
    <w:rsid w:val="00AA2DD8"/>
    <w:rsid w:val="00AA406F"/>
    <w:rsid w:val="00AA4645"/>
    <w:rsid w:val="00AA681B"/>
    <w:rsid w:val="00AB4966"/>
    <w:rsid w:val="00AB6EE4"/>
    <w:rsid w:val="00AC0410"/>
    <w:rsid w:val="00AC16B8"/>
    <w:rsid w:val="00AC1A39"/>
    <w:rsid w:val="00AC1F9B"/>
    <w:rsid w:val="00AC29E3"/>
    <w:rsid w:val="00AC48E9"/>
    <w:rsid w:val="00AC496A"/>
    <w:rsid w:val="00AC6C03"/>
    <w:rsid w:val="00AD2545"/>
    <w:rsid w:val="00AD7039"/>
    <w:rsid w:val="00AE0329"/>
    <w:rsid w:val="00AE1ABC"/>
    <w:rsid w:val="00AE3565"/>
    <w:rsid w:val="00AE43FC"/>
    <w:rsid w:val="00AE4AB1"/>
    <w:rsid w:val="00AE614F"/>
    <w:rsid w:val="00AE7526"/>
    <w:rsid w:val="00AF04FF"/>
    <w:rsid w:val="00AF0E20"/>
    <w:rsid w:val="00AF3858"/>
    <w:rsid w:val="00AF441E"/>
    <w:rsid w:val="00AF54C9"/>
    <w:rsid w:val="00AF6142"/>
    <w:rsid w:val="00AF65B3"/>
    <w:rsid w:val="00B001CC"/>
    <w:rsid w:val="00B01010"/>
    <w:rsid w:val="00B021D2"/>
    <w:rsid w:val="00B0365F"/>
    <w:rsid w:val="00B03BCF"/>
    <w:rsid w:val="00B04AE3"/>
    <w:rsid w:val="00B0505F"/>
    <w:rsid w:val="00B108A4"/>
    <w:rsid w:val="00B137A6"/>
    <w:rsid w:val="00B17B19"/>
    <w:rsid w:val="00B17D2B"/>
    <w:rsid w:val="00B2180C"/>
    <w:rsid w:val="00B21FFF"/>
    <w:rsid w:val="00B25715"/>
    <w:rsid w:val="00B320E3"/>
    <w:rsid w:val="00B3287F"/>
    <w:rsid w:val="00B35C79"/>
    <w:rsid w:val="00B360DA"/>
    <w:rsid w:val="00B402D3"/>
    <w:rsid w:val="00B4084B"/>
    <w:rsid w:val="00B40D36"/>
    <w:rsid w:val="00B41DE8"/>
    <w:rsid w:val="00B433DA"/>
    <w:rsid w:val="00B437C5"/>
    <w:rsid w:val="00B4600D"/>
    <w:rsid w:val="00B4683B"/>
    <w:rsid w:val="00B47C7A"/>
    <w:rsid w:val="00B47EB0"/>
    <w:rsid w:val="00B51340"/>
    <w:rsid w:val="00B60315"/>
    <w:rsid w:val="00B605EB"/>
    <w:rsid w:val="00B61107"/>
    <w:rsid w:val="00B634CA"/>
    <w:rsid w:val="00B63746"/>
    <w:rsid w:val="00B63979"/>
    <w:rsid w:val="00B65DB7"/>
    <w:rsid w:val="00B66665"/>
    <w:rsid w:val="00B717DB"/>
    <w:rsid w:val="00B71F7C"/>
    <w:rsid w:val="00B73C82"/>
    <w:rsid w:val="00B74AA7"/>
    <w:rsid w:val="00B75B8C"/>
    <w:rsid w:val="00B75E4F"/>
    <w:rsid w:val="00B81701"/>
    <w:rsid w:val="00B82AC7"/>
    <w:rsid w:val="00B82D3E"/>
    <w:rsid w:val="00B847F0"/>
    <w:rsid w:val="00B8686D"/>
    <w:rsid w:val="00B87508"/>
    <w:rsid w:val="00B91795"/>
    <w:rsid w:val="00B9267A"/>
    <w:rsid w:val="00B95007"/>
    <w:rsid w:val="00B977F9"/>
    <w:rsid w:val="00BA0A69"/>
    <w:rsid w:val="00BA0E73"/>
    <w:rsid w:val="00BA1C8F"/>
    <w:rsid w:val="00BA207B"/>
    <w:rsid w:val="00BA21F0"/>
    <w:rsid w:val="00BA36EC"/>
    <w:rsid w:val="00BA372D"/>
    <w:rsid w:val="00BA3964"/>
    <w:rsid w:val="00BA475A"/>
    <w:rsid w:val="00BA47F9"/>
    <w:rsid w:val="00BA4C1F"/>
    <w:rsid w:val="00BA606B"/>
    <w:rsid w:val="00BB0B1C"/>
    <w:rsid w:val="00BB0BDB"/>
    <w:rsid w:val="00BB0F39"/>
    <w:rsid w:val="00BB2168"/>
    <w:rsid w:val="00BB449D"/>
    <w:rsid w:val="00BB4C65"/>
    <w:rsid w:val="00BB4DF1"/>
    <w:rsid w:val="00BB5E9B"/>
    <w:rsid w:val="00BB7AF8"/>
    <w:rsid w:val="00BC17EE"/>
    <w:rsid w:val="00BC1E69"/>
    <w:rsid w:val="00BC4C61"/>
    <w:rsid w:val="00BC575C"/>
    <w:rsid w:val="00BC5891"/>
    <w:rsid w:val="00BC70A7"/>
    <w:rsid w:val="00BD1CDD"/>
    <w:rsid w:val="00BD5FAF"/>
    <w:rsid w:val="00BD7587"/>
    <w:rsid w:val="00BE0FCB"/>
    <w:rsid w:val="00BE24B5"/>
    <w:rsid w:val="00BE4D2B"/>
    <w:rsid w:val="00BF03FE"/>
    <w:rsid w:val="00BF1205"/>
    <w:rsid w:val="00BF2BBC"/>
    <w:rsid w:val="00BF2E9A"/>
    <w:rsid w:val="00BF3405"/>
    <w:rsid w:val="00BF3D2F"/>
    <w:rsid w:val="00BF6619"/>
    <w:rsid w:val="00BF7669"/>
    <w:rsid w:val="00C02595"/>
    <w:rsid w:val="00C0275E"/>
    <w:rsid w:val="00C03796"/>
    <w:rsid w:val="00C040C0"/>
    <w:rsid w:val="00C10F00"/>
    <w:rsid w:val="00C123EE"/>
    <w:rsid w:val="00C12ACB"/>
    <w:rsid w:val="00C14302"/>
    <w:rsid w:val="00C164F9"/>
    <w:rsid w:val="00C16AC6"/>
    <w:rsid w:val="00C2271A"/>
    <w:rsid w:val="00C235CC"/>
    <w:rsid w:val="00C238C8"/>
    <w:rsid w:val="00C25EC6"/>
    <w:rsid w:val="00C26366"/>
    <w:rsid w:val="00C311A4"/>
    <w:rsid w:val="00C31C00"/>
    <w:rsid w:val="00C32BB7"/>
    <w:rsid w:val="00C32E05"/>
    <w:rsid w:val="00C3544E"/>
    <w:rsid w:val="00C35C42"/>
    <w:rsid w:val="00C3603D"/>
    <w:rsid w:val="00C36048"/>
    <w:rsid w:val="00C363F1"/>
    <w:rsid w:val="00C364C7"/>
    <w:rsid w:val="00C37704"/>
    <w:rsid w:val="00C41D02"/>
    <w:rsid w:val="00C41E54"/>
    <w:rsid w:val="00C42CA0"/>
    <w:rsid w:val="00C42CA4"/>
    <w:rsid w:val="00C43DF6"/>
    <w:rsid w:val="00C51C9C"/>
    <w:rsid w:val="00C52A8B"/>
    <w:rsid w:val="00C55A14"/>
    <w:rsid w:val="00C564C5"/>
    <w:rsid w:val="00C57C59"/>
    <w:rsid w:val="00C60517"/>
    <w:rsid w:val="00C61611"/>
    <w:rsid w:val="00C62553"/>
    <w:rsid w:val="00C66F5E"/>
    <w:rsid w:val="00C708EF"/>
    <w:rsid w:val="00C70DF7"/>
    <w:rsid w:val="00C72F76"/>
    <w:rsid w:val="00C731F9"/>
    <w:rsid w:val="00C74846"/>
    <w:rsid w:val="00C76A22"/>
    <w:rsid w:val="00C76DC4"/>
    <w:rsid w:val="00C778CB"/>
    <w:rsid w:val="00C845FA"/>
    <w:rsid w:val="00C84FF8"/>
    <w:rsid w:val="00C8548A"/>
    <w:rsid w:val="00C86936"/>
    <w:rsid w:val="00C87C8C"/>
    <w:rsid w:val="00C901FB"/>
    <w:rsid w:val="00C910CF"/>
    <w:rsid w:val="00C9191E"/>
    <w:rsid w:val="00C938CA"/>
    <w:rsid w:val="00C94272"/>
    <w:rsid w:val="00C95059"/>
    <w:rsid w:val="00C95289"/>
    <w:rsid w:val="00C96E89"/>
    <w:rsid w:val="00C976CF"/>
    <w:rsid w:val="00CA04C6"/>
    <w:rsid w:val="00CA0E16"/>
    <w:rsid w:val="00CA13A8"/>
    <w:rsid w:val="00CA3064"/>
    <w:rsid w:val="00CA5D67"/>
    <w:rsid w:val="00CA6314"/>
    <w:rsid w:val="00CB24E0"/>
    <w:rsid w:val="00CB2DC6"/>
    <w:rsid w:val="00CB3382"/>
    <w:rsid w:val="00CB3586"/>
    <w:rsid w:val="00CB37AB"/>
    <w:rsid w:val="00CC2951"/>
    <w:rsid w:val="00CC29EC"/>
    <w:rsid w:val="00CC3484"/>
    <w:rsid w:val="00CC3487"/>
    <w:rsid w:val="00CC4467"/>
    <w:rsid w:val="00CC6DAC"/>
    <w:rsid w:val="00CC7583"/>
    <w:rsid w:val="00CD17DD"/>
    <w:rsid w:val="00CD2149"/>
    <w:rsid w:val="00CD4B57"/>
    <w:rsid w:val="00CD4BF7"/>
    <w:rsid w:val="00CD55D9"/>
    <w:rsid w:val="00CD66CE"/>
    <w:rsid w:val="00CD6EEF"/>
    <w:rsid w:val="00CD758E"/>
    <w:rsid w:val="00CE3087"/>
    <w:rsid w:val="00CE389C"/>
    <w:rsid w:val="00CE5D04"/>
    <w:rsid w:val="00CE6B81"/>
    <w:rsid w:val="00CF08F3"/>
    <w:rsid w:val="00CF09F6"/>
    <w:rsid w:val="00CF0EEE"/>
    <w:rsid w:val="00CF3E08"/>
    <w:rsid w:val="00CF75F8"/>
    <w:rsid w:val="00D015CE"/>
    <w:rsid w:val="00D0251A"/>
    <w:rsid w:val="00D02A9C"/>
    <w:rsid w:val="00D03961"/>
    <w:rsid w:val="00D03981"/>
    <w:rsid w:val="00D041AF"/>
    <w:rsid w:val="00D045DF"/>
    <w:rsid w:val="00D048CE"/>
    <w:rsid w:val="00D04FA3"/>
    <w:rsid w:val="00D070F8"/>
    <w:rsid w:val="00D10AE5"/>
    <w:rsid w:val="00D1125E"/>
    <w:rsid w:val="00D11533"/>
    <w:rsid w:val="00D133D0"/>
    <w:rsid w:val="00D20799"/>
    <w:rsid w:val="00D214F5"/>
    <w:rsid w:val="00D2217F"/>
    <w:rsid w:val="00D2386F"/>
    <w:rsid w:val="00D30597"/>
    <w:rsid w:val="00D30720"/>
    <w:rsid w:val="00D316F0"/>
    <w:rsid w:val="00D328C8"/>
    <w:rsid w:val="00D32CE5"/>
    <w:rsid w:val="00D358D2"/>
    <w:rsid w:val="00D368E2"/>
    <w:rsid w:val="00D37FE7"/>
    <w:rsid w:val="00D4077D"/>
    <w:rsid w:val="00D42F48"/>
    <w:rsid w:val="00D4397D"/>
    <w:rsid w:val="00D43E4C"/>
    <w:rsid w:val="00D46608"/>
    <w:rsid w:val="00D50E1F"/>
    <w:rsid w:val="00D513FA"/>
    <w:rsid w:val="00D54C5F"/>
    <w:rsid w:val="00D57C73"/>
    <w:rsid w:val="00D57D02"/>
    <w:rsid w:val="00D60D3B"/>
    <w:rsid w:val="00D65DC9"/>
    <w:rsid w:val="00D70B24"/>
    <w:rsid w:val="00D70EAA"/>
    <w:rsid w:val="00D71AA1"/>
    <w:rsid w:val="00D74CDA"/>
    <w:rsid w:val="00D812AE"/>
    <w:rsid w:val="00D81798"/>
    <w:rsid w:val="00D8327F"/>
    <w:rsid w:val="00D8330F"/>
    <w:rsid w:val="00D8367C"/>
    <w:rsid w:val="00D849A7"/>
    <w:rsid w:val="00D84D9A"/>
    <w:rsid w:val="00D86C8B"/>
    <w:rsid w:val="00D86E9E"/>
    <w:rsid w:val="00D906F4"/>
    <w:rsid w:val="00D907CF"/>
    <w:rsid w:val="00D9574D"/>
    <w:rsid w:val="00D97B4D"/>
    <w:rsid w:val="00DA51D8"/>
    <w:rsid w:val="00DA6CA4"/>
    <w:rsid w:val="00DA725E"/>
    <w:rsid w:val="00DB1704"/>
    <w:rsid w:val="00DB284A"/>
    <w:rsid w:val="00DB2FAD"/>
    <w:rsid w:val="00DB31D3"/>
    <w:rsid w:val="00DB4609"/>
    <w:rsid w:val="00DB4941"/>
    <w:rsid w:val="00DB4EE0"/>
    <w:rsid w:val="00DB52C4"/>
    <w:rsid w:val="00DB5BD8"/>
    <w:rsid w:val="00DB7925"/>
    <w:rsid w:val="00DC0FE6"/>
    <w:rsid w:val="00DC130C"/>
    <w:rsid w:val="00DC325A"/>
    <w:rsid w:val="00DC410E"/>
    <w:rsid w:val="00DD12C5"/>
    <w:rsid w:val="00DD5735"/>
    <w:rsid w:val="00DD5FD7"/>
    <w:rsid w:val="00DD7B16"/>
    <w:rsid w:val="00DE5052"/>
    <w:rsid w:val="00DE6D1D"/>
    <w:rsid w:val="00DE7E4E"/>
    <w:rsid w:val="00DF070C"/>
    <w:rsid w:val="00DF3ABF"/>
    <w:rsid w:val="00DF535E"/>
    <w:rsid w:val="00DF589A"/>
    <w:rsid w:val="00DF635C"/>
    <w:rsid w:val="00DF7C1D"/>
    <w:rsid w:val="00E00949"/>
    <w:rsid w:val="00E00D73"/>
    <w:rsid w:val="00E03D4B"/>
    <w:rsid w:val="00E05417"/>
    <w:rsid w:val="00E07098"/>
    <w:rsid w:val="00E07549"/>
    <w:rsid w:val="00E108A0"/>
    <w:rsid w:val="00E10C8C"/>
    <w:rsid w:val="00E11573"/>
    <w:rsid w:val="00E1303A"/>
    <w:rsid w:val="00E14BC3"/>
    <w:rsid w:val="00E14C07"/>
    <w:rsid w:val="00E15C56"/>
    <w:rsid w:val="00E15CAF"/>
    <w:rsid w:val="00E17869"/>
    <w:rsid w:val="00E23115"/>
    <w:rsid w:val="00E2315F"/>
    <w:rsid w:val="00E245DC"/>
    <w:rsid w:val="00E253D0"/>
    <w:rsid w:val="00E27E12"/>
    <w:rsid w:val="00E27F3A"/>
    <w:rsid w:val="00E30421"/>
    <w:rsid w:val="00E30B7F"/>
    <w:rsid w:val="00E311D4"/>
    <w:rsid w:val="00E31FD7"/>
    <w:rsid w:val="00E32909"/>
    <w:rsid w:val="00E33D4D"/>
    <w:rsid w:val="00E36871"/>
    <w:rsid w:val="00E373C5"/>
    <w:rsid w:val="00E37660"/>
    <w:rsid w:val="00E3785B"/>
    <w:rsid w:val="00E42E44"/>
    <w:rsid w:val="00E4486C"/>
    <w:rsid w:val="00E47925"/>
    <w:rsid w:val="00E515BE"/>
    <w:rsid w:val="00E52A64"/>
    <w:rsid w:val="00E5363F"/>
    <w:rsid w:val="00E541D6"/>
    <w:rsid w:val="00E541EE"/>
    <w:rsid w:val="00E545CD"/>
    <w:rsid w:val="00E54CEB"/>
    <w:rsid w:val="00E561D4"/>
    <w:rsid w:val="00E569A0"/>
    <w:rsid w:val="00E61200"/>
    <w:rsid w:val="00E62A4E"/>
    <w:rsid w:val="00E62D43"/>
    <w:rsid w:val="00E63B07"/>
    <w:rsid w:val="00E656C6"/>
    <w:rsid w:val="00E671FE"/>
    <w:rsid w:val="00E6723B"/>
    <w:rsid w:val="00E70026"/>
    <w:rsid w:val="00E704BA"/>
    <w:rsid w:val="00E7143F"/>
    <w:rsid w:val="00E72F24"/>
    <w:rsid w:val="00E73F37"/>
    <w:rsid w:val="00E80DCE"/>
    <w:rsid w:val="00E819FD"/>
    <w:rsid w:val="00E827FF"/>
    <w:rsid w:val="00E83C22"/>
    <w:rsid w:val="00E84AF9"/>
    <w:rsid w:val="00E85032"/>
    <w:rsid w:val="00E8537B"/>
    <w:rsid w:val="00E85DAE"/>
    <w:rsid w:val="00E86FA4"/>
    <w:rsid w:val="00E91EC6"/>
    <w:rsid w:val="00E924A0"/>
    <w:rsid w:val="00E93A48"/>
    <w:rsid w:val="00E97E04"/>
    <w:rsid w:val="00E97ED4"/>
    <w:rsid w:val="00EA0C85"/>
    <w:rsid w:val="00EA24AE"/>
    <w:rsid w:val="00EA3E51"/>
    <w:rsid w:val="00EA53C7"/>
    <w:rsid w:val="00EA634C"/>
    <w:rsid w:val="00EB0972"/>
    <w:rsid w:val="00EB13C1"/>
    <w:rsid w:val="00EB28FD"/>
    <w:rsid w:val="00EB3A22"/>
    <w:rsid w:val="00EB3F31"/>
    <w:rsid w:val="00EB4479"/>
    <w:rsid w:val="00EB57FC"/>
    <w:rsid w:val="00EB61AB"/>
    <w:rsid w:val="00EB6D4D"/>
    <w:rsid w:val="00EB6D5E"/>
    <w:rsid w:val="00EC49AA"/>
    <w:rsid w:val="00EC4CAF"/>
    <w:rsid w:val="00EC51F2"/>
    <w:rsid w:val="00EC5989"/>
    <w:rsid w:val="00EC7CE9"/>
    <w:rsid w:val="00ED019E"/>
    <w:rsid w:val="00ED1367"/>
    <w:rsid w:val="00ED64F7"/>
    <w:rsid w:val="00ED6984"/>
    <w:rsid w:val="00ED780F"/>
    <w:rsid w:val="00ED7D32"/>
    <w:rsid w:val="00EE0075"/>
    <w:rsid w:val="00EE0A93"/>
    <w:rsid w:val="00EE3198"/>
    <w:rsid w:val="00EE3302"/>
    <w:rsid w:val="00EF2DC1"/>
    <w:rsid w:val="00EF30DC"/>
    <w:rsid w:val="00EF3122"/>
    <w:rsid w:val="00EF362D"/>
    <w:rsid w:val="00EF51ED"/>
    <w:rsid w:val="00EF6987"/>
    <w:rsid w:val="00F00EBA"/>
    <w:rsid w:val="00F01487"/>
    <w:rsid w:val="00F028FD"/>
    <w:rsid w:val="00F033FB"/>
    <w:rsid w:val="00F04590"/>
    <w:rsid w:val="00F04E49"/>
    <w:rsid w:val="00F05C23"/>
    <w:rsid w:val="00F109CC"/>
    <w:rsid w:val="00F10D31"/>
    <w:rsid w:val="00F13216"/>
    <w:rsid w:val="00F16D28"/>
    <w:rsid w:val="00F17AA9"/>
    <w:rsid w:val="00F2019F"/>
    <w:rsid w:val="00F2075A"/>
    <w:rsid w:val="00F22041"/>
    <w:rsid w:val="00F24FC8"/>
    <w:rsid w:val="00F255B0"/>
    <w:rsid w:val="00F32869"/>
    <w:rsid w:val="00F437D7"/>
    <w:rsid w:val="00F4448C"/>
    <w:rsid w:val="00F44C4C"/>
    <w:rsid w:val="00F46618"/>
    <w:rsid w:val="00F512F4"/>
    <w:rsid w:val="00F5317D"/>
    <w:rsid w:val="00F53231"/>
    <w:rsid w:val="00F54A24"/>
    <w:rsid w:val="00F560BA"/>
    <w:rsid w:val="00F61309"/>
    <w:rsid w:val="00F632CB"/>
    <w:rsid w:val="00F647D8"/>
    <w:rsid w:val="00F64BCB"/>
    <w:rsid w:val="00F6562D"/>
    <w:rsid w:val="00F65C8F"/>
    <w:rsid w:val="00F6606B"/>
    <w:rsid w:val="00F67C75"/>
    <w:rsid w:val="00F70C74"/>
    <w:rsid w:val="00F7361F"/>
    <w:rsid w:val="00F77963"/>
    <w:rsid w:val="00F77E55"/>
    <w:rsid w:val="00F77F25"/>
    <w:rsid w:val="00F80C36"/>
    <w:rsid w:val="00F818AC"/>
    <w:rsid w:val="00F87A6B"/>
    <w:rsid w:val="00F90F3C"/>
    <w:rsid w:val="00F9156E"/>
    <w:rsid w:val="00F96753"/>
    <w:rsid w:val="00FA5CB3"/>
    <w:rsid w:val="00FA6D6F"/>
    <w:rsid w:val="00FA7705"/>
    <w:rsid w:val="00FB0291"/>
    <w:rsid w:val="00FB0954"/>
    <w:rsid w:val="00FB2D88"/>
    <w:rsid w:val="00FB3B47"/>
    <w:rsid w:val="00FB5E28"/>
    <w:rsid w:val="00FB6D7D"/>
    <w:rsid w:val="00FC1D78"/>
    <w:rsid w:val="00FC3684"/>
    <w:rsid w:val="00FC3F62"/>
    <w:rsid w:val="00FC6F58"/>
    <w:rsid w:val="00FC742B"/>
    <w:rsid w:val="00FC759E"/>
    <w:rsid w:val="00FD12D3"/>
    <w:rsid w:val="00FD2049"/>
    <w:rsid w:val="00FD6EC9"/>
    <w:rsid w:val="00FD7FEC"/>
    <w:rsid w:val="00FE08D6"/>
    <w:rsid w:val="00FE0BC3"/>
    <w:rsid w:val="00FE27D2"/>
    <w:rsid w:val="00FE2C9D"/>
    <w:rsid w:val="00FE3778"/>
    <w:rsid w:val="00FE3DE6"/>
    <w:rsid w:val="00FE41AF"/>
    <w:rsid w:val="00FE576C"/>
    <w:rsid w:val="00FE78F2"/>
    <w:rsid w:val="00FF0CF5"/>
    <w:rsid w:val="00FF3159"/>
    <w:rsid w:val="00FF43A9"/>
    <w:rsid w:val="00FF5DD2"/>
    <w:rsid w:val="017442FA"/>
    <w:rsid w:val="01B85F94"/>
    <w:rsid w:val="01E44FDB"/>
    <w:rsid w:val="0261662C"/>
    <w:rsid w:val="028E3199"/>
    <w:rsid w:val="02C1351D"/>
    <w:rsid w:val="042F62B6"/>
    <w:rsid w:val="05F23A3F"/>
    <w:rsid w:val="062C21B1"/>
    <w:rsid w:val="063522A9"/>
    <w:rsid w:val="06E03746"/>
    <w:rsid w:val="07C74150"/>
    <w:rsid w:val="087D3A94"/>
    <w:rsid w:val="08C72F61"/>
    <w:rsid w:val="08EC4990"/>
    <w:rsid w:val="0911242E"/>
    <w:rsid w:val="09CF6571"/>
    <w:rsid w:val="0A053D41"/>
    <w:rsid w:val="0A5B2824"/>
    <w:rsid w:val="0A8455AD"/>
    <w:rsid w:val="0BBB664F"/>
    <w:rsid w:val="0CF77599"/>
    <w:rsid w:val="0D091D9A"/>
    <w:rsid w:val="0D2C7836"/>
    <w:rsid w:val="0D3B3F1D"/>
    <w:rsid w:val="0D893576"/>
    <w:rsid w:val="0D907DC5"/>
    <w:rsid w:val="0E6044C8"/>
    <w:rsid w:val="0F2033CB"/>
    <w:rsid w:val="0F21441D"/>
    <w:rsid w:val="0FAC4C5F"/>
    <w:rsid w:val="0FB75ADD"/>
    <w:rsid w:val="10207B26"/>
    <w:rsid w:val="106F0166"/>
    <w:rsid w:val="108A31F2"/>
    <w:rsid w:val="10CF32FA"/>
    <w:rsid w:val="10F37EFC"/>
    <w:rsid w:val="11D32976"/>
    <w:rsid w:val="11E20E0C"/>
    <w:rsid w:val="123C051C"/>
    <w:rsid w:val="12EB3CF0"/>
    <w:rsid w:val="13203999"/>
    <w:rsid w:val="135725FF"/>
    <w:rsid w:val="13961EAE"/>
    <w:rsid w:val="13C62793"/>
    <w:rsid w:val="13E6068F"/>
    <w:rsid w:val="143E29EC"/>
    <w:rsid w:val="14A32AD4"/>
    <w:rsid w:val="14AF76CB"/>
    <w:rsid w:val="14BD10D4"/>
    <w:rsid w:val="14D07641"/>
    <w:rsid w:val="14F0383F"/>
    <w:rsid w:val="15C2342E"/>
    <w:rsid w:val="15D54F0F"/>
    <w:rsid w:val="16021A7C"/>
    <w:rsid w:val="160E0421"/>
    <w:rsid w:val="169C77DB"/>
    <w:rsid w:val="16EF3DAF"/>
    <w:rsid w:val="177454BC"/>
    <w:rsid w:val="17854713"/>
    <w:rsid w:val="17991F6C"/>
    <w:rsid w:val="17C70888"/>
    <w:rsid w:val="17C74238"/>
    <w:rsid w:val="184E2D57"/>
    <w:rsid w:val="18CB25F9"/>
    <w:rsid w:val="1921046B"/>
    <w:rsid w:val="196A19A0"/>
    <w:rsid w:val="19807F01"/>
    <w:rsid w:val="1A2A3350"/>
    <w:rsid w:val="1A952EBF"/>
    <w:rsid w:val="1AB05F4B"/>
    <w:rsid w:val="1AED613D"/>
    <w:rsid w:val="1BD712B5"/>
    <w:rsid w:val="1C280F1B"/>
    <w:rsid w:val="1C4C3A51"/>
    <w:rsid w:val="1C784846"/>
    <w:rsid w:val="1D9C6C6A"/>
    <w:rsid w:val="1DC31AF1"/>
    <w:rsid w:val="1DCF0496"/>
    <w:rsid w:val="1E2527AC"/>
    <w:rsid w:val="1E652BA8"/>
    <w:rsid w:val="1EA57449"/>
    <w:rsid w:val="1F130856"/>
    <w:rsid w:val="20191E9C"/>
    <w:rsid w:val="20196340"/>
    <w:rsid w:val="222B4109"/>
    <w:rsid w:val="227E5AB8"/>
    <w:rsid w:val="23FE1AD5"/>
    <w:rsid w:val="2419690F"/>
    <w:rsid w:val="26AC3A6A"/>
    <w:rsid w:val="26DB434F"/>
    <w:rsid w:val="270A5318"/>
    <w:rsid w:val="273D0B66"/>
    <w:rsid w:val="27BF4983"/>
    <w:rsid w:val="281178FD"/>
    <w:rsid w:val="282B4E63"/>
    <w:rsid w:val="28506677"/>
    <w:rsid w:val="28724840"/>
    <w:rsid w:val="2899001E"/>
    <w:rsid w:val="292813A2"/>
    <w:rsid w:val="294E0E09"/>
    <w:rsid w:val="29A70519"/>
    <w:rsid w:val="2AF21C68"/>
    <w:rsid w:val="2B354612"/>
    <w:rsid w:val="2B3E6C5B"/>
    <w:rsid w:val="2B701745"/>
    <w:rsid w:val="2BA44722"/>
    <w:rsid w:val="2BD870AF"/>
    <w:rsid w:val="2C506CF9"/>
    <w:rsid w:val="2CFC0B7C"/>
    <w:rsid w:val="2D0E5824"/>
    <w:rsid w:val="2D0F08AF"/>
    <w:rsid w:val="2D925870"/>
    <w:rsid w:val="2DE96B36"/>
    <w:rsid w:val="2F7470EF"/>
    <w:rsid w:val="2FA01C92"/>
    <w:rsid w:val="2FA07EE4"/>
    <w:rsid w:val="2FAD2601"/>
    <w:rsid w:val="2FC040E2"/>
    <w:rsid w:val="30A27C8C"/>
    <w:rsid w:val="32364B30"/>
    <w:rsid w:val="32FD73FC"/>
    <w:rsid w:val="33260700"/>
    <w:rsid w:val="3432100B"/>
    <w:rsid w:val="347D6A46"/>
    <w:rsid w:val="35795360"/>
    <w:rsid w:val="35880D7F"/>
    <w:rsid w:val="35A41DB0"/>
    <w:rsid w:val="35C661CB"/>
    <w:rsid w:val="36F51FA1"/>
    <w:rsid w:val="37FA03AE"/>
    <w:rsid w:val="38163439"/>
    <w:rsid w:val="38D66725"/>
    <w:rsid w:val="395D6E46"/>
    <w:rsid w:val="39E906DA"/>
    <w:rsid w:val="3AAF36D1"/>
    <w:rsid w:val="3AF15A98"/>
    <w:rsid w:val="3B253993"/>
    <w:rsid w:val="3B9308FD"/>
    <w:rsid w:val="3BF82E56"/>
    <w:rsid w:val="3C0812EB"/>
    <w:rsid w:val="3C62405F"/>
    <w:rsid w:val="3C6D65C0"/>
    <w:rsid w:val="3CD4741F"/>
    <w:rsid w:val="3DE511B8"/>
    <w:rsid w:val="3E3A59A8"/>
    <w:rsid w:val="401069C0"/>
    <w:rsid w:val="406159BD"/>
    <w:rsid w:val="40A47108"/>
    <w:rsid w:val="40AE7F87"/>
    <w:rsid w:val="40BC6B48"/>
    <w:rsid w:val="41E77347"/>
    <w:rsid w:val="42464272"/>
    <w:rsid w:val="42C41CE4"/>
    <w:rsid w:val="43792ACE"/>
    <w:rsid w:val="43923B90"/>
    <w:rsid w:val="4464552C"/>
    <w:rsid w:val="449E437F"/>
    <w:rsid w:val="46364CA7"/>
    <w:rsid w:val="467D4684"/>
    <w:rsid w:val="46C6602A"/>
    <w:rsid w:val="46E82445"/>
    <w:rsid w:val="47D17961"/>
    <w:rsid w:val="48594C7C"/>
    <w:rsid w:val="48C42A3E"/>
    <w:rsid w:val="48FD7CFE"/>
    <w:rsid w:val="496B4C67"/>
    <w:rsid w:val="49BA5DBE"/>
    <w:rsid w:val="4A62606A"/>
    <w:rsid w:val="4AF72C5C"/>
    <w:rsid w:val="4B3043BA"/>
    <w:rsid w:val="4C2555A1"/>
    <w:rsid w:val="4C2A2BB8"/>
    <w:rsid w:val="4C433C79"/>
    <w:rsid w:val="4CA30BBC"/>
    <w:rsid w:val="4CD945DE"/>
    <w:rsid w:val="4D706CF0"/>
    <w:rsid w:val="4D8B1D7C"/>
    <w:rsid w:val="4E6E2DB1"/>
    <w:rsid w:val="4E753947"/>
    <w:rsid w:val="4EF94AC3"/>
    <w:rsid w:val="4F4E4E0F"/>
    <w:rsid w:val="4FA76D6A"/>
    <w:rsid w:val="503C110B"/>
    <w:rsid w:val="50483F54"/>
    <w:rsid w:val="50C03AEB"/>
    <w:rsid w:val="512222AC"/>
    <w:rsid w:val="51736DAF"/>
    <w:rsid w:val="518E27F9"/>
    <w:rsid w:val="51F85506"/>
    <w:rsid w:val="52DA25C4"/>
    <w:rsid w:val="52FC2DD4"/>
    <w:rsid w:val="535F3A8F"/>
    <w:rsid w:val="53B13BBE"/>
    <w:rsid w:val="547C5F7A"/>
    <w:rsid w:val="54A51975"/>
    <w:rsid w:val="554A42CB"/>
    <w:rsid w:val="555B0286"/>
    <w:rsid w:val="55BD4A9D"/>
    <w:rsid w:val="56336B0D"/>
    <w:rsid w:val="56E12A0D"/>
    <w:rsid w:val="571D387C"/>
    <w:rsid w:val="587F428B"/>
    <w:rsid w:val="596D67DA"/>
    <w:rsid w:val="59AC10B0"/>
    <w:rsid w:val="5A557999"/>
    <w:rsid w:val="5ABD109B"/>
    <w:rsid w:val="5B48305A"/>
    <w:rsid w:val="5B683682"/>
    <w:rsid w:val="5D3A2E77"/>
    <w:rsid w:val="5D63417B"/>
    <w:rsid w:val="5D964551"/>
    <w:rsid w:val="5DBC388C"/>
    <w:rsid w:val="5DD15589"/>
    <w:rsid w:val="5E127261"/>
    <w:rsid w:val="5F217E4A"/>
    <w:rsid w:val="5FC37153"/>
    <w:rsid w:val="5FEA2932"/>
    <w:rsid w:val="605B435E"/>
    <w:rsid w:val="6098413C"/>
    <w:rsid w:val="610E43FE"/>
    <w:rsid w:val="6129748A"/>
    <w:rsid w:val="615C785F"/>
    <w:rsid w:val="624F0393"/>
    <w:rsid w:val="63224191"/>
    <w:rsid w:val="64132A87"/>
    <w:rsid w:val="64E8140A"/>
    <w:rsid w:val="67114C48"/>
    <w:rsid w:val="673D1126"/>
    <w:rsid w:val="679C6C08"/>
    <w:rsid w:val="68490412"/>
    <w:rsid w:val="684E77D6"/>
    <w:rsid w:val="68B86C5B"/>
    <w:rsid w:val="68FE30F6"/>
    <w:rsid w:val="6942733B"/>
    <w:rsid w:val="69B875FD"/>
    <w:rsid w:val="69D87C9F"/>
    <w:rsid w:val="6B59096C"/>
    <w:rsid w:val="6BDD1432"/>
    <w:rsid w:val="6BF679FB"/>
    <w:rsid w:val="6CB30550"/>
    <w:rsid w:val="6D371181"/>
    <w:rsid w:val="6DDD5884"/>
    <w:rsid w:val="6DF8446C"/>
    <w:rsid w:val="6E737842"/>
    <w:rsid w:val="6EA2087C"/>
    <w:rsid w:val="6F3B6D06"/>
    <w:rsid w:val="6F722BE7"/>
    <w:rsid w:val="6FBD596D"/>
    <w:rsid w:val="6FC3372B"/>
    <w:rsid w:val="6FC62348"/>
    <w:rsid w:val="70787E0F"/>
    <w:rsid w:val="70910BA8"/>
    <w:rsid w:val="70D23B7F"/>
    <w:rsid w:val="70E138DD"/>
    <w:rsid w:val="71153587"/>
    <w:rsid w:val="71333A0D"/>
    <w:rsid w:val="71381023"/>
    <w:rsid w:val="718A5D23"/>
    <w:rsid w:val="71F413EE"/>
    <w:rsid w:val="724759C2"/>
    <w:rsid w:val="72C15774"/>
    <w:rsid w:val="72F378F8"/>
    <w:rsid w:val="730E028E"/>
    <w:rsid w:val="732B7092"/>
    <w:rsid w:val="73ED07EB"/>
    <w:rsid w:val="74576608"/>
    <w:rsid w:val="74BD6E13"/>
    <w:rsid w:val="74FC43A6"/>
    <w:rsid w:val="75142D9F"/>
    <w:rsid w:val="76796366"/>
    <w:rsid w:val="76805946"/>
    <w:rsid w:val="774E77F3"/>
    <w:rsid w:val="77A060D9"/>
    <w:rsid w:val="77F24622"/>
    <w:rsid w:val="78C559A7"/>
    <w:rsid w:val="78DC2C80"/>
    <w:rsid w:val="792702FB"/>
    <w:rsid w:val="7A666C01"/>
    <w:rsid w:val="7A884DCA"/>
    <w:rsid w:val="7B917CAE"/>
    <w:rsid w:val="7BA14395"/>
    <w:rsid w:val="7C835849"/>
    <w:rsid w:val="7C8F0A6B"/>
    <w:rsid w:val="7C9C690A"/>
    <w:rsid w:val="7D1E37C3"/>
    <w:rsid w:val="7D3B4375"/>
    <w:rsid w:val="7DEC38C1"/>
    <w:rsid w:val="7E867872"/>
    <w:rsid w:val="7EB75C7D"/>
    <w:rsid w:val="7EC30AC6"/>
    <w:rsid w:val="7F5E4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icrosoft Himalaya"/>
      <w:kern w:val="2"/>
      <w:sz w:val="21"/>
      <w:szCs w:val="32"/>
      <w:lang w:val="en-US" w:eastAsia="zh-CN" w:bidi="bo-CN"/>
    </w:rPr>
  </w:style>
  <w:style w:type="paragraph" w:styleId="2">
    <w:name w:val="heading 2"/>
    <w:basedOn w:val="1"/>
    <w:next w:val="1"/>
    <w:link w:val="25"/>
    <w:qFormat/>
    <w:uiPriority w:val="9"/>
    <w:pPr>
      <w:widowControl/>
      <w:spacing w:before="100" w:beforeAutospacing="1" w:after="100" w:afterAutospacing="1"/>
      <w:jc w:val="left"/>
      <w:outlineLvl w:val="1"/>
    </w:pPr>
    <w:rPr>
      <w:rFonts w:ascii="宋体" w:hAnsi="宋体" w:cs="宋体"/>
      <w:b/>
      <w:bCs/>
      <w:kern w:val="0"/>
      <w:sz w:val="36"/>
      <w:szCs w:val="36"/>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alloon Text"/>
    <w:basedOn w:val="1"/>
    <w:link w:val="20"/>
    <w:semiHidden/>
    <w:unhideWhenUsed/>
    <w:qFormat/>
    <w:uiPriority w:val="99"/>
    <w:rPr>
      <w:sz w:val="18"/>
      <w:szCs w:val="26"/>
    </w:rPr>
  </w:style>
  <w:style w:type="paragraph" w:styleId="5">
    <w:name w:val="footer"/>
    <w:basedOn w:val="1"/>
    <w:link w:val="16"/>
    <w:unhideWhenUsed/>
    <w:qFormat/>
    <w:uiPriority w:val="99"/>
    <w:pPr>
      <w:tabs>
        <w:tab w:val="center" w:pos="4153"/>
        <w:tab w:val="right" w:pos="8306"/>
      </w:tabs>
      <w:snapToGrid w:val="0"/>
      <w:jc w:val="left"/>
    </w:pPr>
    <w:rPr>
      <w:sz w:val="18"/>
      <w:szCs w:val="26"/>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26"/>
    </w:rPr>
  </w:style>
  <w:style w:type="paragraph" w:styleId="7">
    <w:name w:val="footnote text"/>
    <w:basedOn w:val="1"/>
    <w:link w:val="18"/>
    <w:semiHidden/>
    <w:unhideWhenUsed/>
    <w:qFormat/>
    <w:uiPriority w:val="99"/>
    <w:pPr>
      <w:snapToGrid w:val="0"/>
      <w:jc w:val="left"/>
    </w:pPr>
    <w:rPr>
      <w:sz w:val="18"/>
      <w:szCs w:val="26"/>
    </w:rPr>
  </w:style>
  <w:style w:type="paragraph" w:styleId="8">
    <w:name w:val="annotation subject"/>
    <w:basedOn w:val="3"/>
    <w:next w:val="3"/>
    <w:link w:val="23"/>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paragraph" w:customStyle="1" w:styleId="14">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lang w:bidi="ar-SA"/>
    </w:rPr>
  </w:style>
  <w:style w:type="character" w:customStyle="1" w:styleId="15">
    <w:name w:val="页眉 Char"/>
    <w:basedOn w:val="10"/>
    <w:link w:val="6"/>
    <w:qFormat/>
    <w:uiPriority w:val="99"/>
    <w:rPr>
      <w:rFonts w:ascii="Calibri" w:hAnsi="Calibri" w:eastAsia="宋体" w:cs="Microsoft Himalaya"/>
      <w:sz w:val="18"/>
      <w:szCs w:val="26"/>
      <w:lang w:bidi="bo-CN"/>
    </w:rPr>
  </w:style>
  <w:style w:type="character" w:customStyle="1" w:styleId="16">
    <w:name w:val="页脚 Char"/>
    <w:basedOn w:val="10"/>
    <w:link w:val="5"/>
    <w:qFormat/>
    <w:uiPriority w:val="99"/>
    <w:rPr>
      <w:rFonts w:ascii="Calibri" w:hAnsi="Calibri" w:eastAsia="宋体" w:cs="Microsoft Himalaya"/>
      <w:sz w:val="18"/>
      <w:szCs w:val="26"/>
      <w:lang w:bidi="bo-CN"/>
    </w:rPr>
  </w:style>
  <w:style w:type="paragraph" w:styleId="17">
    <w:name w:val="List Paragraph"/>
    <w:basedOn w:val="1"/>
    <w:qFormat/>
    <w:uiPriority w:val="34"/>
    <w:pPr>
      <w:ind w:firstLine="420" w:firstLineChars="200"/>
    </w:pPr>
  </w:style>
  <w:style w:type="character" w:customStyle="1" w:styleId="18">
    <w:name w:val="脚注文本 Char"/>
    <w:basedOn w:val="10"/>
    <w:link w:val="7"/>
    <w:semiHidden/>
    <w:qFormat/>
    <w:uiPriority w:val="99"/>
    <w:rPr>
      <w:rFonts w:ascii="Calibri" w:hAnsi="Calibri" w:eastAsia="宋体" w:cs="Microsoft Himalaya"/>
      <w:sz w:val="18"/>
      <w:szCs w:val="26"/>
      <w:lang w:bidi="bo-CN"/>
    </w:rPr>
  </w:style>
  <w:style w:type="paragraph" w:customStyle="1" w:styleId="19">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lang w:bidi="ar-SA"/>
    </w:rPr>
  </w:style>
  <w:style w:type="character" w:customStyle="1" w:styleId="20">
    <w:name w:val="批注框文本 Char"/>
    <w:basedOn w:val="10"/>
    <w:link w:val="4"/>
    <w:semiHidden/>
    <w:qFormat/>
    <w:uiPriority w:val="99"/>
    <w:rPr>
      <w:rFonts w:ascii="Calibri" w:hAnsi="Calibri" w:eastAsia="宋体" w:cs="Microsoft Himalaya"/>
      <w:sz w:val="18"/>
      <w:szCs w:val="26"/>
      <w:lang w:bidi="bo-CN"/>
    </w:rPr>
  </w:style>
  <w:style w:type="paragraph" w:customStyle="1" w:styleId="21">
    <w:name w:val="修订1"/>
    <w:hidden/>
    <w:semiHidden/>
    <w:qFormat/>
    <w:uiPriority w:val="99"/>
    <w:rPr>
      <w:rFonts w:ascii="Calibri" w:hAnsi="Calibri" w:eastAsia="宋体" w:cs="Microsoft Himalaya"/>
      <w:kern w:val="2"/>
      <w:sz w:val="21"/>
      <w:szCs w:val="32"/>
      <w:lang w:val="en-US" w:eastAsia="zh-CN" w:bidi="bo-CN"/>
    </w:rPr>
  </w:style>
  <w:style w:type="character" w:customStyle="1" w:styleId="22">
    <w:name w:val="批注文字 Char"/>
    <w:basedOn w:val="10"/>
    <w:link w:val="3"/>
    <w:qFormat/>
    <w:uiPriority w:val="99"/>
    <w:rPr>
      <w:rFonts w:ascii="Calibri" w:hAnsi="Calibri" w:eastAsia="宋体" w:cs="Microsoft Himalaya"/>
      <w:kern w:val="2"/>
      <w:sz w:val="21"/>
      <w:szCs w:val="32"/>
      <w:lang w:bidi="bo-CN"/>
    </w:rPr>
  </w:style>
  <w:style w:type="character" w:customStyle="1" w:styleId="23">
    <w:name w:val="批注主题 Char"/>
    <w:basedOn w:val="22"/>
    <w:link w:val="8"/>
    <w:semiHidden/>
    <w:qFormat/>
    <w:uiPriority w:val="99"/>
    <w:rPr>
      <w:rFonts w:ascii="Calibri" w:hAnsi="Calibri" w:eastAsia="宋体" w:cs="Microsoft Himalaya"/>
      <w:b/>
      <w:bCs/>
      <w:kern w:val="2"/>
      <w:sz w:val="21"/>
      <w:szCs w:val="32"/>
      <w:lang w:bidi="bo-CN"/>
    </w:rPr>
  </w:style>
  <w:style w:type="paragraph" w:customStyle="1" w:styleId="24">
    <w:name w:val="修订2"/>
    <w:hidden/>
    <w:semiHidden/>
    <w:qFormat/>
    <w:uiPriority w:val="99"/>
    <w:rPr>
      <w:rFonts w:ascii="Calibri" w:hAnsi="Calibri" w:eastAsia="宋体" w:cs="Microsoft Himalaya"/>
      <w:kern w:val="2"/>
      <w:sz w:val="21"/>
      <w:szCs w:val="32"/>
      <w:lang w:val="en-US" w:eastAsia="zh-CN" w:bidi="bo-CN"/>
    </w:rPr>
  </w:style>
  <w:style w:type="character" w:customStyle="1" w:styleId="25">
    <w:name w:val="标题 2 Char"/>
    <w:basedOn w:val="10"/>
    <w:link w:val="2"/>
    <w:qFormat/>
    <w:uiPriority w:val="9"/>
    <w:rPr>
      <w:rFonts w:ascii="宋体" w:hAnsi="宋体" w:eastAsia="宋体" w:cs="宋体"/>
      <w:b/>
      <w:bCs/>
      <w:sz w:val="36"/>
      <w:szCs w:val="36"/>
    </w:rPr>
  </w:style>
  <w:style w:type="paragraph" w:customStyle="1" w:styleId="26">
    <w:name w:val="修订3"/>
    <w:hidden/>
    <w:semiHidden/>
    <w:qFormat/>
    <w:uiPriority w:val="99"/>
    <w:rPr>
      <w:rFonts w:ascii="Calibri" w:hAnsi="Calibri" w:eastAsia="宋体" w:cs="Microsoft Himalaya"/>
      <w:kern w:val="2"/>
      <w:sz w:val="21"/>
      <w:szCs w:val="32"/>
      <w:lang w:val="en-US" w:eastAsia="zh-CN" w:bidi="bo-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DAE5C-C0D0-45FF-B130-F409EB613D21}">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3148</Characters>
  <Lines>26</Lines>
  <Paragraphs>7</Paragraphs>
  <TotalTime>49</TotalTime>
  <ScaleCrop>false</ScaleCrop>
  <LinksUpToDate>false</LinksUpToDate>
  <CharactersWithSpaces>3693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2023-12-23T03:15:00Z</dcterms:created>
  <dc:creator>连璐</dc:creator>
  <cp:lastModifiedBy>辛雅婷</cp:lastModifiedBy>
  <cp:lastPrinted>2023-11-24T00:48:00Z</cp:lastPrinted>
  <dcterms:modified xsi:type="dcterms:W3CDTF">2023-12-29T06:01:36Z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A516ED173B794F5689851889C3106BE8</vt:lpwstr>
  </property>
</Properties>
</file>