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316" w:firstLineChars="100"/>
        <w:rPr>
          <w:rFonts w:ascii="黑体" w:hAnsi="黑体" w:eastAsia="黑体"/>
          <w:bCs/>
          <w:kern w:val="0"/>
        </w:rPr>
      </w:pPr>
      <w:bookmarkStart w:id="6" w:name="_GoBack"/>
      <w:bookmarkEnd w:id="6"/>
      <w:r>
        <w:rPr>
          <w:rFonts w:hint="eastAsia" w:ascii="黑体" w:hAnsi="黑体" w:eastAsia="黑体"/>
          <w:bCs/>
          <w:kern w:val="0"/>
        </w:rPr>
        <w:t>附件</w:t>
      </w:r>
    </w:p>
    <w:p>
      <w:pPr>
        <w:spacing w:line="600" w:lineRule="exact"/>
        <w:jc w:val="left"/>
        <w:rPr>
          <w:bCs/>
          <w:szCs w:val="32"/>
        </w:rPr>
      </w:pPr>
    </w:p>
    <w:p>
      <w:pPr>
        <w:snapToGrid w:val="0"/>
        <w:jc w:val="center"/>
        <w:rPr>
          <w:rFonts w:ascii="方正小标宋简体" w:eastAsia="方正小标宋简体"/>
          <w:bCs/>
          <w:sz w:val="44"/>
          <w:szCs w:val="30"/>
        </w:rPr>
      </w:pPr>
      <w:r>
        <w:rPr>
          <w:rFonts w:hint="eastAsia" w:ascii="方正小标宋简体" w:eastAsia="方正小标宋简体"/>
          <w:bCs/>
          <w:sz w:val="44"/>
          <w:szCs w:val="30"/>
        </w:rPr>
        <w:t>深圳证券交易所公司债券发行上市审核</w:t>
      </w:r>
    </w:p>
    <w:p>
      <w:pPr>
        <w:snapToGrid w:val="0"/>
        <w:jc w:val="center"/>
        <w:rPr>
          <w:rFonts w:ascii="方正小标宋简体" w:eastAsia="方正小标宋简体"/>
          <w:bCs/>
          <w:sz w:val="44"/>
          <w:szCs w:val="30"/>
        </w:rPr>
      </w:pPr>
      <w:r>
        <w:rPr>
          <w:rFonts w:hint="eastAsia" w:ascii="方正小标宋简体" w:eastAsia="方正小标宋简体"/>
          <w:bCs/>
          <w:sz w:val="44"/>
          <w:szCs w:val="30"/>
        </w:rPr>
        <w:t>业务指引第7号——专项品种公司债券</w:t>
      </w:r>
    </w:p>
    <w:p>
      <w:pPr>
        <w:spacing w:line="560" w:lineRule="exact"/>
        <w:jc w:val="center"/>
        <w:rPr>
          <w:rFonts w:ascii="黑体" w:hAnsi="黑体" w:eastAsia="黑体"/>
          <w:b/>
          <w:color w:val="000000"/>
          <w:sz w:val="3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第一章 总则</w:t>
      </w:r>
    </w:p>
    <w:p>
      <w:pPr>
        <w:spacing w:line="560" w:lineRule="exact"/>
        <w:ind w:firstLine="640"/>
        <w:rPr>
          <w:rFonts w:ascii="仿宋" w:hAnsi="仿宋"/>
          <w:szCs w:val="32"/>
        </w:rPr>
      </w:pPr>
      <w:r>
        <w:rPr>
          <w:rFonts w:hint="eastAsia" w:ascii="仿宋" w:hAnsi="仿宋"/>
          <w:b/>
          <w:szCs w:val="32"/>
        </w:rPr>
        <w:t xml:space="preserve">第一条 </w:t>
      </w:r>
      <w:r>
        <w:rPr>
          <w:rFonts w:hint="eastAsia" w:ascii="仿宋" w:hAnsi="仿宋"/>
          <w:szCs w:val="32"/>
        </w:rPr>
        <w:t>为了规范专项品种公司债券相关业务，便于发行人、主承销商和相关机构做好信息披露和存续期管理，根据《深圳证券交易所公司债券发行上市审核规则》《深圳证券交易所公司债券上市规则》以及《深圳证券交易所非公开发行公司债券挂牌规则》等规定，制定本指引。</w:t>
      </w:r>
    </w:p>
    <w:p>
      <w:pPr>
        <w:spacing w:line="560" w:lineRule="exact"/>
        <w:ind w:firstLine="640"/>
        <w:rPr>
          <w:rFonts w:ascii="仿宋" w:hAnsi="仿宋"/>
          <w:szCs w:val="32"/>
        </w:rPr>
      </w:pPr>
      <w:r>
        <w:rPr>
          <w:rFonts w:hint="eastAsia" w:ascii="仿宋" w:hAnsi="仿宋"/>
          <w:b/>
          <w:szCs w:val="32"/>
        </w:rPr>
        <w:t xml:space="preserve">第二条 </w:t>
      </w:r>
      <w:r>
        <w:rPr>
          <w:rFonts w:hint="eastAsia" w:ascii="仿宋" w:hAnsi="仿宋"/>
          <w:szCs w:val="32"/>
        </w:rPr>
        <w:t>本指引适用于条款设置存在特别安排或者服务科技创新、绿色低碳等国家重大发展战略和产业政策重点支持领域的公司债券（以下简称专项品种公司债券）在深圳证券交易所（以下简称本所）的发行上市审核与挂牌条件确认、信息披露以及其他存续期安排等事宜。</w:t>
      </w:r>
    </w:p>
    <w:p>
      <w:pPr>
        <w:spacing w:line="560" w:lineRule="exact"/>
        <w:ind w:firstLine="640"/>
        <w:rPr>
          <w:rFonts w:ascii="仿宋" w:hAnsi="仿宋"/>
          <w:sz w:val="36"/>
          <w:szCs w:val="32"/>
        </w:rPr>
      </w:pPr>
      <w:r>
        <w:rPr>
          <w:rFonts w:hint="eastAsia" w:ascii="仿宋" w:hAnsi="仿宋"/>
          <w:b/>
          <w:szCs w:val="32"/>
        </w:rPr>
        <w:t xml:space="preserve">第三条 </w:t>
      </w:r>
      <w:r>
        <w:rPr>
          <w:rFonts w:hint="eastAsia" w:ascii="仿宋" w:hAnsi="仿宋"/>
          <w:color w:val="000000"/>
          <w:szCs w:val="30"/>
        </w:rPr>
        <w:t>专项品种公司债券应当符合本所关于公司债券发行条件、上市或者挂牌条件、信息披露、投资者适当性管理、债券持有人权益保护等方面的一般要求，以及本指引关于专项品种公司债券的规定。</w:t>
      </w:r>
    </w:p>
    <w:p>
      <w:pPr>
        <w:spacing w:line="560" w:lineRule="exact"/>
        <w:ind w:firstLine="640"/>
        <w:rPr>
          <w:rFonts w:ascii="仿宋" w:hAnsi="仿宋"/>
          <w:szCs w:val="32"/>
        </w:rPr>
      </w:pPr>
      <w:r>
        <w:rPr>
          <w:rFonts w:hint="eastAsia" w:ascii="仿宋" w:hAnsi="仿宋"/>
          <w:b/>
          <w:szCs w:val="32"/>
        </w:rPr>
        <w:t xml:space="preserve">第四条 </w:t>
      </w:r>
      <w:r>
        <w:rPr>
          <w:rFonts w:hint="eastAsia" w:ascii="仿宋" w:hAnsi="仿宋"/>
          <w:szCs w:val="32"/>
        </w:rPr>
        <w:t>专项品种公司债券可以单独申报，也可以与一般公司债券、企业债券或者专项品种公司债券同时申报。同时申报的，应当在各品种申报文件中分别明确申报金额和募集资金用途。</w:t>
      </w:r>
    </w:p>
    <w:p>
      <w:pPr>
        <w:pStyle w:val="29"/>
        <w:spacing w:line="560" w:lineRule="exact"/>
        <w:ind w:firstLine="632"/>
        <w:rPr>
          <w:rFonts w:ascii="仿宋" w:hAnsi="仿宋" w:eastAsia="仿宋"/>
          <w:sz w:val="32"/>
          <w:szCs w:val="32"/>
        </w:rPr>
      </w:pPr>
      <w:r>
        <w:rPr>
          <w:rFonts w:hint="eastAsia" w:ascii="仿宋" w:hAnsi="仿宋" w:eastAsia="仿宋"/>
          <w:sz w:val="32"/>
          <w:szCs w:val="32"/>
        </w:rPr>
        <w:t>主承销商、证券服务机构应当勤勉尽责，对专项品种的发行主体、募集资金用途、信息披露和其他特殊发行事项等是否符合本指引的相关规定进行核查，并发表明确意见。</w:t>
      </w:r>
    </w:p>
    <w:p>
      <w:pPr>
        <w:spacing w:line="560" w:lineRule="exact"/>
        <w:ind w:firstLine="640"/>
        <w:rPr>
          <w:rFonts w:ascii="仿宋" w:hAnsi="仿宋"/>
          <w:szCs w:val="32"/>
        </w:rPr>
      </w:pPr>
      <w:r>
        <w:rPr>
          <w:rFonts w:hint="eastAsia" w:ascii="仿宋" w:hAnsi="仿宋"/>
          <w:b/>
          <w:szCs w:val="32"/>
        </w:rPr>
        <w:t xml:space="preserve">第五条 </w:t>
      </w:r>
      <w:r>
        <w:rPr>
          <w:rFonts w:hint="eastAsia" w:ascii="仿宋" w:hAnsi="仿宋"/>
          <w:szCs w:val="32"/>
        </w:rPr>
        <w:t>本所按照分类审核的原则，及时处理</w:t>
      </w:r>
      <w:r>
        <w:rPr>
          <w:rFonts w:hint="eastAsia" w:ascii="仿宋" w:hAnsi="仿宋"/>
          <w:color w:val="000000"/>
          <w:szCs w:val="32"/>
        </w:rPr>
        <w:t>服务科技创新、绿色低碳等国家重大发展战略和产业政策重点支持领域的</w:t>
      </w:r>
      <w:r>
        <w:rPr>
          <w:rFonts w:hint="eastAsia" w:ascii="仿宋" w:hAnsi="仿宋"/>
          <w:szCs w:val="32"/>
        </w:rPr>
        <w:t>专项品种公司债券的申报受理以及审核工作，提高工作效率。</w:t>
      </w:r>
    </w:p>
    <w:p>
      <w:pPr>
        <w:spacing w:line="560" w:lineRule="exact"/>
        <w:ind w:firstLine="640"/>
        <w:rPr>
          <w:rFonts w:ascii="仿宋" w:hAnsi="仿宋"/>
          <w:color w:val="000000"/>
          <w:szCs w:val="32"/>
        </w:rPr>
      </w:pPr>
      <w:r>
        <w:rPr>
          <w:rFonts w:hint="eastAsia" w:ascii="仿宋" w:hAnsi="仿宋"/>
          <w:b/>
          <w:color w:val="000000"/>
          <w:szCs w:val="32"/>
        </w:rPr>
        <w:t xml:space="preserve">第六条 </w:t>
      </w:r>
      <w:r>
        <w:rPr>
          <w:rFonts w:hint="eastAsia" w:ascii="仿宋" w:hAnsi="仿宋"/>
          <w:color w:val="000000"/>
          <w:szCs w:val="32"/>
        </w:rPr>
        <w:t>本所</w:t>
      </w:r>
      <w:r>
        <w:rPr>
          <w:rFonts w:hint="eastAsia" w:ascii="仿宋" w:hAnsi="仿宋"/>
          <w:szCs w:val="32"/>
        </w:rPr>
        <w:t>鼓励</w:t>
      </w:r>
      <w:r>
        <w:rPr>
          <w:rFonts w:hint="eastAsia" w:ascii="仿宋" w:hAnsi="仿宋"/>
          <w:color w:val="000000"/>
          <w:szCs w:val="32"/>
        </w:rPr>
        <w:t>各类金融机构、证券投资基金和其他投资性产品、社会保障基金、企业年金、社会公益基金、企事业单位等机构投资者投资专项品种公司债券。</w:t>
      </w:r>
    </w:p>
    <w:p>
      <w:pPr>
        <w:spacing w:line="560" w:lineRule="exact"/>
        <w:ind w:firstLine="640"/>
        <w:rPr>
          <w:rFonts w:ascii="仿宋" w:hAnsi="仿宋"/>
          <w:color w:val="000000"/>
          <w:szCs w:val="32"/>
        </w:rPr>
      </w:pPr>
      <w:r>
        <w:rPr>
          <w:rFonts w:hint="eastAsia" w:ascii="仿宋" w:hAnsi="仿宋"/>
          <w:b/>
          <w:color w:val="000000"/>
          <w:szCs w:val="32"/>
        </w:rPr>
        <w:t xml:space="preserve">第七条 </w:t>
      </w:r>
      <w:r>
        <w:rPr>
          <w:rFonts w:hint="eastAsia" w:ascii="仿宋" w:hAnsi="仿宋"/>
          <w:color w:val="000000"/>
          <w:szCs w:val="32"/>
        </w:rPr>
        <w:t>对于专项品种公司债券的发行人、主承销商、</w:t>
      </w:r>
      <w:r>
        <w:rPr>
          <w:rFonts w:hint="eastAsia" w:ascii="仿宋" w:hAnsi="仿宋"/>
          <w:szCs w:val="32"/>
        </w:rPr>
        <w:t>投资者</w:t>
      </w:r>
      <w:r>
        <w:rPr>
          <w:rFonts w:hint="eastAsia" w:ascii="仿宋" w:hAnsi="仿宋"/>
          <w:color w:val="000000"/>
          <w:szCs w:val="32"/>
        </w:rPr>
        <w:t>等参与主体，本所在表彰工作中予以优先考虑。</w:t>
      </w:r>
    </w:p>
    <w:p>
      <w:pPr>
        <w:spacing w:line="560" w:lineRule="exact"/>
        <w:ind w:firstLine="600"/>
        <w:rPr>
          <w:rFonts w:ascii="仿宋" w:hAnsi="仿宋"/>
          <w:szCs w:val="32"/>
        </w:rPr>
      </w:pPr>
      <w:r>
        <w:rPr>
          <w:rFonts w:hint="eastAsia" w:ascii="仿宋" w:hAnsi="仿宋"/>
          <w:b/>
          <w:szCs w:val="32"/>
        </w:rPr>
        <w:t xml:space="preserve">第八条 </w:t>
      </w:r>
      <w:r>
        <w:rPr>
          <w:rFonts w:hint="eastAsia" w:ascii="仿宋" w:hAnsi="仿宋"/>
          <w:color w:val="000000"/>
          <w:szCs w:val="32"/>
        </w:rPr>
        <w:t>本所可以根据市场发展情况，调整专项品种公司债券募集资金使用比例等相关安排、新增其他专项品种债券。</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第二章 短期公司债券</w:t>
      </w:r>
    </w:p>
    <w:p>
      <w:pPr>
        <w:spacing w:line="560" w:lineRule="exact"/>
        <w:ind w:firstLine="640"/>
        <w:rPr>
          <w:rFonts w:ascii="仿宋" w:hAnsi="仿宋" w:cs="方正仿宋简体"/>
          <w:szCs w:val="30"/>
        </w:rPr>
      </w:pPr>
      <w:r>
        <w:rPr>
          <w:rFonts w:hint="eastAsia" w:ascii="仿宋" w:hAnsi="仿宋" w:cs="方正仿宋简体"/>
          <w:b/>
          <w:szCs w:val="32"/>
        </w:rPr>
        <w:t xml:space="preserve">第九条 </w:t>
      </w:r>
      <w:r>
        <w:rPr>
          <w:rFonts w:hint="eastAsia" w:ascii="仿宋" w:hAnsi="仿宋" w:cs="方正仿宋简体"/>
          <w:szCs w:val="30"/>
        </w:rPr>
        <w:t>本指引所称短期公司债券，是指期限为1年以内（含1年）的公司债券，具体期限由发行人根据生产经营资金需求和市场情况确定。</w:t>
      </w:r>
    </w:p>
    <w:p>
      <w:pPr>
        <w:spacing w:line="560" w:lineRule="exact"/>
        <w:ind w:firstLine="640"/>
        <w:rPr>
          <w:rFonts w:ascii="仿宋" w:hAnsi="仿宋"/>
          <w:szCs w:val="32"/>
        </w:rPr>
      </w:pPr>
      <w:r>
        <w:rPr>
          <w:rFonts w:hint="eastAsia" w:ascii="仿宋" w:hAnsi="仿宋"/>
          <w:b/>
          <w:szCs w:val="32"/>
        </w:rPr>
        <w:t xml:space="preserve">第十条 </w:t>
      </w:r>
      <w:r>
        <w:rPr>
          <w:rFonts w:hint="eastAsia" w:ascii="仿宋" w:hAnsi="仿宋"/>
          <w:szCs w:val="32"/>
        </w:rPr>
        <w:t>发行人申请公开发行短期公司债券并在本所上市的，应当具备良好的短期偿债能力并符合下列条件之一：</w:t>
      </w:r>
    </w:p>
    <w:p>
      <w:pPr>
        <w:spacing w:line="560" w:lineRule="exact"/>
        <w:ind w:firstLine="632" w:firstLineChars="200"/>
        <w:rPr>
          <w:rFonts w:ascii="仿宋" w:hAnsi="仿宋" w:cs="方正仿宋简体"/>
          <w:szCs w:val="30"/>
        </w:rPr>
      </w:pPr>
      <w:r>
        <w:rPr>
          <w:rFonts w:hint="eastAsia" w:ascii="仿宋" w:hAnsi="仿宋" w:cs="方正仿宋简体"/>
          <w:szCs w:val="30"/>
        </w:rPr>
        <w:t>（一）适用本所公司债券优化审核安排，且最近3年平均经营活动现金流量净额为正或者最近1年末的速动比率大于</w:t>
      </w:r>
      <w:r>
        <w:rPr>
          <w:rFonts w:ascii="仿宋" w:hAnsi="仿宋" w:cs="方正仿宋简体"/>
          <w:szCs w:val="30"/>
        </w:rPr>
        <w:t>1</w:t>
      </w:r>
      <w:r>
        <w:rPr>
          <w:rFonts w:hint="eastAsia" w:ascii="仿宋" w:hAnsi="仿宋" w:cs="方正仿宋简体"/>
          <w:szCs w:val="30"/>
        </w:rPr>
        <w:t>；</w:t>
      </w:r>
    </w:p>
    <w:p>
      <w:pPr>
        <w:spacing w:line="560" w:lineRule="exact"/>
        <w:ind w:firstLine="632" w:firstLineChars="200"/>
        <w:rPr>
          <w:rFonts w:ascii="仿宋" w:hAnsi="仿宋" w:cs="方正仿宋简体"/>
          <w:szCs w:val="30"/>
        </w:rPr>
      </w:pPr>
      <w:r>
        <w:rPr>
          <w:rFonts w:hint="eastAsia" w:ascii="仿宋" w:hAnsi="仿宋" w:cs="方正仿宋简体"/>
          <w:szCs w:val="30"/>
        </w:rPr>
        <w:t>（二）综合实力较强、内部控制和风险控制制度健全的证券公司；</w:t>
      </w:r>
    </w:p>
    <w:p>
      <w:pPr>
        <w:spacing w:line="560" w:lineRule="exact"/>
        <w:ind w:firstLine="632" w:firstLineChars="200"/>
        <w:rPr>
          <w:rFonts w:ascii="仿宋" w:hAnsi="仿宋" w:cs="方正仿宋简体"/>
          <w:szCs w:val="30"/>
        </w:rPr>
      </w:pPr>
      <w:r>
        <w:rPr>
          <w:rFonts w:hint="eastAsia" w:ascii="仿宋" w:hAnsi="仿宋" w:cs="方正仿宋简体"/>
          <w:szCs w:val="30"/>
        </w:rPr>
        <w:t>（三）经本所认可的其他条件。</w:t>
      </w:r>
    </w:p>
    <w:p>
      <w:pPr>
        <w:spacing w:line="560" w:lineRule="exact"/>
        <w:ind w:firstLine="632" w:firstLineChars="200"/>
        <w:rPr>
          <w:rFonts w:ascii="仿宋" w:hAnsi="仿宋" w:cs="方正仿宋简体"/>
          <w:szCs w:val="30"/>
        </w:rPr>
      </w:pPr>
      <w:r>
        <w:rPr>
          <w:rFonts w:hint="eastAsia" w:ascii="仿宋" w:hAnsi="仿宋" w:cs="方正仿宋简体"/>
          <w:szCs w:val="30"/>
        </w:rPr>
        <w:t xml:space="preserve"> 本所可以根据市场发展情况，适时调整公开发行短期公司债券的主体范围，并向市场公布。</w:t>
      </w:r>
    </w:p>
    <w:p>
      <w:pPr>
        <w:spacing w:line="560" w:lineRule="exact"/>
        <w:ind w:firstLine="640"/>
        <w:rPr>
          <w:rFonts w:ascii="仿宋" w:hAnsi="仿宋" w:cs="方正仿宋简体"/>
          <w:szCs w:val="30"/>
        </w:rPr>
      </w:pPr>
      <w:r>
        <w:rPr>
          <w:rFonts w:hint="eastAsia" w:ascii="仿宋" w:hAnsi="仿宋" w:cs="方正仿宋简体"/>
          <w:b/>
          <w:szCs w:val="32"/>
        </w:rPr>
        <w:t xml:space="preserve">第十一条 </w:t>
      </w:r>
      <w:r>
        <w:rPr>
          <w:rFonts w:hint="eastAsia" w:ascii="仿宋" w:hAnsi="仿宋" w:cs="方正仿宋简体"/>
          <w:szCs w:val="30"/>
        </w:rPr>
        <w:t>发行人申请非公开发行短期公司债券并在本所挂牌的，应当符合下列条件之一：</w:t>
      </w:r>
    </w:p>
    <w:p>
      <w:pPr>
        <w:spacing w:line="560" w:lineRule="exact"/>
        <w:ind w:firstLine="632" w:firstLineChars="200"/>
        <w:rPr>
          <w:rFonts w:ascii="仿宋" w:hAnsi="仿宋" w:cs="方正仿宋简体"/>
          <w:szCs w:val="30"/>
        </w:rPr>
      </w:pPr>
      <w:r>
        <w:rPr>
          <w:rFonts w:hint="eastAsia" w:ascii="仿宋" w:hAnsi="仿宋" w:cs="方正仿宋简体"/>
          <w:szCs w:val="30"/>
        </w:rPr>
        <w:t>（一）发行人发行的股票或者存托凭证已在境内证券交易所上市，且其股票或者存托凭证未被实行风险警示或者终止上市；</w:t>
      </w:r>
    </w:p>
    <w:p>
      <w:pPr>
        <w:spacing w:line="560" w:lineRule="exact"/>
        <w:ind w:firstLine="632" w:firstLineChars="200"/>
        <w:rPr>
          <w:rFonts w:ascii="仿宋" w:hAnsi="仿宋" w:cs="方正仿宋简体"/>
          <w:szCs w:val="30"/>
        </w:rPr>
      </w:pPr>
      <w:r>
        <w:rPr>
          <w:rFonts w:hint="eastAsia" w:ascii="仿宋" w:hAnsi="仿宋" w:cs="方正仿宋简体"/>
          <w:szCs w:val="30"/>
        </w:rPr>
        <w:t>（二）发行人最近</w:t>
      </w:r>
      <w:r>
        <w:rPr>
          <w:rFonts w:ascii="仿宋" w:hAnsi="仿宋" w:cs="方正仿宋简体"/>
          <w:szCs w:val="30"/>
        </w:rPr>
        <w:t>24</w:t>
      </w:r>
      <w:r>
        <w:rPr>
          <w:rFonts w:hint="eastAsia" w:ascii="仿宋" w:hAnsi="仿宋" w:cs="方正仿宋简体"/>
          <w:szCs w:val="30"/>
        </w:rPr>
        <w:t>个月内已在境内相关债券市场发行短期债务融资工具，且不存在违约或者延迟支付债券或者其他债务本息的事实；</w:t>
      </w:r>
    </w:p>
    <w:p>
      <w:pPr>
        <w:spacing w:line="560" w:lineRule="exact"/>
        <w:ind w:firstLine="632" w:firstLineChars="200"/>
        <w:rPr>
          <w:rFonts w:ascii="仿宋" w:hAnsi="仿宋" w:cs="方正仿宋简体"/>
          <w:szCs w:val="30"/>
        </w:rPr>
      </w:pPr>
      <w:r>
        <w:rPr>
          <w:rFonts w:hint="eastAsia" w:ascii="仿宋" w:hAnsi="仿宋" w:cs="方正仿宋简体"/>
          <w:szCs w:val="30"/>
        </w:rPr>
        <w:t>（三）发行人属于国家金融监管部门批准设立的金融机构；</w:t>
      </w:r>
    </w:p>
    <w:p>
      <w:pPr>
        <w:spacing w:line="560" w:lineRule="exact"/>
        <w:ind w:firstLine="632" w:firstLineChars="200"/>
        <w:rPr>
          <w:rFonts w:ascii="仿宋" w:hAnsi="仿宋" w:cs="方正仿宋简体"/>
          <w:szCs w:val="30"/>
        </w:rPr>
      </w:pPr>
      <w:r>
        <w:rPr>
          <w:rFonts w:hint="eastAsia" w:ascii="仿宋" w:hAnsi="仿宋" w:cs="方正仿宋简体"/>
          <w:szCs w:val="30"/>
        </w:rPr>
        <w:t>（四）发行人属于行业龙头企业等信用状况良好且存续公司信用类债券市场认可度较高的企业；</w:t>
      </w:r>
    </w:p>
    <w:p>
      <w:pPr>
        <w:spacing w:line="560" w:lineRule="exact"/>
        <w:ind w:left="600"/>
        <w:rPr>
          <w:rFonts w:ascii="仿宋" w:hAnsi="仿宋" w:cs="方正仿宋简体"/>
          <w:szCs w:val="30"/>
        </w:rPr>
      </w:pPr>
      <w:r>
        <w:rPr>
          <w:rFonts w:hint="eastAsia" w:ascii="仿宋" w:hAnsi="仿宋" w:cs="方正仿宋简体"/>
          <w:szCs w:val="30"/>
        </w:rPr>
        <w:t>（五）经本所认可的其他条件。</w:t>
      </w:r>
    </w:p>
    <w:p>
      <w:pPr>
        <w:spacing w:line="560" w:lineRule="exact"/>
        <w:ind w:firstLine="640"/>
        <w:rPr>
          <w:rFonts w:ascii="仿宋" w:hAnsi="仿宋" w:cs="方正仿宋简体"/>
          <w:szCs w:val="30"/>
        </w:rPr>
      </w:pPr>
      <w:r>
        <w:rPr>
          <w:rFonts w:hint="eastAsia" w:ascii="仿宋" w:hAnsi="仿宋" w:cs="方正仿宋简体"/>
          <w:b/>
          <w:szCs w:val="32"/>
        </w:rPr>
        <w:t xml:space="preserve">第十二条 </w:t>
      </w:r>
      <w:r>
        <w:rPr>
          <w:rFonts w:hint="eastAsia" w:ascii="仿宋" w:hAnsi="仿宋" w:cs="方正仿宋简体"/>
          <w:szCs w:val="30"/>
        </w:rPr>
        <w:t>短期公司债券期限应当与发行人现有负债结构、短期偿付能力相匹配。</w:t>
      </w:r>
    </w:p>
    <w:p>
      <w:pPr>
        <w:spacing w:line="560" w:lineRule="exact"/>
        <w:ind w:firstLine="640"/>
        <w:rPr>
          <w:rFonts w:ascii="仿宋" w:hAnsi="仿宋" w:cs="仿宋_GB2312"/>
          <w:sz w:val="36"/>
          <w:szCs w:val="32"/>
        </w:rPr>
      </w:pPr>
      <w:r>
        <w:rPr>
          <w:rFonts w:hint="eastAsia" w:ascii="仿宋" w:hAnsi="仿宋" w:cs="仿宋_GB2312"/>
          <w:b/>
          <w:szCs w:val="32"/>
        </w:rPr>
        <w:t xml:space="preserve">第十三条 </w:t>
      </w:r>
      <w:r>
        <w:rPr>
          <w:rFonts w:hint="eastAsia" w:ascii="仿宋" w:hAnsi="仿宋" w:cs="方正仿宋简体"/>
          <w:szCs w:val="30"/>
        </w:rPr>
        <w:t>短期公司债券的债券期限、利息周期以及应计利息原则上应当以天为计量单位。</w:t>
      </w:r>
    </w:p>
    <w:p>
      <w:pPr>
        <w:spacing w:line="560" w:lineRule="exact"/>
        <w:ind w:firstLine="640"/>
        <w:rPr>
          <w:rFonts w:ascii="仿宋" w:hAnsi="仿宋" w:cs="方正仿宋简体"/>
          <w:szCs w:val="30"/>
        </w:rPr>
      </w:pPr>
      <w:r>
        <w:rPr>
          <w:rFonts w:hint="eastAsia" w:ascii="仿宋" w:hAnsi="仿宋" w:cs="方正仿宋简体"/>
          <w:b/>
          <w:szCs w:val="32"/>
        </w:rPr>
        <w:t xml:space="preserve">第十四条 </w:t>
      </w:r>
      <w:r>
        <w:rPr>
          <w:rFonts w:hint="eastAsia" w:ascii="仿宋" w:hAnsi="仿宋" w:cs="方正仿宋简体"/>
          <w:szCs w:val="30"/>
        </w:rPr>
        <w:t>发行人申请公开发行短期公司债券，可以单独编制申请文件并单独申报，也可以与其他期限的公司债券编制统一申请文件并统一进行申报。统一申报的，应当在募集说明书中明确短期公司债券发行规模。</w:t>
      </w:r>
    </w:p>
    <w:p>
      <w:pPr>
        <w:spacing w:line="560" w:lineRule="exact"/>
        <w:ind w:firstLine="640"/>
        <w:rPr>
          <w:rFonts w:ascii="仿宋" w:hAnsi="仿宋" w:cs="方正仿宋简体"/>
          <w:szCs w:val="30"/>
        </w:rPr>
      </w:pPr>
      <w:r>
        <w:rPr>
          <w:rFonts w:hint="eastAsia" w:ascii="仿宋" w:hAnsi="仿宋" w:cs="方正仿宋简体"/>
          <w:b/>
          <w:szCs w:val="32"/>
        </w:rPr>
        <w:t xml:space="preserve">第十五条 </w:t>
      </w:r>
      <w:r>
        <w:rPr>
          <w:rFonts w:hint="eastAsia" w:ascii="仿宋" w:hAnsi="仿宋" w:cs="方正仿宋简体"/>
          <w:szCs w:val="30"/>
        </w:rPr>
        <w:t>公开发行短期公司债券实行余额管理。发行人在中国证券监督管理委员会（以下简称中国证监会）注册文件</w:t>
      </w:r>
      <w:r>
        <w:rPr>
          <w:rFonts w:ascii="仿宋" w:hAnsi="仿宋" w:cs="方正仿宋简体"/>
          <w:szCs w:val="30"/>
        </w:rPr>
        <w:t>有效期内，</w:t>
      </w:r>
      <w:r>
        <w:rPr>
          <w:rFonts w:hint="eastAsia" w:ascii="仿宋" w:hAnsi="仿宋" w:cs="方正仿宋简体"/>
          <w:szCs w:val="30"/>
        </w:rPr>
        <w:t>可以自主确定发行期数和每期发行规模，但待偿余额不得超过中国证监会注册文件确定的规模。</w:t>
      </w:r>
    </w:p>
    <w:p>
      <w:pPr>
        <w:spacing w:line="560" w:lineRule="exact"/>
        <w:ind w:firstLine="640"/>
        <w:rPr>
          <w:rFonts w:ascii="仿宋" w:hAnsi="仿宋" w:cs="方正仿宋简体"/>
          <w:szCs w:val="30"/>
        </w:rPr>
      </w:pPr>
      <w:r>
        <w:rPr>
          <w:rFonts w:hint="eastAsia" w:ascii="仿宋" w:hAnsi="仿宋" w:cs="方正仿宋简体"/>
          <w:b/>
          <w:szCs w:val="32"/>
        </w:rPr>
        <w:t xml:space="preserve">第十六条 </w:t>
      </w:r>
      <w:r>
        <w:rPr>
          <w:rFonts w:hint="eastAsia" w:ascii="仿宋" w:hAnsi="仿宋" w:cs="方正仿宋简体"/>
          <w:szCs w:val="30"/>
        </w:rPr>
        <w:t>在中国证监会注册文件有效期内，发行人首次公开发行短期公司债券后，经营和财务情况无重大不利变化且未发生对偿债能力产生重大影响事项的，后续发行时发行人可以适当简化披露募集说明书中发行人基本情况、财务会计信息等相关章节，其他内容可以索引首次发行短期公司债券的募集说明书方式披露。</w:t>
      </w:r>
    </w:p>
    <w:p>
      <w:pPr>
        <w:pStyle w:val="29"/>
        <w:spacing w:line="560" w:lineRule="exact"/>
        <w:ind w:firstLine="632"/>
        <w:rPr>
          <w:rFonts w:ascii="仿宋" w:hAnsi="仿宋" w:eastAsia="仿宋" w:cs="方正仿宋简体"/>
          <w:sz w:val="32"/>
          <w:szCs w:val="30"/>
        </w:rPr>
      </w:pPr>
      <w:r>
        <w:rPr>
          <w:rFonts w:hint="eastAsia" w:ascii="仿宋" w:hAnsi="仿宋" w:eastAsia="仿宋" w:cs="方正仿宋简体"/>
          <w:sz w:val="32"/>
          <w:szCs w:val="30"/>
        </w:rPr>
        <w:t>简化后的信息披露内容应当至少包括最近一期资产负债表、利润表、现金流量表、主要收入构成表以及主要财务指标表。主要会计数据和财务指标发生重大变化的，应当说明原因。</w:t>
      </w:r>
    </w:p>
    <w:p>
      <w:pPr>
        <w:spacing w:line="560" w:lineRule="exact"/>
        <w:ind w:firstLine="640"/>
        <w:rPr>
          <w:rFonts w:ascii="仿宋" w:hAnsi="仿宋" w:cs="方正仿宋简体"/>
          <w:szCs w:val="30"/>
        </w:rPr>
      </w:pPr>
      <w:r>
        <w:rPr>
          <w:rFonts w:hint="eastAsia" w:ascii="仿宋" w:hAnsi="仿宋" w:cs="方正仿宋简体"/>
          <w:b/>
          <w:szCs w:val="32"/>
        </w:rPr>
        <w:t xml:space="preserve">第十七条 </w:t>
      </w:r>
      <w:r>
        <w:rPr>
          <w:rFonts w:hint="eastAsia" w:ascii="仿宋" w:hAnsi="仿宋" w:cs="方正仿宋简体"/>
          <w:szCs w:val="30"/>
        </w:rPr>
        <w:t>短期公司债券的募集资金用途应当与债券期限保持合理匹配，限于偿还1年内到期的债务和补充流动资金，不得用于长期投资需求。发行人应当在募集说明书中披露募集资金具体用途，合理解释融资需求。补充流动资金的，需在</w:t>
      </w:r>
      <w:r>
        <w:rPr>
          <w:rFonts w:ascii="仿宋" w:hAnsi="仿宋" w:cs="方正仿宋简体"/>
          <w:szCs w:val="30"/>
        </w:rPr>
        <w:t>申请文件中</w:t>
      </w:r>
      <w:r>
        <w:rPr>
          <w:rFonts w:hint="eastAsia" w:ascii="仿宋" w:hAnsi="仿宋" w:cs="方正仿宋简体"/>
          <w:szCs w:val="30"/>
        </w:rPr>
        <w:t>匡算流动资金缺口并提供依据。</w:t>
      </w:r>
    </w:p>
    <w:p>
      <w:pPr>
        <w:spacing w:line="560" w:lineRule="exact"/>
        <w:ind w:firstLine="640"/>
        <w:rPr>
          <w:rFonts w:ascii="仿宋" w:hAnsi="仿宋" w:cs="方正仿宋简体"/>
          <w:szCs w:val="30"/>
        </w:rPr>
      </w:pPr>
      <w:r>
        <w:rPr>
          <w:rFonts w:hint="eastAsia" w:ascii="仿宋" w:hAnsi="仿宋" w:cs="方正仿宋简体"/>
          <w:b/>
          <w:szCs w:val="32"/>
        </w:rPr>
        <w:t xml:space="preserve">第十八条 </w:t>
      </w:r>
      <w:r>
        <w:rPr>
          <w:rFonts w:hint="eastAsia" w:ascii="仿宋" w:hAnsi="仿宋" w:cs="方正仿宋简体"/>
          <w:szCs w:val="30"/>
        </w:rPr>
        <w:t>发行人</w:t>
      </w:r>
      <w:r>
        <w:rPr>
          <w:rFonts w:ascii="仿宋" w:hAnsi="仿宋" w:cs="方正仿宋简体"/>
          <w:szCs w:val="30"/>
        </w:rPr>
        <w:t>应当</w:t>
      </w:r>
      <w:r>
        <w:rPr>
          <w:rFonts w:hint="eastAsia" w:ascii="仿宋" w:hAnsi="仿宋" w:cs="方正仿宋简体"/>
          <w:szCs w:val="30"/>
        </w:rPr>
        <w:t>加强现金</w:t>
      </w:r>
      <w:r>
        <w:rPr>
          <w:rFonts w:ascii="仿宋" w:hAnsi="仿宋" w:cs="方正仿宋简体"/>
          <w:szCs w:val="30"/>
        </w:rPr>
        <w:t>管理</w:t>
      </w:r>
      <w:r>
        <w:rPr>
          <w:rFonts w:hint="eastAsia" w:ascii="仿宋" w:hAnsi="仿宋" w:cs="方正仿宋简体"/>
          <w:szCs w:val="30"/>
        </w:rPr>
        <w:t>，健全内部控制制度，并</w:t>
      </w:r>
      <w:r>
        <w:rPr>
          <w:rFonts w:ascii="仿宋" w:hAnsi="仿宋" w:cs="方正仿宋简体"/>
          <w:szCs w:val="30"/>
        </w:rPr>
        <w:t>在</w:t>
      </w:r>
      <w:r>
        <w:rPr>
          <w:rFonts w:hint="eastAsia" w:ascii="仿宋" w:hAnsi="仿宋" w:cs="方正仿宋简体"/>
          <w:szCs w:val="30"/>
        </w:rPr>
        <w:t>募集说明书中披露资金运营内控制度、资金管理运营模式、短期资金调度应急预案等内容。</w:t>
      </w:r>
    </w:p>
    <w:p>
      <w:pPr>
        <w:spacing w:line="560" w:lineRule="exact"/>
        <w:ind w:firstLine="640"/>
        <w:rPr>
          <w:rFonts w:ascii="仿宋" w:hAnsi="仿宋" w:cs="方正仿宋简体"/>
          <w:szCs w:val="30"/>
        </w:rPr>
      </w:pPr>
      <w:r>
        <w:rPr>
          <w:rFonts w:hint="eastAsia" w:ascii="仿宋" w:hAnsi="仿宋" w:cs="方正仿宋简体"/>
          <w:b/>
          <w:szCs w:val="32"/>
        </w:rPr>
        <w:t xml:space="preserve">第十九条 </w:t>
      </w:r>
      <w:r>
        <w:rPr>
          <w:rFonts w:hint="eastAsia" w:ascii="仿宋" w:hAnsi="仿宋" w:cs="方正仿宋简体"/>
          <w:szCs w:val="30"/>
        </w:rPr>
        <w:t>发行人主体信用评级达到AAA（不存在次级条款等影响债券信用评级的相关契约条款），且可采用多边净额结算方式的公开发行短期公司债券，可以作为债券通用质押式回购的质押券种。</w:t>
      </w:r>
    </w:p>
    <w:p>
      <w:pPr>
        <w:spacing w:line="560" w:lineRule="exact"/>
        <w:ind w:firstLine="640"/>
        <w:rPr>
          <w:rFonts w:ascii="仿宋" w:hAnsi="仿宋" w:cs="方正仿宋简体"/>
          <w:szCs w:val="30"/>
        </w:rPr>
      </w:pPr>
      <w:r>
        <w:rPr>
          <w:rFonts w:hint="eastAsia" w:ascii="仿宋" w:hAnsi="仿宋" w:cs="方正仿宋简体"/>
          <w:b/>
          <w:szCs w:val="32"/>
        </w:rPr>
        <w:t xml:space="preserve">第二十条 </w:t>
      </w:r>
      <w:r>
        <w:rPr>
          <w:rFonts w:hint="eastAsia" w:ascii="仿宋" w:hAnsi="仿宋" w:cs="仿宋_GB2312"/>
          <w:color w:val="000000"/>
          <w:kern w:val="0"/>
          <w:szCs w:val="32"/>
        </w:rPr>
        <w:t>债券存续期内，发行人应当在定期报告中披露募集资金使用情况等。</w:t>
      </w:r>
    </w:p>
    <w:p>
      <w:pPr>
        <w:spacing w:line="560" w:lineRule="exact"/>
        <w:ind w:firstLine="640"/>
        <w:rPr>
          <w:rFonts w:ascii="仿宋" w:hAnsi="仿宋"/>
          <w:szCs w:val="30"/>
        </w:rPr>
      </w:pPr>
      <w:r>
        <w:rPr>
          <w:rFonts w:hint="eastAsia" w:ascii="仿宋" w:hAnsi="仿宋"/>
          <w:b/>
          <w:szCs w:val="32"/>
        </w:rPr>
        <w:t xml:space="preserve">第二十一条 </w:t>
      </w:r>
      <w:r>
        <w:rPr>
          <w:rFonts w:ascii="仿宋" w:hAnsi="仿宋"/>
          <w:szCs w:val="30"/>
        </w:rPr>
        <w:t>法律</w:t>
      </w:r>
      <w:r>
        <w:rPr>
          <w:rFonts w:hint="eastAsia" w:ascii="仿宋" w:hAnsi="仿宋"/>
          <w:szCs w:val="30"/>
        </w:rPr>
        <w:t>、行政</w:t>
      </w:r>
      <w:r>
        <w:rPr>
          <w:rFonts w:ascii="仿宋" w:hAnsi="仿宋"/>
          <w:szCs w:val="30"/>
        </w:rPr>
        <w:t>法规</w:t>
      </w:r>
      <w:r>
        <w:rPr>
          <w:rFonts w:hint="eastAsia" w:ascii="仿宋" w:hAnsi="仿宋"/>
          <w:szCs w:val="30"/>
        </w:rPr>
        <w:t>、部门规章、规范性文件（以下统称法律法规）以及自律</w:t>
      </w:r>
      <w:r>
        <w:rPr>
          <w:rFonts w:ascii="仿宋" w:hAnsi="仿宋"/>
          <w:szCs w:val="30"/>
        </w:rPr>
        <w:t>监管机构</w:t>
      </w:r>
      <w:r>
        <w:rPr>
          <w:rFonts w:hint="eastAsia" w:ascii="仿宋" w:hAnsi="仿宋"/>
          <w:szCs w:val="30"/>
        </w:rPr>
        <w:t>等</w:t>
      </w:r>
      <w:r>
        <w:rPr>
          <w:rFonts w:ascii="仿宋" w:hAnsi="仿宋"/>
          <w:szCs w:val="30"/>
        </w:rPr>
        <w:t>对</w:t>
      </w:r>
      <w:r>
        <w:rPr>
          <w:rFonts w:hint="eastAsia" w:ascii="仿宋" w:hAnsi="仿宋"/>
          <w:szCs w:val="30"/>
        </w:rPr>
        <w:t>证券公司短期融资工具余额</w:t>
      </w:r>
      <w:r>
        <w:rPr>
          <w:rFonts w:ascii="仿宋" w:hAnsi="仿宋"/>
          <w:szCs w:val="30"/>
        </w:rPr>
        <w:t>另有规定的，从其规定</w:t>
      </w:r>
      <w:r>
        <w:rPr>
          <w:rFonts w:hint="eastAsia" w:ascii="仿宋" w:hAnsi="仿宋"/>
          <w:szCs w:val="30"/>
        </w:rPr>
        <w:t>。</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第三章 可续期公司债券</w:t>
      </w:r>
    </w:p>
    <w:p>
      <w:pPr>
        <w:spacing w:line="560" w:lineRule="exact"/>
        <w:ind w:firstLine="640"/>
        <w:rPr>
          <w:rFonts w:ascii="仿宋" w:hAnsi="仿宋"/>
          <w:szCs w:val="32"/>
        </w:rPr>
      </w:pPr>
      <w:r>
        <w:rPr>
          <w:rFonts w:hint="eastAsia" w:ascii="仿宋" w:hAnsi="仿宋"/>
          <w:b/>
          <w:szCs w:val="32"/>
        </w:rPr>
        <w:t xml:space="preserve">第二十二条 </w:t>
      </w:r>
      <w:r>
        <w:rPr>
          <w:rFonts w:hint="eastAsia" w:ascii="仿宋" w:hAnsi="仿宋"/>
          <w:szCs w:val="32"/>
        </w:rPr>
        <w:t>本指引所称可续期公司债券，是指附续期选择权的公司债券。</w:t>
      </w:r>
    </w:p>
    <w:p>
      <w:pPr>
        <w:pStyle w:val="29"/>
        <w:spacing w:line="560" w:lineRule="exact"/>
        <w:ind w:firstLine="632"/>
        <w:rPr>
          <w:rFonts w:ascii="仿宋" w:hAnsi="仿宋" w:eastAsia="仿宋"/>
          <w:sz w:val="32"/>
          <w:szCs w:val="32"/>
        </w:rPr>
      </w:pPr>
      <w:r>
        <w:rPr>
          <w:rFonts w:hint="eastAsia" w:ascii="仿宋" w:hAnsi="仿宋" w:eastAsia="仿宋"/>
          <w:sz w:val="32"/>
          <w:szCs w:val="32"/>
        </w:rPr>
        <w:t>前款所称续期选择权，是指发行人在约定时间有权选择将本次债券期限延长。</w:t>
      </w:r>
    </w:p>
    <w:p>
      <w:pPr>
        <w:spacing w:line="560" w:lineRule="exact"/>
        <w:ind w:firstLine="640"/>
        <w:rPr>
          <w:rFonts w:ascii="仿宋" w:hAnsi="仿宋"/>
          <w:szCs w:val="32"/>
        </w:rPr>
      </w:pPr>
      <w:r>
        <w:rPr>
          <w:rFonts w:hint="eastAsia" w:ascii="仿宋" w:hAnsi="仿宋"/>
          <w:b/>
          <w:szCs w:val="32"/>
        </w:rPr>
        <w:t xml:space="preserve">第二十三条 </w:t>
      </w:r>
      <w:r>
        <w:rPr>
          <w:rFonts w:hint="eastAsia" w:ascii="仿宋" w:hAnsi="仿宋"/>
          <w:szCs w:val="32"/>
        </w:rPr>
        <w:t>发行人应当依照《中华人民共和国公司法》或者公司章程就发行可续期公司债券作出决议，相关决议应当包括续期选择权、续期期限、利率确定和调整方式等与发行可续期公司债券相关的事项。</w:t>
      </w:r>
    </w:p>
    <w:p>
      <w:pPr>
        <w:spacing w:line="560" w:lineRule="exact"/>
        <w:ind w:firstLine="640"/>
        <w:rPr>
          <w:rFonts w:ascii="仿宋" w:hAnsi="仿宋"/>
          <w:szCs w:val="32"/>
        </w:rPr>
      </w:pPr>
      <w:r>
        <w:rPr>
          <w:rFonts w:hint="eastAsia" w:ascii="仿宋" w:hAnsi="仿宋"/>
          <w:b/>
          <w:szCs w:val="32"/>
        </w:rPr>
        <w:t xml:space="preserve">第二十四条 </w:t>
      </w:r>
      <w:r>
        <w:rPr>
          <w:rFonts w:hint="eastAsia" w:ascii="仿宋" w:hAnsi="仿宋"/>
          <w:szCs w:val="32"/>
        </w:rPr>
        <w:t>为本次发行提供服务的会计师事务所应当对本次发行可续期公司债券的相关会计处理情况出具专项意见，说明本次发行可续期公司债券是否计入权益及其相关依据。</w:t>
      </w:r>
    </w:p>
    <w:p>
      <w:pPr>
        <w:spacing w:line="560" w:lineRule="exact"/>
        <w:ind w:firstLine="640"/>
        <w:rPr>
          <w:rFonts w:ascii="仿宋" w:hAnsi="仿宋"/>
          <w:szCs w:val="32"/>
        </w:rPr>
      </w:pPr>
      <w:r>
        <w:rPr>
          <w:rFonts w:hint="eastAsia" w:ascii="仿宋" w:hAnsi="仿宋"/>
          <w:b/>
          <w:szCs w:val="32"/>
        </w:rPr>
        <w:t xml:space="preserve">第二十五条 </w:t>
      </w:r>
      <w:r>
        <w:rPr>
          <w:rFonts w:hint="eastAsia" w:ascii="仿宋" w:hAnsi="仿宋"/>
          <w:szCs w:val="32"/>
        </w:rPr>
        <w:t>受托管理协议应当约定受托管理人对可续期公司债券特殊发行事项的持续关注义务，并在年度受托管理事务报告中披露该义务的履行情况，包括可续期公司债券续期情况、利息递延情况、强制付息情况以及可续期公司债券是否仍计入权益等相关事项。</w:t>
      </w:r>
    </w:p>
    <w:p>
      <w:pPr>
        <w:spacing w:line="560" w:lineRule="exact"/>
        <w:ind w:firstLine="640"/>
        <w:rPr>
          <w:rFonts w:ascii="仿宋" w:hAnsi="仿宋"/>
          <w:szCs w:val="32"/>
        </w:rPr>
      </w:pPr>
      <w:r>
        <w:rPr>
          <w:rFonts w:hint="eastAsia" w:ascii="仿宋" w:hAnsi="仿宋"/>
          <w:b/>
          <w:szCs w:val="32"/>
        </w:rPr>
        <w:t xml:space="preserve">第二十六条 </w:t>
      </w:r>
      <w:r>
        <w:rPr>
          <w:rFonts w:hint="eastAsia" w:ascii="仿宋" w:hAnsi="仿宋"/>
          <w:szCs w:val="32"/>
        </w:rPr>
        <w:t>可续期公司债券募集说明书应当载明下列事项：</w:t>
      </w:r>
    </w:p>
    <w:p>
      <w:pPr>
        <w:spacing w:line="560" w:lineRule="exact"/>
        <w:ind w:firstLine="632" w:firstLineChars="200"/>
        <w:rPr>
          <w:rFonts w:ascii="仿宋" w:hAnsi="仿宋"/>
          <w:szCs w:val="32"/>
        </w:rPr>
      </w:pPr>
      <w:r>
        <w:rPr>
          <w:rFonts w:hint="eastAsia" w:ascii="仿宋" w:hAnsi="仿宋"/>
          <w:szCs w:val="32"/>
        </w:rPr>
        <w:t>（一）特殊条款及其实施程序，特殊条款一般包括续期选择权、利率调整机制、利息递延支付安排、利息递延下的限制事项、强制付息事件等条款，特殊条款应当作重大事项提示；</w:t>
      </w:r>
    </w:p>
    <w:p>
      <w:pPr>
        <w:spacing w:line="560" w:lineRule="exact"/>
        <w:ind w:firstLine="632" w:firstLineChars="200"/>
        <w:rPr>
          <w:rFonts w:ascii="仿宋" w:hAnsi="仿宋"/>
          <w:szCs w:val="32"/>
        </w:rPr>
      </w:pPr>
      <w:r>
        <w:rPr>
          <w:rFonts w:hint="eastAsia" w:ascii="仿宋" w:hAnsi="仿宋"/>
          <w:szCs w:val="32"/>
        </w:rPr>
        <w:t>（二）税收处理方法、计入权益的情况以及存续期内发生不再计入权益的相关安排；</w:t>
      </w:r>
    </w:p>
    <w:p>
      <w:pPr>
        <w:spacing w:line="560" w:lineRule="exact"/>
        <w:ind w:firstLine="632" w:firstLineChars="200"/>
        <w:rPr>
          <w:rFonts w:ascii="仿宋" w:hAnsi="仿宋"/>
          <w:szCs w:val="32"/>
        </w:rPr>
      </w:pPr>
      <w:r>
        <w:rPr>
          <w:rFonts w:hint="eastAsia" w:ascii="仿宋" w:hAnsi="仿宋"/>
          <w:szCs w:val="32"/>
        </w:rPr>
        <w:t>（三）偿付顺序；</w:t>
      </w:r>
    </w:p>
    <w:p>
      <w:pPr>
        <w:spacing w:line="560" w:lineRule="exact"/>
        <w:ind w:firstLine="632" w:firstLineChars="200"/>
        <w:rPr>
          <w:rFonts w:ascii="仿宋" w:hAnsi="仿宋"/>
          <w:szCs w:val="32"/>
        </w:rPr>
      </w:pPr>
      <w:r>
        <w:rPr>
          <w:rFonts w:hint="eastAsia" w:ascii="仿宋" w:hAnsi="仿宋"/>
          <w:szCs w:val="32"/>
        </w:rPr>
        <w:t>（四）特有风险，特有风险一般包括发行人行使续期选择权、利息递延支付、会计政策变动等风险，特有风险应当作重大事项提示；</w:t>
      </w:r>
    </w:p>
    <w:p>
      <w:pPr>
        <w:spacing w:line="560" w:lineRule="exact"/>
        <w:ind w:firstLine="632" w:firstLineChars="200"/>
        <w:rPr>
          <w:rFonts w:ascii="仿宋" w:hAnsi="仿宋"/>
          <w:szCs w:val="32"/>
        </w:rPr>
      </w:pPr>
      <w:r>
        <w:rPr>
          <w:rFonts w:hint="eastAsia" w:ascii="仿宋" w:hAnsi="仿宋"/>
          <w:szCs w:val="32"/>
        </w:rPr>
        <w:t>（五）发行人最近一期末境内外永续类负债的余额、发行日、续期期限、票面利率以及利率调整机制等情况，永续类负债包括可续期公司债券、永续票据以及境外发行的永续债券等；</w:t>
      </w:r>
    </w:p>
    <w:p>
      <w:pPr>
        <w:spacing w:line="560" w:lineRule="exact"/>
        <w:ind w:firstLine="632" w:firstLineChars="200"/>
        <w:rPr>
          <w:rFonts w:ascii="仿宋" w:hAnsi="仿宋"/>
          <w:szCs w:val="32"/>
        </w:rPr>
      </w:pPr>
      <w:r>
        <w:rPr>
          <w:rFonts w:hint="eastAsia" w:ascii="仿宋" w:hAnsi="仿宋"/>
          <w:szCs w:val="32"/>
        </w:rPr>
        <w:t>（六）特殊违约情形，包括未发布递延支付利息公告的情况下拖欠利息、发生强制付息事件下拖欠利息、未发布续期公告的情况下拖欠本息等；</w:t>
      </w:r>
    </w:p>
    <w:p>
      <w:pPr>
        <w:spacing w:line="560" w:lineRule="exact"/>
        <w:ind w:firstLine="632" w:firstLineChars="200"/>
        <w:rPr>
          <w:rFonts w:ascii="仿宋" w:hAnsi="仿宋"/>
          <w:szCs w:val="32"/>
        </w:rPr>
      </w:pPr>
      <w:r>
        <w:rPr>
          <w:rFonts w:hint="eastAsia" w:ascii="仿宋" w:hAnsi="仿宋"/>
          <w:szCs w:val="32"/>
        </w:rPr>
        <w:t>（七）触发特殊违约情形及时召开债券持有人会议或者以其他方式保障债券持有人权益的安排；</w:t>
      </w:r>
    </w:p>
    <w:p>
      <w:pPr>
        <w:spacing w:line="560" w:lineRule="exact"/>
        <w:ind w:firstLine="632" w:firstLineChars="200"/>
        <w:rPr>
          <w:rFonts w:ascii="仿宋" w:hAnsi="仿宋"/>
          <w:szCs w:val="32"/>
        </w:rPr>
      </w:pPr>
      <w:r>
        <w:rPr>
          <w:rFonts w:hint="eastAsia" w:ascii="仿宋" w:hAnsi="仿宋"/>
          <w:szCs w:val="32"/>
        </w:rPr>
        <w:t>（八）受托管理人对可续期公司债券特殊条款的持续关注义务；</w:t>
      </w:r>
    </w:p>
    <w:p>
      <w:pPr>
        <w:spacing w:line="560" w:lineRule="exact"/>
        <w:ind w:firstLine="632" w:firstLineChars="200"/>
        <w:rPr>
          <w:rFonts w:ascii="仿宋" w:hAnsi="仿宋"/>
          <w:szCs w:val="32"/>
        </w:rPr>
      </w:pPr>
      <w:r>
        <w:rPr>
          <w:rFonts w:hint="eastAsia" w:ascii="仿宋" w:hAnsi="仿宋"/>
          <w:szCs w:val="32"/>
        </w:rPr>
        <w:t>（九）本所要求的其他内容。</w:t>
      </w:r>
    </w:p>
    <w:p>
      <w:pPr>
        <w:spacing w:line="560" w:lineRule="exact"/>
        <w:ind w:firstLine="640"/>
        <w:rPr>
          <w:rFonts w:ascii="仿宋" w:hAnsi="仿宋"/>
          <w:szCs w:val="32"/>
        </w:rPr>
      </w:pPr>
      <w:r>
        <w:rPr>
          <w:rFonts w:hint="eastAsia" w:ascii="仿宋" w:hAnsi="仿宋"/>
          <w:b/>
          <w:szCs w:val="32"/>
        </w:rPr>
        <w:t xml:space="preserve">第二十七条 </w:t>
      </w:r>
      <w:r>
        <w:rPr>
          <w:rFonts w:hint="eastAsia" w:ascii="仿宋" w:hAnsi="仿宋"/>
          <w:szCs w:val="32"/>
        </w:rPr>
        <w:t>可续期公司债券存续期间，发行人应当披露下列事项：</w:t>
      </w:r>
    </w:p>
    <w:p>
      <w:pPr>
        <w:spacing w:line="560" w:lineRule="exact"/>
        <w:ind w:firstLine="632" w:firstLineChars="200"/>
        <w:rPr>
          <w:rFonts w:ascii="仿宋" w:hAnsi="仿宋"/>
          <w:szCs w:val="32"/>
        </w:rPr>
      </w:pPr>
      <w:r>
        <w:rPr>
          <w:rFonts w:hint="eastAsia" w:ascii="仿宋" w:hAnsi="仿宋"/>
          <w:szCs w:val="32"/>
        </w:rPr>
        <w:t>（一）发行人应当在定期报告中披露可续期公司债券续期情况、利率跳升情况、利息递延情况、强制付息情况等事项，并就可续期公司债券是否仍计入权益以及相关会计处理进行专项说明；</w:t>
      </w:r>
    </w:p>
    <w:p>
      <w:pPr>
        <w:spacing w:line="560" w:lineRule="exact"/>
        <w:ind w:firstLine="632" w:firstLineChars="200"/>
        <w:rPr>
          <w:rFonts w:ascii="仿宋" w:hAnsi="仿宋"/>
          <w:szCs w:val="32"/>
        </w:rPr>
      </w:pPr>
      <w:r>
        <w:rPr>
          <w:rFonts w:hint="eastAsia" w:ascii="仿宋" w:hAnsi="仿宋"/>
          <w:szCs w:val="32"/>
        </w:rPr>
        <w:t>（二）债券存续期内发生强制付息事件，或者发行人递延支付利息后发生利息递延下的限制事项，发行人应当于2个交易日内披露相关信息，说明其影响及相关安排；</w:t>
      </w:r>
    </w:p>
    <w:p>
      <w:pPr>
        <w:spacing w:line="560" w:lineRule="exact"/>
        <w:ind w:firstLine="632" w:firstLineChars="200"/>
        <w:rPr>
          <w:rFonts w:ascii="仿宋" w:hAnsi="仿宋"/>
          <w:szCs w:val="32"/>
        </w:rPr>
      </w:pPr>
      <w:r>
        <w:rPr>
          <w:rFonts w:hint="eastAsia" w:ascii="仿宋" w:hAnsi="仿宋"/>
          <w:szCs w:val="32"/>
        </w:rPr>
        <w:t>（三）债券存续期内出现导致本次发行可续期公司债券不再计入权益事项的，发行人应当于2个交易日内披露相关信息，说明事项的基本情况并对其影响进行分析；</w:t>
      </w:r>
    </w:p>
    <w:p>
      <w:pPr>
        <w:spacing w:line="560" w:lineRule="exact"/>
        <w:ind w:firstLine="632" w:firstLineChars="200"/>
        <w:rPr>
          <w:rFonts w:ascii="仿宋" w:hAnsi="仿宋"/>
          <w:szCs w:val="32"/>
        </w:rPr>
      </w:pPr>
      <w:r>
        <w:rPr>
          <w:rFonts w:hint="eastAsia" w:ascii="仿宋" w:hAnsi="仿宋"/>
          <w:szCs w:val="32"/>
        </w:rPr>
        <w:t>（四）本所要求披露的其他事项。</w:t>
      </w:r>
    </w:p>
    <w:p>
      <w:pPr>
        <w:spacing w:line="560" w:lineRule="exact"/>
        <w:ind w:firstLine="640"/>
        <w:rPr>
          <w:rFonts w:ascii="仿宋" w:hAnsi="仿宋"/>
          <w:szCs w:val="32"/>
        </w:rPr>
      </w:pPr>
      <w:r>
        <w:rPr>
          <w:rFonts w:hint="eastAsia" w:ascii="仿宋" w:hAnsi="仿宋"/>
          <w:b/>
          <w:szCs w:val="32"/>
        </w:rPr>
        <w:t xml:space="preserve">第二十八条 </w:t>
      </w:r>
      <w:r>
        <w:rPr>
          <w:rFonts w:hint="eastAsia" w:ascii="仿宋" w:hAnsi="仿宋"/>
          <w:szCs w:val="32"/>
        </w:rPr>
        <w:t>可续期公司债券的每个付息日，发行人可以自行选择将当期利息以及已经递延的所有利息及其孳息推迟至下一个付息日支付，且不受到任何递延支付利息次数的限制；前述利息递延不属于发行人未能按照约定足额支付利息的行为。</w:t>
      </w:r>
    </w:p>
    <w:p>
      <w:pPr>
        <w:spacing w:line="560" w:lineRule="exact"/>
        <w:ind w:firstLine="632" w:firstLineChars="200"/>
        <w:rPr>
          <w:rFonts w:ascii="仿宋" w:hAnsi="仿宋"/>
          <w:szCs w:val="32"/>
        </w:rPr>
      </w:pPr>
      <w:r>
        <w:rPr>
          <w:rFonts w:hint="eastAsia" w:ascii="仿宋" w:hAnsi="仿宋"/>
          <w:szCs w:val="32"/>
        </w:rPr>
        <w:t>发行人递延支付利息的，在延期支付的利息及其孳息未偿付完毕之前不得发生利息递延下的限制事项。利息递延下的限制事项可以包括向普通股股东分红、减少注册资本等情形。</w:t>
      </w:r>
    </w:p>
    <w:p>
      <w:pPr>
        <w:spacing w:line="560" w:lineRule="exact"/>
        <w:ind w:firstLine="632" w:firstLineChars="200"/>
        <w:rPr>
          <w:rFonts w:ascii="仿宋" w:hAnsi="仿宋"/>
          <w:szCs w:val="32"/>
        </w:rPr>
      </w:pPr>
      <w:r>
        <w:rPr>
          <w:rFonts w:hint="eastAsia" w:ascii="仿宋" w:hAnsi="仿宋"/>
          <w:szCs w:val="32"/>
        </w:rPr>
        <w:t>发生强制付息事件的，发行人不得递延支付当期利息和已经递延支付的所有利息及其孳息。强制付息事件可以包括向普通股股东分红、减少注册资本等情形。</w:t>
      </w:r>
    </w:p>
    <w:p>
      <w:pPr>
        <w:spacing w:line="560" w:lineRule="exact"/>
        <w:ind w:firstLine="640"/>
        <w:rPr>
          <w:rFonts w:ascii="仿宋" w:hAnsi="仿宋"/>
          <w:szCs w:val="32"/>
        </w:rPr>
      </w:pPr>
      <w:r>
        <w:rPr>
          <w:rFonts w:hint="eastAsia" w:ascii="仿宋" w:hAnsi="仿宋"/>
          <w:b/>
          <w:szCs w:val="32"/>
        </w:rPr>
        <w:t xml:space="preserve">第二十九条 </w:t>
      </w:r>
      <w:r>
        <w:rPr>
          <w:rFonts w:hint="eastAsia" w:ascii="仿宋" w:hAnsi="仿宋"/>
          <w:szCs w:val="32"/>
        </w:rPr>
        <w:t>发生强制付息事件但发行人未付息，或者发行人递延支付利息后发生利息递延下的限制事项，受托管理人应当自知悉之日起按照规定和约定勤勉尽责履行义务，保障债券持有人的合法权益。</w:t>
      </w:r>
    </w:p>
    <w:p>
      <w:pPr>
        <w:spacing w:line="560" w:lineRule="exact"/>
        <w:ind w:firstLine="640"/>
        <w:rPr>
          <w:rFonts w:ascii="仿宋" w:hAnsi="仿宋"/>
          <w:szCs w:val="32"/>
        </w:rPr>
      </w:pPr>
      <w:r>
        <w:rPr>
          <w:rFonts w:hint="eastAsia" w:ascii="仿宋" w:hAnsi="仿宋"/>
          <w:b/>
          <w:szCs w:val="32"/>
        </w:rPr>
        <w:t xml:space="preserve">第三十条 </w:t>
      </w:r>
      <w:r>
        <w:rPr>
          <w:rFonts w:hint="eastAsia" w:ascii="仿宋" w:hAnsi="仿宋"/>
          <w:szCs w:val="32"/>
        </w:rPr>
        <w:t>发行人决定递延支付利息的，应当不晚于付息日前第10个交易日发布递延支付利息公告。未发布递延支付利息公告的，发行人不得递延支付当期利息。</w:t>
      </w:r>
    </w:p>
    <w:p>
      <w:pPr>
        <w:spacing w:line="560" w:lineRule="exact"/>
        <w:ind w:firstLine="632" w:firstLineChars="200"/>
        <w:rPr>
          <w:rFonts w:ascii="仿宋" w:hAnsi="仿宋"/>
          <w:szCs w:val="32"/>
        </w:rPr>
      </w:pPr>
      <w:r>
        <w:rPr>
          <w:rFonts w:hint="eastAsia" w:ascii="仿宋" w:hAnsi="仿宋"/>
          <w:szCs w:val="32"/>
        </w:rPr>
        <w:t>递延支付利息公告应当披露包括但不限于下列内容：</w:t>
      </w:r>
    </w:p>
    <w:p>
      <w:pPr>
        <w:spacing w:line="560" w:lineRule="exact"/>
        <w:ind w:firstLine="632" w:firstLineChars="200"/>
        <w:rPr>
          <w:rFonts w:ascii="仿宋" w:hAnsi="仿宋"/>
          <w:szCs w:val="32"/>
        </w:rPr>
      </w:pPr>
      <w:r>
        <w:rPr>
          <w:rFonts w:hint="eastAsia" w:ascii="仿宋" w:hAnsi="仿宋"/>
          <w:szCs w:val="32"/>
        </w:rPr>
        <w:t>（一）本期债券的基本情况；</w:t>
      </w:r>
    </w:p>
    <w:p>
      <w:pPr>
        <w:spacing w:line="560" w:lineRule="exact"/>
        <w:ind w:firstLine="632" w:firstLineChars="200"/>
        <w:rPr>
          <w:rFonts w:ascii="仿宋" w:hAnsi="仿宋"/>
          <w:szCs w:val="32"/>
        </w:rPr>
      </w:pPr>
      <w:r>
        <w:rPr>
          <w:rFonts w:hint="eastAsia" w:ascii="仿宋" w:hAnsi="仿宋"/>
          <w:szCs w:val="32"/>
        </w:rPr>
        <w:t>（二）本次利息的付息期间、本次递延支付的利息金额以及全部递延利息金额；</w:t>
      </w:r>
    </w:p>
    <w:p>
      <w:pPr>
        <w:spacing w:line="560" w:lineRule="exact"/>
        <w:ind w:firstLine="632" w:firstLineChars="200"/>
        <w:rPr>
          <w:rFonts w:ascii="仿宋" w:hAnsi="仿宋"/>
          <w:szCs w:val="32"/>
        </w:rPr>
      </w:pPr>
      <w:r>
        <w:rPr>
          <w:rFonts w:hint="eastAsia" w:ascii="仿宋" w:hAnsi="仿宋"/>
          <w:szCs w:val="32"/>
        </w:rPr>
        <w:t>（三）发行人关于递延支付利息符合募集说明书等相关文件约定的声明；</w:t>
      </w:r>
    </w:p>
    <w:p>
      <w:pPr>
        <w:spacing w:line="560" w:lineRule="exact"/>
        <w:ind w:firstLine="632" w:firstLineChars="200"/>
        <w:rPr>
          <w:rFonts w:ascii="仿宋" w:hAnsi="仿宋"/>
          <w:szCs w:val="32"/>
        </w:rPr>
      </w:pPr>
      <w:r>
        <w:rPr>
          <w:rFonts w:hint="eastAsia" w:ascii="仿宋" w:hAnsi="仿宋"/>
          <w:szCs w:val="32"/>
        </w:rPr>
        <w:t>（四）受托管理人出具的关于递延支付利息符合递延支付利息条件的专项意见；</w:t>
      </w:r>
    </w:p>
    <w:p>
      <w:pPr>
        <w:spacing w:line="560" w:lineRule="exact"/>
        <w:ind w:firstLine="632" w:firstLineChars="200"/>
        <w:rPr>
          <w:rFonts w:ascii="仿宋" w:hAnsi="仿宋"/>
          <w:szCs w:val="32"/>
        </w:rPr>
      </w:pPr>
      <w:r>
        <w:rPr>
          <w:rFonts w:hint="eastAsia" w:ascii="仿宋" w:hAnsi="仿宋"/>
          <w:szCs w:val="32"/>
        </w:rPr>
        <w:t>（五）律师事务所出具的关于递延支付利息符合相关法律法规规定的专项法律意见书。</w:t>
      </w:r>
    </w:p>
    <w:p>
      <w:pPr>
        <w:spacing w:line="560" w:lineRule="exact"/>
        <w:ind w:firstLine="640"/>
        <w:rPr>
          <w:rFonts w:ascii="仿宋" w:hAnsi="仿宋"/>
          <w:szCs w:val="32"/>
        </w:rPr>
      </w:pPr>
      <w:r>
        <w:rPr>
          <w:rFonts w:hint="eastAsia" w:ascii="仿宋" w:hAnsi="仿宋"/>
          <w:b/>
          <w:szCs w:val="32"/>
        </w:rPr>
        <w:t xml:space="preserve">第三十一条 </w:t>
      </w:r>
      <w:r>
        <w:rPr>
          <w:rFonts w:hint="eastAsia" w:ascii="仿宋" w:hAnsi="仿宋"/>
          <w:szCs w:val="32"/>
        </w:rPr>
        <w:t>发行人应当于续期选择权行权年度及时披露是否行使续期选择权。发行人决定行使续期选择权的，应当于本次约定的续期权行使日前至少30个交易日，披露续期选择权行权公告。</w:t>
      </w:r>
    </w:p>
    <w:p>
      <w:pPr>
        <w:spacing w:line="560" w:lineRule="exact"/>
        <w:ind w:firstLine="632" w:firstLineChars="200"/>
        <w:rPr>
          <w:rFonts w:ascii="仿宋" w:hAnsi="仿宋"/>
          <w:szCs w:val="32"/>
        </w:rPr>
      </w:pPr>
      <w:r>
        <w:rPr>
          <w:rFonts w:hint="eastAsia" w:ascii="仿宋" w:hAnsi="仿宋"/>
          <w:szCs w:val="32"/>
        </w:rPr>
        <w:t>续期选择权行权公告应当披露下列内容：</w:t>
      </w:r>
    </w:p>
    <w:p>
      <w:pPr>
        <w:spacing w:line="560" w:lineRule="exact"/>
        <w:ind w:firstLine="632" w:firstLineChars="200"/>
        <w:rPr>
          <w:rFonts w:ascii="仿宋" w:hAnsi="仿宋"/>
          <w:szCs w:val="32"/>
        </w:rPr>
      </w:pPr>
      <w:r>
        <w:rPr>
          <w:rFonts w:hint="eastAsia" w:ascii="仿宋" w:hAnsi="仿宋"/>
          <w:szCs w:val="32"/>
        </w:rPr>
        <w:t>（一）本期债券的基本情况；</w:t>
      </w:r>
    </w:p>
    <w:p>
      <w:pPr>
        <w:spacing w:line="560" w:lineRule="exact"/>
        <w:ind w:firstLine="632" w:firstLineChars="200"/>
        <w:rPr>
          <w:rFonts w:ascii="仿宋" w:hAnsi="仿宋"/>
          <w:szCs w:val="32"/>
        </w:rPr>
      </w:pPr>
      <w:r>
        <w:rPr>
          <w:rFonts w:hint="eastAsia" w:ascii="仿宋" w:hAnsi="仿宋"/>
          <w:szCs w:val="32"/>
        </w:rPr>
        <w:t>（二）债券期限的延长时间；</w:t>
      </w:r>
    </w:p>
    <w:p>
      <w:pPr>
        <w:spacing w:line="560" w:lineRule="exact"/>
        <w:ind w:firstLine="632" w:firstLineChars="200"/>
        <w:rPr>
          <w:rFonts w:ascii="仿宋" w:hAnsi="仿宋"/>
          <w:szCs w:val="32"/>
        </w:rPr>
      </w:pPr>
      <w:r>
        <w:rPr>
          <w:rFonts w:hint="eastAsia" w:ascii="仿宋" w:hAnsi="仿宋"/>
          <w:szCs w:val="32"/>
        </w:rPr>
        <w:t>（三）后续存续期内债券的票面利率或者利率计算方法；</w:t>
      </w:r>
    </w:p>
    <w:p>
      <w:pPr>
        <w:spacing w:line="560" w:lineRule="exact"/>
        <w:ind w:firstLine="632" w:firstLineChars="200"/>
        <w:rPr>
          <w:rFonts w:ascii="仿宋" w:hAnsi="仿宋"/>
          <w:szCs w:val="32"/>
        </w:rPr>
      </w:pPr>
      <w:r>
        <w:rPr>
          <w:rFonts w:hint="eastAsia" w:ascii="仿宋" w:hAnsi="仿宋"/>
          <w:szCs w:val="32"/>
        </w:rPr>
        <w:t>（四）本所要求的其他内容。</w:t>
      </w:r>
    </w:p>
    <w:p>
      <w:pPr>
        <w:spacing w:line="560" w:lineRule="exact"/>
        <w:ind w:firstLine="632" w:firstLineChars="200"/>
        <w:rPr>
          <w:rFonts w:ascii="仿宋" w:hAnsi="仿宋"/>
          <w:szCs w:val="32"/>
        </w:rPr>
      </w:pPr>
      <w:r>
        <w:rPr>
          <w:rFonts w:hint="eastAsia" w:ascii="仿宋" w:hAnsi="仿宋"/>
          <w:szCs w:val="32"/>
        </w:rPr>
        <w:t>发行人放弃行使续期选择权的，应当在约定时间到期全额兑付本期债券。</w:t>
      </w:r>
    </w:p>
    <w:p>
      <w:pPr>
        <w:spacing w:line="560" w:lineRule="exact"/>
        <w:ind w:firstLine="640"/>
        <w:rPr>
          <w:rFonts w:ascii="仿宋" w:hAnsi="仿宋"/>
          <w:szCs w:val="32"/>
        </w:rPr>
      </w:pPr>
      <w:r>
        <w:rPr>
          <w:rFonts w:hint="eastAsia" w:ascii="仿宋" w:hAnsi="仿宋"/>
          <w:b/>
          <w:szCs w:val="32"/>
        </w:rPr>
        <w:t xml:space="preserve">第三十二条 </w:t>
      </w:r>
      <w:r>
        <w:rPr>
          <w:rFonts w:hint="eastAsia" w:ascii="仿宋" w:hAnsi="仿宋"/>
          <w:szCs w:val="32"/>
        </w:rPr>
        <w:t>发行人可以根据情况约定可续期公司债券的利率确定和调整机制。利率调整机制可以包括下列方式：</w:t>
      </w:r>
    </w:p>
    <w:p>
      <w:pPr>
        <w:spacing w:line="560" w:lineRule="exact"/>
        <w:ind w:firstLine="632" w:firstLineChars="200"/>
        <w:rPr>
          <w:rFonts w:ascii="仿宋" w:hAnsi="仿宋"/>
          <w:szCs w:val="32"/>
        </w:rPr>
      </w:pPr>
      <w:r>
        <w:rPr>
          <w:rFonts w:hint="eastAsia" w:ascii="仿宋" w:hAnsi="仿宋"/>
          <w:szCs w:val="32"/>
        </w:rPr>
        <w:t>（一）约定重新定价周期适用的票面利率调整为当期基准利率加上基本利差再加上或者减去若干个基点；</w:t>
      </w:r>
    </w:p>
    <w:p>
      <w:pPr>
        <w:spacing w:line="560" w:lineRule="exact"/>
        <w:ind w:firstLine="632" w:firstLineChars="200"/>
        <w:rPr>
          <w:rFonts w:ascii="仿宋" w:hAnsi="仿宋"/>
          <w:szCs w:val="32"/>
        </w:rPr>
      </w:pPr>
      <w:r>
        <w:rPr>
          <w:rFonts w:hint="eastAsia" w:ascii="仿宋" w:hAnsi="仿宋"/>
          <w:szCs w:val="32"/>
        </w:rPr>
        <w:t>（二）约定重新定价周期适用的票面利率由原固定利率调整为浮动利率；</w:t>
      </w:r>
    </w:p>
    <w:p>
      <w:pPr>
        <w:spacing w:line="560" w:lineRule="exact"/>
        <w:ind w:firstLine="632" w:firstLineChars="200"/>
        <w:rPr>
          <w:rFonts w:ascii="仿宋" w:hAnsi="仿宋"/>
          <w:szCs w:val="32"/>
        </w:rPr>
      </w:pPr>
      <w:r>
        <w:rPr>
          <w:rFonts w:hint="eastAsia" w:ascii="仿宋" w:hAnsi="仿宋"/>
          <w:szCs w:val="32"/>
        </w:rPr>
        <w:t>（三）约定其他调整方式。</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第四章 可交换公司债券</w:t>
      </w:r>
    </w:p>
    <w:p>
      <w:pPr>
        <w:spacing w:line="560" w:lineRule="exact"/>
        <w:ind w:firstLine="640"/>
        <w:rPr>
          <w:rFonts w:ascii="仿宋" w:hAnsi="仿宋"/>
          <w:szCs w:val="32"/>
        </w:rPr>
      </w:pPr>
      <w:r>
        <w:rPr>
          <w:rFonts w:hint="eastAsia" w:ascii="仿宋" w:hAnsi="仿宋"/>
          <w:b/>
          <w:szCs w:val="32"/>
        </w:rPr>
        <w:t xml:space="preserve">第三十三条 </w:t>
      </w:r>
      <w:r>
        <w:rPr>
          <w:rFonts w:hint="eastAsia" w:ascii="仿宋" w:hAnsi="仿宋"/>
          <w:szCs w:val="32"/>
        </w:rPr>
        <w:t>本指引所</w:t>
      </w:r>
      <w:r>
        <w:rPr>
          <w:rFonts w:ascii="仿宋" w:hAnsi="仿宋"/>
          <w:szCs w:val="32"/>
        </w:rPr>
        <w:t>称可交换公司债券</w:t>
      </w:r>
      <w:r>
        <w:rPr>
          <w:rFonts w:hint="eastAsia" w:ascii="仿宋" w:hAnsi="仿宋"/>
          <w:szCs w:val="32"/>
        </w:rPr>
        <w:t>，</w:t>
      </w:r>
      <w:r>
        <w:rPr>
          <w:rFonts w:ascii="仿宋" w:hAnsi="仿宋"/>
          <w:szCs w:val="32"/>
        </w:rPr>
        <w:t>是指上市公司的股东发行</w:t>
      </w:r>
      <w:r>
        <w:rPr>
          <w:rFonts w:hint="eastAsia" w:ascii="仿宋" w:hAnsi="仿宋"/>
          <w:szCs w:val="32"/>
        </w:rPr>
        <w:t>的</w:t>
      </w:r>
      <w:r>
        <w:rPr>
          <w:rFonts w:ascii="仿宋" w:hAnsi="仿宋"/>
          <w:szCs w:val="32"/>
        </w:rPr>
        <w:t>可以在一定期限内依据约定的条件交换成该股东所持有的上市公司股份的公司债券。</w:t>
      </w:r>
    </w:p>
    <w:p>
      <w:pPr>
        <w:spacing w:line="560" w:lineRule="exact"/>
        <w:ind w:firstLine="640"/>
        <w:rPr>
          <w:rFonts w:ascii="仿宋" w:hAnsi="仿宋"/>
          <w:szCs w:val="32"/>
        </w:rPr>
      </w:pPr>
      <w:r>
        <w:rPr>
          <w:rFonts w:hint="eastAsia" w:ascii="仿宋" w:hAnsi="仿宋"/>
          <w:b/>
          <w:szCs w:val="32"/>
        </w:rPr>
        <w:t xml:space="preserve">第三十四条 </w:t>
      </w:r>
      <w:r>
        <w:rPr>
          <w:rFonts w:hint="eastAsia" w:ascii="仿宋" w:hAnsi="仿宋"/>
          <w:szCs w:val="32"/>
        </w:rPr>
        <w:t>发行人申请</w:t>
      </w:r>
      <w:r>
        <w:rPr>
          <w:rFonts w:ascii="仿宋" w:hAnsi="仿宋"/>
          <w:szCs w:val="32"/>
        </w:rPr>
        <w:t>公开发行可交换公司</w:t>
      </w:r>
      <w:r>
        <w:rPr>
          <w:rFonts w:hint="eastAsia" w:ascii="仿宋" w:hAnsi="仿宋"/>
          <w:szCs w:val="32"/>
        </w:rPr>
        <w:t>债券的</w:t>
      </w:r>
      <w:r>
        <w:rPr>
          <w:rFonts w:ascii="仿宋" w:hAnsi="仿宋"/>
          <w:szCs w:val="32"/>
        </w:rPr>
        <w:t>，</w:t>
      </w:r>
      <w:r>
        <w:rPr>
          <w:rFonts w:hint="eastAsia" w:ascii="仿宋" w:hAnsi="仿宋"/>
          <w:szCs w:val="32"/>
        </w:rPr>
        <w:t>发行人</w:t>
      </w:r>
      <w:r>
        <w:rPr>
          <w:rFonts w:ascii="仿宋" w:hAnsi="仿宋"/>
          <w:szCs w:val="32"/>
        </w:rPr>
        <w:t>、预备用于交换的</w:t>
      </w:r>
      <w:r>
        <w:rPr>
          <w:rFonts w:hint="eastAsia" w:ascii="仿宋" w:hAnsi="仿宋"/>
          <w:szCs w:val="32"/>
        </w:rPr>
        <w:t>上市</w:t>
      </w:r>
      <w:r>
        <w:rPr>
          <w:rFonts w:ascii="仿宋" w:hAnsi="仿宋"/>
          <w:szCs w:val="32"/>
        </w:rPr>
        <w:t>公司股票</w:t>
      </w:r>
      <w:r>
        <w:rPr>
          <w:rFonts w:hint="eastAsia" w:ascii="仿宋" w:hAnsi="仿宋"/>
          <w:szCs w:val="32"/>
        </w:rPr>
        <w:t>、</w:t>
      </w:r>
      <w:r>
        <w:rPr>
          <w:rFonts w:ascii="仿宋" w:hAnsi="仿宋"/>
          <w:szCs w:val="32"/>
        </w:rPr>
        <w:t>可交换公司债券期限</w:t>
      </w:r>
      <w:r>
        <w:rPr>
          <w:rFonts w:hint="eastAsia" w:ascii="仿宋" w:hAnsi="仿宋"/>
          <w:szCs w:val="32"/>
        </w:rPr>
        <w:t>以及</w:t>
      </w:r>
      <w:r>
        <w:rPr>
          <w:rFonts w:ascii="仿宋" w:hAnsi="仿宋"/>
          <w:szCs w:val="32"/>
        </w:rPr>
        <w:t>换股</w:t>
      </w:r>
      <w:r>
        <w:rPr>
          <w:rFonts w:hint="eastAsia" w:ascii="仿宋" w:hAnsi="仿宋"/>
          <w:szCs w:val="32"/>
        </w:rPr>
        <w:t>期限、换股价格的</w:t>
      </w:r>
      <w:r>
        <w:rPr>
          <w:rFonts w:ascii="仿宋" w:hAnsi="仿宋"/>
          <w:szCs w:val="32"/>
        </w:rPr>
        <w:t>确定</w:t>
      </w:r>
      <w:r>
        <w:rPr>
          <w:rFonts w:hint="eastAsia" w:ascii="仿宋" w:hAnsi="仿宋"/>
          <w:szCs w:val="32"/>
        </w:rPr>
        <w:t>、调整以及</w:t>
      </w:r>
      <w:r>
        <w:rPr>
          <w:rFonts w:ascii="仿宋" w:hAnsi="仿宋"/>
          <w:szCs w:val="32"/>
        </w:rPr>
        <w:t>修正机制、</w:t>
      </w:r>
      <w:r>
        <w:rPr>
          <w:rFonts w:hint="eastAsia" w:ascii="仿宋" w:hAnsi="仿宋"/>
          <w:szCs w:val="32"/>
        </w:rPr>
        <w:t>担保事项等应当</w:t>
      </w:r>
      <w:r>
        <w:rPr>
          <w:rFonts w:ascii="仿宋" w:hAnsi="仿宋"/>
          <w:szCs w:val="32"/>
        </w:rPr>
        <w:t>符合</w:t>
      </w:r>
      <w:r>
        <w:rPr>
          <w:rFonts w:hint="eastAsia" w:ascii="仿宋" w:hAnsi="仿宋"/>
          <w:szCs w:val="32"/>
        </w:rPr>
        <w:t>中国证监会《</w:t>
      </w:r>
      <w:r>
        <w:rPr>
          <w:rFonts w:ascii="仿宋" w:hAnsi="仿宋"/>
          <w:szCs w:val="32"/>
        </w:rPr>
        <w:t>上市公司股东发行可交换公司债券试行规定</w:t>
      </w:r>
      <w:r>
        <w:rPr>
          <w:rFonts w:hint="eastAsia" w:ascii="仿宋" w:hAnsi="仿宋"/>
          <w:szCs w:val="32"/>
        </w:rPr>
        <w:t>》的规定。</w:t>
      </w:r>
    </w:p>
    <w:p>
      <w:pPr>
        <w:spacing w:line="560" w:lineRule="exact"/>
        <w:ind w:firstLine="640"/>
        <w:rPr>
          <w:rFonts w:ascii="仿宋" w:hAnsi="仿宋"/>
          <w:szCs w:val="32"/>
        </w:rPr>
      </w:pPr>
      <w:r>
        <w:rPr>
          <w:rFonts w:hint="eastAsia" w:ascii="仿宋" w:hAnsi="仿宋"/>
          <w:b/>
          <w:szCs w:val="32"/>
        </w:rPr>
        <w:t xml:space="preserve">第三十五条 </w:t>
      </w:r>
      <w:r>
        <w:rPr>
          <w:rFonts w:hint="eastAsia" w:ascii="仿宋" w:hAnsi="仿宋"/>
          <w:szCs w:val="32"/>
        </w:rPr>
        <w:t>发行人</w:t>
      </w:r>
      <w:r>
        <w:rPr>
          <w:rFonts w:ascii="仿宋" w:hAnsi="仿宋"/>
          <w:szCs w:val="32"/>
        </w:rPr>
        <w:t>申请非公开发行可交换公司债券</w:t>
      </w:r>
      <w:r>
        <w:rPr>
          <w:rFonts w:hint="eastAsia" w:ascii="仿宋" w:hAnsi="仿宋"/>
          <w:szCs w:val="32"/>
        </w:rPr>
        <w:t>应当</w:t>
      </w:r>
      <w:r>
        <w:rPr>
          <w:rFonts w:ascii="仿宋" w:hAnsi="仿宋"/>
          <w:szCs w:val="32"/>
        </w:rPr>
        <w:t>符合下列</w:t>
      </w:r>
      <w:r>
        <w:rPr>
          <w:rFonts w:hint="eastAsia" w:ascii="仿宋" w:hAnsi="仿宋"/>
          <w:szCs w:val="32"/>
        </w:rPr>
        <w:t>要求</w:t>
      </w:r>
      <w:r>
        <w:rPr>
          <w:rFonts w:ascii="仿宋" w:hAnsi="仿宋"/>
          <w:szCs w:val="32"/>
        </w:rPr>
        <w:t>：</w:t>
      </w:r>
    </w:p>
    <w:p>
      <w:pPr>
        <w:spacing w:line="560" w:lineRule="exact"/>
        <w:ind w:firstLine="632" w:firstLineChars="200"/>
        <w:rPr>
          <w:rFonts w:ascii="仿宋" w:hAnsi="仿宋"/>
          <w:szCs w:val="30"/>
        </w:rPr>
      </w:pPr>
      <w:r>
        <w:rPr>
          <w:rFonts w:hint="eastAsia" w:ascii="仿宋" w:hAnsi="仿宋"/>
          <w:szCs w:val="30"/>
        </w:rPr>
        <w:t>（一）预备用于交换的股票在债券发行前，除为本次发行设定担保外，不存在被司法冻结等其他权利受限情形。</w:t>
      </w:r>
    </w:p>
    <w:p>
      <w:pPr>
        <w:spacing w:line="560" w:lineRule="exact"/>
        <w:ind w:firstLine="632" w:firstLineChars="200"/>
        <w:rPr>
          <w:rFonts w:ascii="仿宋" w:hAnsi="仿宋"/>
          <w:szCs w:val="30"/>
        </w:rPr>
      </w:pPr>
      <w:r>
        <w:rPr>
          <w:rFonts w:hint="eastAsia" w:ascii="仿宋" w:hAnsi="仿宋"/>
          <w:szCs w:val="30"/>
        </w:rPr>
        <w:t>（二）预备用于交换的股票应当不存在限售条件，且股东在约定的换股期间转让该部分股票不违反发行人对上市公司、投资者以及本所等的承诺。</w:t>
      </w:r>
    </w:p>
    <w:p>
      <w:pPr>
        <w:spacing w:line="560" w:lineRule="exact"/>
        <w:ind w:firstLine="632" w:firstLineChars="200"/>
        <w:rPr>
          <w:rFonts w:ascii="仿宋" w:hAnsi="仿宋"/>
          <w:szCs w:val="30"/>
        </w:rPr>
      </w:pPr>
      <w:r>
        <w:rPr>
          <w:rFonts w:hint="eastAsia" w:ascii="仿宋" w:hAnsi="仿宋"/>
          <w:szCs w:val="30"/>
        </w:rPr>
        <w:t>（三）发行人应当按照约定在发行前将预备用于交换的股票等设定担保，设定担保的股票数量应当不少于债券持有人可交换股票数量。具体担保物范围、初始担保比例、维持担保比例、追加担保机制以及违约处置等事项由当事人协商并在募集说明书中进行约定。</w:t>
      </w:r>
    </w:p>
    <w:p>
      <w:pPr>
        <w:spacing w:line="560" w:lineRule="exact"/>
        <w:ind w:firstLine="632" w:firstLineChars="200"/>
        <w:rPr>
          <w:rFonts w:ascii="仿宋" w:hAnsi="仿宋"/>
          <w:szCs w:val="30"/>
        </w:rPr>
      </w:pPr>
      <w:r>
        <w:rPr>
          <w:rFonts w:hint="eastAsia" w:ascii="仿宋" w:hAnsi="仿宋"/>
          <w:szCs w:val="30"/>
        </w:rPr>
        <w:t>（四）可交换公司债券初始换股价格应当不低于债券募集说明书披露日前1个交易日标的股票收盘价以及前20个交易日收盘价的均价。</w:t>
      </w:r>
    </w:p>
    <w:p>
      <w:pPr>
        <w:spacing w:line="560" w:lineRule="exact"/>
        <w:ind w:firstLine="632" w:firstLineChars="200"/>
        <w:rPr>
          <w:rFonts w:ascii="仿宋" w:hAnsi="仿宋"/>
          <w:szCs w:val="30"/>
        </w:rPr>
      </w:pPr>
      <w:r>
        <w:rPr>
          <w:rFonts w:hint="eastAsia" w:ascii="仿宋" w:hAnsi="仿宋"/>
          <w:szCs w:val="30"/>
        </w:rPr>
        <w:t>（五）可交换公司债券具体换股期限、换股价格以及价格调整和修正机制、具体质押比例、维持担保比例、追加担保机制、换股风险与补偿机制以及违约处置等事项由当事人进行协商，并在募集说明书中约定。</w:t>
      </w:r>
    </w:p>
    <w:p>
      <w:pPr>
        <w:spacing w:line="560" w:lineRule="exact"/>
        <w:ind w:firstLine="632" w:firstLineChars="200"/>
        <w:rPr>
          <w:rFonts w:ascii="仿宋" w:hAnsi="仿宋"/>
          <w:szCs w:val="30"/>
        </w:rPr>
      </w:pPr>
      <w:r>
        <w:rPr>
          <w:rFonts w:hint="eastAsia" w:ascii="仿宋" w:hAnsi="仿宋"/>
          <w:szCs w:val="30"/>
        </w:rPr>
        <w:t>（六）本所其他相关要求。</w:t>
      </w:r>
    </w:p>
    <w:p>
      <w:pPr>
        <w:spacing w:line="560" w:lineRule="exact"/>
        <w:ind w:firstLine="640"/>
        <w:rPr>
          <w:rFonts w:ascii="仿宋" w:hAnsi="仿宋"/>
          <w:szCs w:val="32"/>
        </w:rPr>
      </w:pPr>
      <w:r>
        <w:rPr>
          <w:rFonts w:hint="eastAsia" w:ascii="仿宋" w:hAnsi="仿宋"/>
          <w:b/>
          <w:szCs w:val="32"/>
        </w:rPr>
        <w:t xml:space="preserve">第三十六条 </w:t>
      </w:r>
      <w:r>
        <w:rPr>
          <w:rFonts w:hint="eastAsia" w:ascii="仿宋" w:hAnsi="仿宋"/>
          <w:szCs w:val="32"/>
        </w:rPr>
        <w:t>发行人申请发行可交换公司债券的，应当提交可交换公司债券发行人证券账户信息备案表、发行人和主承销商关于标的股票相关事项承诺书、</w:t>
      </w:r>
      <w:r>
        <w:rPr>
          <w:rFonts w:ascii="仿宋" w:hAnsi="仿宋"/>
          <w:szCs w:val="32"/>
        </w:rPr>
        <w:t>用于交换的股票信托及担保账户证券持有信息表</w:t>
      </w:r>
      <w:r>
        <w:rPr>
          <w:rFonts w:hint="eastAsia" w:ascii="仿宋" w:hAnsi="仿宋"/>
          <w:szCs w:val="32"/>
        </w:rPr>
        <w:t>以及</w:t>
      </w:r>
      <w:r>
        <w:rPr>
          <w:rFonts w:ascii="仿宋" w:hAnsi="仿宋"/>
          <w:szCs w:val="32"/>
        </w:rPr>
        <w:t>可交债标的股票质押登记证明</w:t>
      </w:r>
      <w:r>
        <w:rPr>
          <w:rFonts w:hint="eastAsia" w:ascii="仿宋" w:hAnsi="仿宋"/>
          <w:szCs w:val="32"/>
        </w:rPr>
        <w:t>（如有）。</w:t>
      </w:r>
    </w:p>
    <w:p>
      <w:pPr>
        <w:spacing w:line="560" w:lineRule="exact"/>
        <w:ind w:firstLine="640"/>
        <w:rPr>
          <w:rFonts w:ascii="仿宋" w:hAnsi="仿宋"/>
          <w:szCs w:val="32"/>
        </w:rPr>
      </w:pPr>
      <w:r>
        <w:rPr>
          <w:rFonts w:hint="eastAsia" w:ascii="仿宋" w:hAnsi="仿宋"/>
          <w:b/>
          <w:szCs w:val="32"/>
        </w:rPr>
        <w:t xml:space="preserve">第三十七条 </w:t>
      </w:r>
      <w:r>
        <w:rPr>
          <w:rFonts w:hint="eastAsia" w:ascii="仿宋" w:hAnsi="仿宋"/>
          <w:szCs w:val="32"/>
        </w:rPr>
        <w:t>公开发行的可交换公司债券自发行结束之日起</w:t>
      </w:r>
      <w:r>
        <w:rPr>
          <w:rFonts w:ascii="仿宋" w:hAnsi="仿宋"/>
          <w:szCs w:val="32"/>
        </w:rPr>
        <w:t>12个月后</w:t>
      </w:r>
      <w:r>
        <w:rPr>
          <w:rFonts w:hint="eastAsia" w:ascii="仿宋" w:hAnsi="仿宋"/>
          <w:szCs w:val="32"/>
        </w:rPr>
        <w:t>，非公开发行的可交换公司债券自发行结束之日起</w:t>
      </w:r>
      <w:r>
        <w:rPr>
          <w:rFonts w:ascii="仿宋" w:hAnsi="仿宋"/>
          <w:szCs w:val="32"/>
        </w:rPr>
        <w:t>6个月后，债券持有人</w:t>
      </w:r>
      <w:r>
        <w:rPr>
          <w:rFonts w:hint="eastAsia" w:ascii="仿宋" w:hAnsi="仿宋"/>
          <w:szCs w:val="32"/>
        </w:rPr>
        <w:t>可以按照募集说明书的约定选择是否交换为预备用于交换的股票。</w:t>
      </w:r>
    </w:p>
    <w:p>
      <w:pPr>
        <w:spacing w:line="560" w:lineRule="exact"/>
        <w:ind w:firstLine="640"/>
        <w:rPr>
          <w:rFonts w:ascii="仿宋" w:hAnsi="仿宋"/>
          <w:szCs w:val="32"/>
        </w:rPr>
      </w:pPr>
      <w:r>
        <w:rPr>
          <w:rFonts w:hint="eastAsia" w:ascii="仿宋" w:hAnsi="仿宋"/>
          <w:b/>
          <w:szCs w:val="32"/>
        </w:rPr>
        <w:t xml:space="preserve">第三十八条 </w:t>
      </w:r>
      <w:r>
        <w:rPr>
          <w:rFonts w:hint="eastAsia" w:ascii="仿宋" w:hAnsi="仿宋"/>
          <w:szCs w:val="32"/>
        </w:rPr>
        <w:t>发行人因为调整或者修正换股价格等导致预备用于交换的股票数量少于未偿还可交换公司债券全部换股所需股票数量的，应当在换股价格调整日之前补足，同时就该等股票设置担保。</w:t>
      </w:r>
    </w:p>
    <w:p>
      <w:pPr>
        <w:spacing w:line="560" w:lineRule="exact"/>
        <w:ind w:firstLine="632" w:firstLineChars="200"/>
        <w:rPr>
          <w:rFonts w:ascii="仿宋" w:hAnsi="仿宋"/>
          <w:szCs w:val="30"/>
        </w:rPr>
      </w:pPr>
      <w:r>
        <w:rPr>
          <w:rFonts w:hint="eastAsia" w:ascii="仿宋" w:hAnsi="仿宋"/>
          <w:szCs w:val="30"/>
        </w:rPr>
        <w:t>发行人应当在募集说明书中约定，预备用于交换的股票数量少于未偿还可交换公司债券全部换股所需股票数量而发行人又无法补足的，债券持有人可以在一定期限内行使回售权，或者由发行人作出其他补救安排。</w:t>
      </w:r>
    </w:p>
    <w:p>
      <w:pPr>
        <w:spacing w:line="560" w:lineRule="exact"/>
        <w:ind w:firstLine="640"/>
        <w:rPr>
          <w:rFonts w:ascii="仿宋" w:hAnsi="仿宋"/>
          <w:szCs w:val="32"/>
        </w:rPr>
      </w:pPr>
      <w:r>
        <w:rPr>
          <w:rFonts w:hint="eastAsia" w:ascii="仿宋" w:hAnsi="仿宋"/>
          <w:b/>
          <w:szCs w:val="32"/>
        </w:rPr>
        <w:t xml:space="preserve">第三十九条 </w:t>
      </w:r>
      <w:r>
        <w:rPr>
          <w:rFonts w:hint="eastAsia" w:ascii="仿宋" w:hAnsi="仿宋"/>
          <w:szCs w:val="32"/>
        </w:rPr>
        <w:t>换股期间，预备用于交换的股票出现司法冻结、扣划或者其他影响投资者换股权利的，发行人应当向本所申请暂停可交换公司债券换股。发行人未及时申请暂停可交换公司债券换股的，本所可以视情况暂停提供换股服务。</w:t>
      </w:r>
    </w:p>
    <w:p>
      <w:pPr>
        <w:spacing w:line="560" w:lineRule="exact"/>
        <w:ind w:firstLine="640"/>
        <w:rPr>
          <w:rFonts w:ascii="仿宋" w:hAnsi="仿宋"/>
          <w:szCs w:val="32"/>
        </w:rPr>
      </w:pPr>
      <w:r>
        <w:rPr>
          <w:rFonts w:hint="eastAsia" w:ascii="仿宋" w:hAnsi="仿宋"/>
          <w:b/>
          <w:szCs w:val="32"/>
        </w:rPr>
        <w:t xml:space="preserve">第四十条 </w:t>
      </w:r>
      <w:r>
        <w:rPr>
          <w:rFonts w:hint="eastAsia" w:ascii="仿宋" w:hAnsi="仿宋"/>
          <w:szCs w:val="32"/>
        </w:rPr>
        <w:t>发行人或者预备用于交换的股票出现其他影响投资者换股权利事项的，本所可以视情况暂停或者终止可交换公司债券换股。</w:t>
      </w:r>
    </w:p>
    <w:p>
      <w:pPr>
        <w:spacing w:line="560" w:lineRule="exact"/>
        <w:ind w:firstLine="640"/>
        <w:rPr>
          <w:rFonts w:ascii="仿宋" w:hAnsi="仿宋"/>
          <w:szCs w:val="32"/>
        </w:rPr>
      </w:pPr>
      <w:r>
        <w:rPr>
          <w:rFonts w:hint="eastAsia" w:ascii="仿宋" w:hAnsi="仿宋"/>
          <w:b/>
          <w:szCs w:val="32"/>
        </w:rPr>
        <w:t xml:space="preserve">第四十一条 </w:t>
      </w:r>
      <w:r>
        <w:rPr>
          <w:rFonts w:hint="eastAsia" w:ascii="仿宋" w:hAnsi="仿宋"/>
          <w:szCs w:val="32"/>
        </w:rPr>
        <w:t>因为发行人未及时补足预备用于交换的股票或者预备用于交换的股票出现司法冻结等而导致投资者换股失败的，由发行人承担所有责任。</w:t>
      </w:r>
    </w:p>
    <w:p>
      <w:pPr>
        <w:spacing w:line="560" w:lineRule="exact"/>
        <w:ind w:firstLine="640"/>
        <w:rPr>
          <w:rFonts w:ascii="仿宋" w:hAnsi="仿宋"/>
          <w:szCs w:val="32"/>
        </w:rPr>
      </w:pPr>
      <w:r>
        <w:rPr>
          <w:rFonts w:hint="eastAsia" w:ascii="仿宋" w:hAnsi="仿宋"/>
          <w:b/>
          <w:szCs w:val="32"/>
        </w:rPr>
        <w:t xml:space="preserve">第四十二条 </w:t>
      </w:r>
      <w:r>
        <w:rPr>
          <w:rFonts w:hint="eastAsia" w:ascii="仿宋" w:hAnsi="仿宋"/>
          <w:szCs w:val="32"/>
        </w:rPr>
        <w:t>可交换公司债券存续期内，发行人应当按照本所公司债券相关规则规定披露定期报告，并在定期报告中披露以下信息：</w:t>
      </w:r>
    </w:p>
    <w:p>
      <w:pPr>
        <w:pStyle w:val="29"/>
        <w:spacing w:line="560" w:lineRule="exact"/>
        <w:ind w:firstLine="632"/>
        <w:rPr>
          <w:rFonts w:ascii="仿宋" w:hAnsi="仿宋" w:eastAsia="仿宋"/>
          <w:sz w:val="32"/>
          <w:szCs w:val="32"/>
        </w:rPr>
      </w:pPr>
      <w:r>
        <w:rPr>
          <w:rFonts w:hint="eastAsia" w:ascii="仿宋" w:hAnsi="仿宋" w:eastAsia="仿宋"/>
          <w:sz w:val="32"/>
          <w:szCs w:val="32"/>
        </w:rPr>
        <w:t xml:space="preserve">（一）报告期内换股价格调整或者修正情况，经调整或者修正后的最新换股价格； </w:t>
      </w:r>
    </w:p>
    <w:p>
      <w:pPr>
        <w:pStyle w:val="29"/>
        <w:spacing w:line="560" w:lineRule="exact"/>
        <w:ind w:firstLine="632"/>
        <w:rPr>
          <w:rFonts w:ascii="仿宋" w:hAnsi="仿宋" w:eastAsia="仿宋"/>
          <w:sz w:val="32"/>
          <w:szCs w:val="32"/>
        </w:rPr>
      </w:pPr>
      <w:r>
        <w:rPr>
          <w:rFonts w:hint="eastAsia" w:ascii="仿宋" w:hAnsi="仿宋" w:eastAsia="仿宋"/>
          <w:sz w:val="32"/>
          <w:szCs w:val="32"/>
        </w:rPr>
        <w:t>（二）截至报告期末可交换公司债券的累计换股情况；</w:t>
      </w:r>
    </w:p>
    <w:p>
      <w:pPr>
        <w:pStyle w:val="29"/>
        <w:spacing w:line="560" w:lineRule="exact"/>
        <w:ind w:firstLine="632"/>
        <w:rPr>
          <w:rFonts w:ascii="仿宋" w:hAnsi="仿宋" w:eastAsia="仿宋"/>
          <w:sz w:val="32"/>
          <w:szCs w:val="32"/>
        </w:rPr>
      </w:pPr>
      <w:r>
        <w:rPr>
          <w:rFonts w:hint="eastAsia" w:ascii="仿宋" w:hAnsi="仿宋" w:eastAsia="仿宋"/>
          <w:sz w:val="32"/>
          <w:szCs w:val="32"/>
        </w:rPr>
        <w:t>（三）报告期末预备用于交换的股票市值与可交换公司债券余额的比例；</w:t>
      </w:r>
    </w:p>
    <w:p>
      <w:pPr>
        <w:pStyle w:val="29"/>
        <w:spacing w:line="560" w:lineRule="exact"/>
        <w:ind w:firstLine="632"/>
        <w:rPr>
          <w:rFonts w:ascii="仿宋" w:hAnsi="仿宋" w:eastAsia="仿宋"/>
          <w:sz w:val="32"/>
          <w:szCs w:val="32"/>
        </w:rPr>
      </w:pPr>
      <w:r>
        <w:rPr>
          <w:rFonts w:hint="eastAsia" w:ascii="仿宋" w:hAnsi="仿宋" w:eastAsia="仿宋"/>
          <w:sz w:val="32"/>
          <w:szCs w:val="32"/>
        </w:rPr>
        <w:t>（四）报告期内可交换公司债券赎回及回售情况（如有）；</w:t>
      </w:r>
    </w:p>
    <w:p>
      <w:pPr>
        <w:pStyle w:val="29"/>
        <w:spacing w:line="560" w:lineRule="exact"/>
        <w:ind w:firstLine="640" w:firstLineChars="0"/>
        <w:rPr>
          <w:rFonts w:ascii="仿宋" w:hAnsi="仿宋" w:eastAsia="仿宋"/>
          <w:sz w:val="32"/>
          <w:szCs w:val="32"/>
        </w:rPr>
      </w:pPr>
      <w:r>
        <w:rPr>
          <w:rFonts w:hint="eastAsia" w:ascii="仿宋" w:hAnsi="仿宋" w:eastAsia="仿宋"/>
          <w:sz w:val="32"/>
          <w:szCs w:val="32"/>
        </w:rPr>
        <w:t>（五）本所规定的其他事项。</w:t>
      </w:r>
    </w:p>
    <w:p>
      <w:pPr>
        <w:spacing w:line="560" w:lineRule="exact"/>
        <w:ind w:firstLine="640"/>
        <w:rPr>
          <w:rFonts w:ascii="仿宋" w:hAnsi="仿宋"/>
          <w:szCs w:val="32"/>
        </w:rPr>
      </w:pPr>
      <w:r>
        <w:rPr>
          <w:rFonts w:hint="eastAsia" w:ascii="仿宋" w:hAnsi="仿宋"/>
          <w:b/>
          <w:szCs w:val="32"/>
        </w:rPr>
        <w:t xml:space="preserve">第四十三条 </w:t>
      </w:r>
      <w:r>
        <w:rPr>
          <w:rFonts w:hint="eastAsia" w:ascii="仿宋" w:hAnsi="仿宋"/>
          <w:szCs w:val="32"/>
        </w:rPr>
        <w:t>可交换公司债券存续期内，发行人出现公司债券相关规则规定的重大事项以及下列对投资者作出投资决策有重大影响情形的，应当按照本所相关规定披露临时报告：</w:t>
      </w:r>
    </w:p>
    <w:p>
      <w:pPr>
        <w:spacing w:line="560" w:lineRule="exact"/>
        <w:ind w:firstLine="632" w:firstLineChars="200"/>
        <w:rPr>
          <w:rFonts w:ascii="仿宋" w:hAnsi="仿宋"/>
          <w:szCs w:val="30"/>
        </w:rPr>
      </w:pPr>
      <w:r>
        <w:rPr>
          <w:rFonts w:hint="eastAsia" w:ascii="仿宋" w:hAnsi="仿宋"/>
          <w:szCs w:val="30"/>
        </w:rPr>
        <w:t>（一）预备用于交换的股票的上市公司发行新股、送股、分立或者其他原因引起股份变动，需要调整换股价格，或者依据募集说明书约定的修正原则修正换股价格；</w:t>
      </w:r>
    </w:p>
    <w:p>
      <w:pPr>
        <w:spacing w:line="560" w:lineRule="exact"/>
        <w:ind w:firstLine="632" w:firstLineChars="200"/>
        <w:rPr>
          <w:rFonts w:ascii="仿宋" w:hAnsi="仿宋"/>
          <w:szCs w:val="30"/>
        </w:rPr>
      </w:pPr>
      <w:r>
        <w:rPr>
          <w:rFonts w:hint="eastAsia" w:ascii="仿宋" w:hAnsi="仿宋"/>
          <w:szCs w:val="30"/>
        </w:rPr>
        <w:t>（二）预备用于交换的股票发生重大变化，包括但不限于被风险警示、终止上市等；</w:t>
      </w:r>
    </w:p>
    <w:p>
      <w:pPr>
        <w:spacing w:line="560" w:lineRule="exact"/>
        <w:ind w:firstLine="632" w:firstLineChars="200"/>
        <w:rPr>
          <w:rFonts w:ascii="仿宋" w:hAnsi="仿宋"/>
          <w:szCs w:val="30"/>
        </w:rPr>
      </w:pPr>
      <w:r>
        <w:rPr>
          <w:rFonts w:hint="eastAsia" w:ascii="仿宋" w:hAnsi="仿宋"/>
          <w:szCs w:val="30"/>
        </w:rPr>
        <w:t>（三）发行人预备用于交换的股票出现司法冻结、扣划或者其他权利瑕疵；</w:t>
      </w:r>
    </w:p>
    <w:p>
      <w:pPr>
        <w:spacing w:line="560" w:lineRule="exact"/>
        <w:ind w:firstLine="632" w:firstLineChars="200"/>
        <w:rPr>
          <w:rFonts w:ascii="仿宋" w:hAnsi="仿宋"/>
          <w:szCs w:val="30"/>
        </w:rPr>
      </w:pPr>
      <w:r>
        <w:rPr>
          <w:rFonts w:hint="eastAsia" w:ascii="仿宋" w:hAnsi="仿宋"/>
          <w:szCs w:val="30"/>
        </w:rPr>
        <w:t>（四）预备用于交换的股票市值出现重大不利变化；</w:t>
      </w:r>
    </w:p>
    <w:p>
      <w:pPr>
        <w:spacing w:line="560" w:lineRule="exact"/>
        <w:ind w:firstLine="632" w:firstLineChars="200"/>
        <w:rPr>
          <w:rFonts w:ascii="仿宋" w:hAnsi="仿宋"/>
          <w:szCs w:val="30"/>
        </w:rPr>
      </w:pPr>
      <w:r>
        <w:rPr>
          <w:rFonts w:hint="eastAsia" w:ascii="仿宋" w:hAnsi="仿宋"/>
          <w:szCs w:val="30"/>
        </w:rPr>
        <w:t>（五）中国证监会和本所规定的其他情形。</w:t>
      </w:r>
    </w:p>
    <w:p>
      <w:pPr>
        <w:spacing w:line="560" w:lineRule="exact"/>
        <w:ind w:firstLine="640"/>
        <w:rPr>
          <w:rFonts w:ascii="仿宋" w:hAnsi="仿宋"/>
          <w:szCs w:val="32"/>
        </w:rPr>
      </w:pPr>
      <w:r>
        <w:rPr>
          <w:rFonts w:hint="eastAsia" w:ascii="仿宋" w:hAnsi="仿宋"/>
          <w:b/>
          <w:szCs w:val="32"/>
        </w:rPr>
        <w:t xml:space="preserve">第四十四条 </w:t>
      </w:r>
      <w:r>
        <w:rPr>
          <w:rFonts w:ascii="仿宋" w:hAnsi="仿宋"/>
          <w:szCs w:val="32"/>
        </w:rPr>
        <w:t>发行人应当在可交换</w:t>
      </w:r>
      <w:r>
        <w:rPr>
          <w:rFonts w:hint="eastAsia" w:ascii="仿宋" w:hAnsi="仿宋"/>
          <w:szCs w:val="32"/>
        </w:rPr>
        <w:t>公司</w:t>
      </w:r>
      <w:r>
        <w:rPr>
          <w:rFonts w:ascii="仿宋" w:hAnsi="仿宋"/>
          <w:szCs w:val="32"/>
        </w:rPr>
        <w:t>债券开始换股的3个交易日前</w:t>
      </w:r>
      <w:r>
        <w:rPr>
          <w:rFonts w:hint="eastAsia" w:ascii="仿宋" w:hAnsi="仿宋"/>
          <w:szCs w:val="32"/>
        </w:rPr>
        <w:t>披露实施换股相关事项，包括换股起止日期、当前换股价格、换股程序等</w:t>
      </w:r>
      <w:r>
        <w:rPr>
          <w:rFonts w:ascii="仿宋" w:hAnsi="仿宋"/>
          <w:szCs w:val="32"/>
        </w:rPr>
        <w:t>。</w:t>
      </w:r>
    </w:p>
    <w:p>
      <w:pPr>
        <w:spacing w:line="560" w:lineRule="exact"/>
        <w:ind w:firstLine="640"/>
        <w:rPr>
          <w:rFonts w:ascii="仿宋" w:hAnsi="仿宋"/>
          <w:szCs w:val="32"/>
        </w:rPr>
      </w:pPr>
      <w:r>
        <w:rPr>
          <w:rFonts w:hint="eastAsia" w:ascii="仿宋" w:hAnsi="仿宋"/>
          <w:b/>
          <w:szCs w:val="32"/>
        </w:rPr>
        <w:t xml:space="preserve">第四十五条 </w:t>
      </w:r>
      <w:r>
        <w:rPr>
          <w:rFonts w:hint="eastAsia" w:ascii="仿宋" w:hAnsi="仿宋"/>
          <w:szCs w:val="32"/>
        </w:rPr>
        <w:t>可交换公司</w:t>
      </w:r>
      <w:r>
        <w:rPr>
          <w:rFonts w:ascii="仿宋" w:hAnsi="仿宋"/>
          <w:szCs w:val="32"/>
        </w:rPr>
        <w:t>债券进入换股期后，</w:t>
      </w:r>
      <w:r>
        <w:rPr>
          <w:rFonts w:hint="eastAsia" w:ascii="仿宋" w:hAnsi="仿宋"/>
          <w:szCs w:val="32"/>
        </w:rPr>
        <w:t>当日买入的可交换公司债券，投资者当日可以申报换股</w:t>
      </w:r>
      <w:r>
        <w:rPr>
          <w:rFonts w:ascii="仿宋" w:hAnsi="仿宋"/>
          <w:szCs w:val="32"/>
        </w:rPr>
        <w:t>。</w:t>
      </w:r>
    </w:p>
    <w:p>
      <w:pPr>
        <w:spacing w:line="560" w:lineRule="exact"/>
        <w:ind w:firstLine="640"/>
        <w:rPr>
          <w:rFonts w:ascii="仿宋" w:hAnsi="仿宋"/>
          <w:szCs w:val="32"/>
        </w:rPr>
      </w:pPr>
      <w:r>
        <w:rPr>
          <w:rFonts w:hint="eastAsia" w:ascii="仿宋" w:hAnsi="仿宋"/>
          <w:b/>
          <w:szCs w:val="32"/>
        </w:rPr>
        <w:t xml:space="preserve">第四十六条 </w:t>
      </w:r>
      <w:r>
        <w:rPr>
          <w:rFonts w:hint="eastAsia" w:ascii="仿宋" w:hAnsi="仿宋"/>
          <w:szCs w:val="32"/>
        </w:rPr>
        <w:t>可交换公司</w:t>
      </w:r>
      <w:r>
        <w:rPr>
          <w:rFonts w:ascii="仿宋" w:hAnsi="仿宋"/>
          <w:szCs w:val="32"/>
        </w:rPr>
        <w:t>债券持有人申请在本所换股的，应当</w:t>
      </w:r>
      <w:r>
        <w:rPr>
          <w:rFonts w:hint="eastAsia" w:ascii="仿宋" w:hAnsi="仿宋"/>
          <w:szCs w:val="32"/>
        </w:rPr>
        <w:t>向</w:t>
      </w:r>
      <w:r>
        <w:rPr>
          <w:rFonts w:ascii="仿宋" w:hAnsi="仿宋"/>
          <w:szCs w:val="32"/>
        </w:rPr>
        <w:t>本所发出换股指令，</w:t>
      </w:r>
      <w:r>
        <w:rPr>
          <w:rFonts w:hint="eastAsia" w:ascii="仿宋" w:hAnsi="仿宋"/>
          <w:szCs w:val="32"/>
        </w:rPr>
        <w:t>换股</w:t>
      </w:r>
      <w:r>
        <w:rPr>
          <w:rFonts w:ascii="仿宋" w:hAnsi="仿宋"/>
          <w:szCs w:val="32"/>
        </w:rPr>
        <w:t>指令视同为债券受托管理</w:t>
      </w:r>
      <w:r>
        <w:rPr>
          <w:rFonts w:hint="eastAsia" w:ascii="仿宋" w:hAnsi="仿宋"/>
          <w:szCs w:val="32"/>
        </w:rPr>
        <w:t>人</w:t>
      </w:r>
      <w:r>
        <w:rPr>
          <w:rFonts w:ascii="仿宋" w:hAnsi="仿宋"/>
          <w:szCs w:val="32"/>
        </w:rPr>
        <w:t>与发行人认可的解除担保指令</w:t>
      </w:r>
      <w:r>
        <w:rPr>
          <w:rFonts w:hint="eastAsia" w:ascii="仿宋" w:hAnsi="仿宋"/>
          <w:szCs w:val="32"/>
        </w:rPr>
        <w:t>。</w:t>
      </w:r>
    </w:p>
    <w:p>
      <w:pPr>
        <w:spacing w:line="560" w:lineRule="exact"/>
        <w:ind w:firstLine="632" w:firstLineChars="200"/>
        <w:rPr>
          <w:rFonts w:ascii="仿宋" w:hAnsi="仿宋"/>
          <w:szCs w:val="30"/>
        </w:rPr>
      </w:pPr>
      <w:r>
        <w:rPr>
          <w:rFonts w:hint="eastAsia" w:ascii="仿宋" w:hAnsi="仿宋"/>
          <w:szCs w:val="30"/>
        </w:rPr>
        <w:t>可交换公司</w:t>
      </w:r>
      <w:r>
        <w:rPr>
          <w:rFonts w:ascii="仿宋" w:hAnsi="仿宋"/>
          <w:szCs w:val="30"/>
        </w:rPr>
        <w:t>债券换股的最小单位为</w:t>
      </w:r>
      <w:r>
        <w:rPr>
          <w:rFonts w:hint="eastAsia" w:ascii="仿宋" w:hAnsi="仿宋"/>
          <w:szCs w:val="30"/>
        </w:rPr>
        <w:t>1</w:t>
      </w:r>
      <w:r>
        <w:rPr>
          <w:rFonts w:ascii="仿宋" w:hAnsi="仿宋"/>
          <w:szCs w:val="30"/>
        </w:rPr>
        <w:t>张</w:t>
      </w:r>
      <w:r>
        <w:rPr>
          <w:rFonts w:hint="eastAsia" w:ascii="仿宋" w:hAnsi="仿宋"/>
          <w:szCs w:val="30"/>
        </w:rPr>
        <w:t>，</w:t>
      </w:r>
      <w:r>
        <w:rPr>
          <w:rFonts w:ascii="仿宋" w:hAnsi="仿宋"/>
          <w:szCs w:val="30"/>
        </w:rPr>
        <w:t>标的股票的最小单位为</w:t>
      </w:r>
      <w:r>
        <w:rPr>
          <w:rFonts w:hint="eastAsia" w:ascii="仿宋" w:hAnsi="仿宋"/>
          <w:szCs w:val="30"/>
        </w:rPr>
        <w:t>1股</w:t>
      </w:r>
      <w:r>
        <w:rPr>
          <w:rFonts w:ascii="仿宋" w:hAnsi="仿宋"/>
          <w:szCs w:val="30"/>
        </w:rPr>
        <w:t>。</w:t>
      </w:r>
    </w:p>
    <w:p>
      <w:pPr>
        <w:spacing w:line="560" w:lineRule="exact"/>
        <w:ind w:firstLine="632" w:firstLineChars="200"/>
        <w:rPr>
          <w:rFonts w:ascii="仿宋" w:hAnsi="仿宋"/>
          <w:szCs w:val="30"/>
        </w:rPr>
      </w:pPr>
      <w:r>
        <w:rPr>
          <w:rFonts w:hint="eastAsia" w:ascii="仿宋" w:hAnsi="仿宋"/>
          <w:szCs w:val="30"/>
        </w:rPr>
        <w:t>换股交收</w:t>
      </w:r>
      <w:r>
        <w:rPr>
          <w:rFonts w:ascii="仿宋" w:hAnsi="仿宋"/>
          <w:szCs w:val="30"/>
        </w:rPr>
        <w:t>完成后，</w:t>
      </w:r>
      <w:r>
        <w:rPr>
          <w:rFonts w:hint="eastAsia" w:ascii="仿宋" w:hAnsi="仿宋"/>
          <w:szCs w:val="30"/>
        </w:rPr>
        <w:t>换得</w:t>
      </w:r>
      <w:r>
        <w:rPr>
          <w:rFonts w:ascii="仿宋" w:hAnsi="仿宋"/>
          <w:szCs w:val="30"/>
        </w:rPr>
        <w:t>的股票可</w:t>
      </w:r>
      <w:r>
        <w:rPr>
          <w:rFonts w:hint="eastAsia" w:ascii="仿宋" w:hAnsi="仿宋"/>
          <w:szCs w:val="30"/>
        </w:rPr>
        <w:t>以</w:t>
      </w:r>
      <w:r>
        <w:rPr>
          <w:rFonts w:ascii="仿宋" w:hAnsi="仿宋"/>
          <w:szCs w:val="30"/>
        </w:rPr>
        <w:t>在下一交易日进行交易。</w:t>
      </w:r>
    </w:p>
    <w:p>
      <w:pPr>
        <w:spacing w:line="560" w:lineRule="exact"/>
        <w:ind w:firstLine="640"/>
        <w:rPr>
          <w:rFonts w:ascii="仿宋" w:hAnsi="仿宋"/>
          <w:szCs w:val="32"/>
        </w:rPr>
      </w:pPr>
      <w:r>
        <w:rPr>
          <w:rFonts w:hint="eastAsia" w:ascii="仿宋" w:hAnsi="仿宋"/>
          <w:b/>
          <w:szCs w:val="32"/>
        </w:rPr>
        <w:t xml:space="preserve">第四十七条 </w:t>
      </w:r>
      <w:r>
        <w:rPr>
          <w:rFonts w:hint="eastAsia" w:ascii="仿宋" w:hAnsi="仿宋"/>
          <w:szCs w:val="32"/>
        </w:rPr>
        <w:t>发行人在可交换公司债券换股期结束的</w:t>
      </w:r>
      <w:r>
        <w:rPr>
          <w:rFonts w:ascii="仿宋" w:hAnsi="仿宋"/>
          <w:szCs w:val="32"/>
        </w:rPr>
        <w:t>20个交易日前，应当至少</w:t>
      </w:r>
      <w:r>
        <w:rPr>
          <w:rFonts w:hint="eastAsia" w:ascii="仿宋" w:hAnsi="仿宋"/>
          <w:szCs w:val="32"/>
        </w:rPr>
        <w:t>披露</w:t>
      </w:r>
      <w:r>
        <w:rPr>
          <w:rFonts w:ascii="仿宋" w:hAnsi="仿宋"/>
          <w:szCs w:val="32"/>
        </w:rPr>
        <w:t>3次提示性公告，提醒投资者可交换公司债券停止换股相关事项。</w:t>
      </w:r>
    </w:p>
    <w:p>
      <w:pPr>
        <w:spacing w:line="560" w:lineRule="exact"/>
        <w:ind w:firstLine="640"/>
        <w:rPr>
          <w:rFonts w:ascii="仿宋" w:hAnsi="仿宋"/>
          <w:szCs w:val="30"/>
        </w:rPr>
      </w:pPr>
      <w:r>
        <w:rPr>
          <w:rFonts w:hint="eastAsia" w:ascii="仿宋" w:hAnsi="仿宋"/>
          <w:b/>
          <w:szCs w:val="32"/>
        </w:rPr>
        <w:t xml:space="preserve">第四十八条 </w:t>
      </w:r>
      <w:r>
        <w:rPr>
          <w:rFonts w:hint="eastAsia" w:ascii="仿宋" w:hAnsi="仿宋"/>
          <w:szCs w:val="32"/>
        </w:rPr>
        <w:t>发行人应当在满足可交换公司债券赎回条件的2个交易日内，披露是否行使赎回权相关事项。</w:t>
      </w:r>
      <w:r>
        <w:rPr>
          <w:rFonts w:hint="eastAsia" w:ascii="仿宋" w:hAnsi="仿宋"/>
          <w:szCs w:val="30"/>
        </w:rPr>
        <w:t>发行人决定行使赎回权的，应当在赎回登记日前至少披露</w:t>
      </w:r>
      <w:r>
        <w:rPr>
          <w:rFonts w:ascii="仿宋" w:hAnsi="仿宋"/>
          <w:szCs w:val="30"/>
        </w:rPr>
        <w:t>3次赎回提示性公告，载明赎回程序、赎回登记日、赎回价格、</w:t>
      </w:r>
      <w:r>
        <w:rPr>
          <w:rFonts w:hint="eastAsia" w:ascii="仿宋" w:hAnsi="仿宋"/>
          <w:szCs w:val="30"/>
        </w:rPr>
        <w:t>付款方法</w:t>
      </w:r>
      <w:r>
        <w:rPr>
          <w:rFonts w:ascii="仿宋" w:hAnsi="仿宋"/>
          <w:szCs w:val="30"/>
        </w:rPr>
        <w:t>、</w:t>
      </w:r>
      <w:r>
        <w:rPr>
          <w:rFonts w:hint="eastAsia" w:ascii="仿宋" w:hAnsi="仿宋"/>
          <w:szCs w:val="30"/>
        </w:rPr>
        <w:t>付款</w:t>
      </w:r>
      <w:r>
        <w:rPr>
          <w:rFonts w:ascii="仿宋" w:hAnsi="仿宋"/>
          <w:szCs w:val="30"/>
        </w:rPr>
        <w:t>时间等内容。</w:t>
      </w:r>
    </w:p>
    <w:p>
      <w:pPr>
        <w:spacing w:line="560" w:lineRule="exact"/>
        <w:ind w:firstLine="632" w:firstLineChars="200"/>
        <w:rPr>
          <w:rFonts w:ascii="仿宋" w:hAnsi="仿宋"/>
          <w:szCs w:val="30"/>
        </w:rPr>
      </w:pPr>
      <w:r>
        <w:rPr>
          <w:rFonts w:hint="eastAsia" w:ascii="仿宋" w:hAnsi="仿宋"/>
          <w:szCs w:val="30"/>
        </w:rPr>
        <w:t>赎回结束后，发行人应当及时披露赎回情况及其影响。</w:t>
      </w:r>
    </w:p>
    <w:p>
      <w:pPr>
        <w:spacing w:line="560" w:lineRule="exact"/>
        <w:ind w:firstLine="640"/>
        <w:rPr>
          <w:rFonts w:ascii="仿宋" w:hAnsi="仿宋"/>
          <w:szCs w:val="32"/>
        </w:rPr>
      </w:pPr>
      <w:r>
        <w:rPr>
          <w:rFonts w:hint="eastAsia" w:ascii="仿宋" w:hAnsi="仿宋"/>
          <w:b/>
          <w:szCs w:val="32"/>
        </w:rPr>
        <w:t xml:space="preserve">第四十九条 </w:t>
      </w:r>
      <w:r>
        <w:rPr>
          <w:rFonts w:hint="eastAsia" w:ascii="仿宋" w:hAnsi="仿宋"/>
          <w:szCs w:val="32"/>
        </w:rPr>
        <w:t>发行人应当在满足可交换公司债券回售条件的2个交易日内</w:t>
      </w:r>
      <w:r>
        <w:rPr>
          <w:rFonts w:hint="eastAsia" w:ascii="仿宋_GB2312" w:hAnsi="微软雅黑" w:eastAsia="仿宋_GB2312"/>
          <w:color w:val="000000"/>
          <w:sz w:val="30"/>
          <w:szCs w:val="30"/>
        </w:rPr>
        <w:t>，</w:t>
      </w:r>
      <w:r>
        <w:rPr>
          <w:rFonts w:hint="eastAsia" w:ascii="仿宋" w:hAnsi="仿宋"/>
          <w:szCs w:val="32"/>
        </w:rPr>
        <w:t>披露回售相关事项，并在回售申报期结束前</w:t>
      </w:r>
      <w:r>
        <w:rPr>
          <w:rFonts w:hint="eastAsia" w:ascii="仿宋_GB2312" w:hAnsi="微软雅黑" w:eastAsia="仿宋_GB2312"/>
          <w:color w:val="000000"/>
          <w:sz w:val="30"/>
          <w:szCs w:val="30"/>
        </w:rPr>
        <w:t>至少</w:t>
      </w:r>
      <w:r>
        <w:rPr>
          <w:rFonts w:hint="eastAsia" w:ascii="仿宋" w:hAnsi="仿宋"/>
          <w:szCs w:val="32"/>
        </w:rPr>
        <w:t>披露</w:t>
      </w:r>
      <w:r>
        <w:rPr>
          <w:rFonts w:ascii="仿宋" w:hAnsi="仿宋"/>
          <w:szCs w:val="32"/>
        </w:rPr>
        <w:t>3次回售提示性公告，载明回售程序、回售</w:t>
      </w:r>
      <w:r>
        <w:rPr>
          <w:rFonts w:hint="eastAsia" w:ascii="仿宋" w:hAnsi="仿宋"/>
          <w:szCs w:val="32"/>
        </w:rPr>
        <w:t>申报期、回售价格、付款方法、付款时间等内容。</w:t>
      </w:r>
    </w:p>
    <w:p>
      <w:pPr>
        <w:spacing w:line="560" w:lineRule="exact"/>
        <w:ind w:firstLine="632" w:firstLineChars="200"/>
        <w:rPr>
          <w:rFonts w:ascii="仿宋" w:hAnsi="仿宋"/>
          <w:szCs w:val="30"/>
        </w:rPr>
      </w:pPr>
      <w:r>
        <w:rPr>
          <w:rFonts w:hint="eastAsia" w:ascii="仿宋" w:hAnsi="仿宋"/>
          <w:szCs w:val="30"/>
        </w:rPr>
        <w:t>回售结束后，发行人应当及时披露回售情况及其影响。</w:t>
      </w:r>
    </w:p>
    <w:p>
      <w:pPr>
        <w:spacing w:line="560" w:lineRule="exact"/>
        <w:ind w:firstLine="640"/>
        <w:rPr>
          <w:rFonts w:ascii="仿宋" w:hAnsi="仿宋"/>
          <w:szCs w:val="32"/>
        </w:rPr>
      </w:pPr>
      <w:r>
        <w:rPr>
          <w:rFonts w:hint="eastAsia" w:ascii="仿宋" w:hAnsi="仿宋"/>
          <w:b/>
          <w:szCs w:val="32"/>
        </w:rPr>
        <w:t xml:space="preserve">第五十条 </w:t>
      </w:r>
      <w:r>
        <w:rPr>
          <w:rFonts w:hint="eastAsia" w:ascii="仿宋" w:hAnsi="仿宋"/>
          <w:szCs w:val="32"/>
        </w:rPr>
        <w:t>可交换公司债券存续期间，预备用于交换的股票依据《深圳证券交易所股票上市规则》等相关规定停复牌的，本所可以视情况对可交换公司债券停复牌。</w:t>
      </w:r>
    </w:p>
    <w:p>
      <w:pPr>
        <w:spacing w:line="560" w:lineRule="exact"/>
        <w:ind w:firstLine="640"/>
        <w:rPr>
          <w:rFonts w:ascii="仿宋" w:hAnsi="仿宋"/>
          <w:szCs w:val="32"/>
        </w:rPr>
      </w:pPr>
      <w:r>
        <w:rPr>
          <w:rFonts w:hint="eastAsia" w:ascii="仿宋" w:hAnsi="仿宋"/>
          <w:b/>
          <w:szCs w:val="32"/>
        </w:rPr>
        <w:t xml:space="preserve">第五十一条 </w:t>
      </w:r>
      <w:r>
        <w:rPr>
          <w:rFonts w:hint="eastAsia" w:ascii="仿宋" w:hAnsi="仿宋"/>
          <w:szCs w:val="32"/>
        </w:rPr>
        <w:t>发行人应当在可交换公司债券全部换股完成后的</w:t>
      </w:r>
      <w:r>
        <w:rPr>
          <w:rFonts w:ascii="仿宋" w:hAnsi="仿宋"/>
          <w:szCs w:val="32"/>
        </w:rPr>
        <w:t>2</w:t>
      </w:r>
      <w:r>
        <w:rPr>
          <w:rFonts w:hint="eastAsia" w:ascii="仿宋" w:hAnsi="仿宋"/>
          <w:szCs w:val="32"/>
        </w:rPr>
        <w:t>个交易日内披露终止上市或者挂牌的公告。</w:t>
      </w:r>
    </w:p>
    <w:p>
      <w:pPr>
        <w:spacing w:line="560" w:lineRule="exact"/>
        <w:ind w:firstLine="640"/>
        <w:rPr>
          <w:rFonts w:ascii="仿宋" w:hAnsi="仿宋"/>
          <w:szCs w:val="32"/>
        </w:rPr>
      </w:pPr>
      <w:r>
        <w:rPr>
          <w:rFonts w:hint="eastAsia" w:ascii="仿宋" w:hAnsi="仿宋"/>
          <w:b/>
          <w:szCs w:val="32"/>
        </w:rPr>
        <w:t xml:space="preserve">第五十二条 </w:t>
      </w:r>
      <w:r>
        <w:rPr>
          <w:rFonts w:hint="eastAsia" w:ascii="仿宋" w:hAnsi="仿宋"/>
          <w:szCs w:val="32"/>
        </w:rPr>
        <w:t>拥有上市公司控制权的股东发行可交换公司债券的，应当合理确定发行方案，不得通过本次发行转让控制权。</w:t>
      </w:r>
    </w:p>
    <w:p>
      <w:pPr>
        <w:spacing w:line="560" w:lineRule="exact"/>
        <w:ind w:firstLine="632" w:firstLineChars="200"/>
        <w:rPr>
          <w:rFonts w:ascii="仿宋" w:hAnsi="仿宋"/>
          <w:szCs w:val="30"/>
        </w:rPr>
      </w:pPr>
      <w:r>
        <w:rPr>
          <w:rFonts w:hint="eastAsia" w:ascii="仿宋" w:hAnsi="仿宋"/>
          <w:szCs w:val="30"/>
        </w:rPr>
        <w:t>拥有上市公司控制权的股东以及本所认定的其他特定股东发行可交换公司债券的，发行人应当及时将可交换公司债券发行、换股等相关安排、进展以及结果信息告知上市公司，上市公司应当及时披露。</w:t>
      </w:r>
    </w:p>
    <w:p>
      <w:pPr>
        <w:spacing w:line="560" w:lineRule="exact"/>
        <w:ind w:firstLine="632" w:firstLineChars="200"/>
        <w:rPr>
          <w:rFonts w:ascii="仿宋" w:hAnsi="仿宋"/>
          <w:szCs w:val="30"/>
        </w:rPr>
      </w:pPr>
      <w:r>
        <w:rPr>
          <w:rFonts w:hint="eastAsia" w:ascii="仿宋" w:hAnsi="仿宋"/>
          <w:szCs w:val="30"/>
        </w:rPr>
        <w:t>持有可交换公司债券的投资者因行使换股权利增持上市公司股份，或者因持有可交换公司债券的投资者行使换股权利导致发行人持有的上市公司股份发生变化的，相关当事人应当按照《上市公司收购管理办法》《上市公司股东、董监高减持股份的若干规定》以及《深圳证券交易所股票上市规则》等规定履行权益变动公告、报告等义务。</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第五章 绿色公司债券</w:t>
      </w:r>
    </w:p>
    <w:p>
      <w:pPr>
        <w:spacing w:line="560" w:lineRule="exact"/>
        <w:ind w:firstLine="640"/>
        <w:rPr>
          <w:rFonts w:ascii="仿宋" w:hAnsi="仿宋"/>
          <w:szCs w:val="30"/>
        </w:rPr>
      </w:pPr>
      <w:r>
        <w:rPr>
          <w:rFonts w:hint="eastAsia" w:ascii="仿宋" w:hAnsi="仿宋"/>
          <w:b/>
          <w:szCs w:val="32"/>
        </w:rPr>
        <w:t xml:space="preserve">第五十三条 </w:t>
      </w:r>
      <w:r>
        <w:rPr>
          <w:rFonts w:hint="eastAsia" w:ascii="仿宋" w:hAnsi="仿宋"/>
          <w:szCs w:val="30"/>
        </w:rPr>
        <w:t>本指引所称绿色公司债券，是指募集资金用于符合规定条件的绿色项目的公司债券。</w:t>
      </w:r>
    </w:p>
    <w:p>
      <w:pPr>
        <w:spacing w:line="560" w:lineRule="exact"/>
        <w:ind w:firstLine="632" w:firstLineChars="200"/>
        <w:rPr>
          <w:rFonts w:ascii="仿宋" w:hAnsi="仿宋"/>
          <w:szCs w:val="30"/>
        </w:rPr>
      </w:pPr>
      <w:r>
        <w:rPr>
          <w:rFonts w:hint="eastAsia" w:ascii="仿宋" w:hAnsi="仿宋"/>
          <w:szCs w:val="30"/>
        </w:rPr>
        <w:t>前款所称绿色项目是指符合绿色低碳发展要求、有助于改善环境，且具有一定环境效益的项目。</w:t>
      </w:r>
    </w:p>
    <w:p>
      <w:pPr>
        <w:spacing w:line="560" w:lineRule="exact"/>
        <w:ind w:firstLine="632" w:firstLineChars="200"/>
        <w:rPr>
          <w:rFonts w:ascii="仿宋" w:hAnsi="仿宋"/>
          <w:szCs w:val="30"/>
        </w:rPr>
      </w:pPr>
      <w:r>
        <w:rPr>
          <w:rFonts w:hint="eastAsia" w:ascii="仿宋" w:hAnsi="仿宋"/>
          <w:szCs w:val="30"/>
        </w:rPr>
        <w:t>绿色项目应当依据中国人民银行、国家发展和改革委员会、</w:t>
      </w:r>
      <w:r>
        <w:rPr>
          <w:rFonts w:hint="eastAsia" w:ascii="仿宋" w:hAnsi="仿宋" w:cs="方正仿宋简体"/>
          <w:szCs w:val="30"/>
        </w:rPr>
        <w:t>中国证监会</w:t>
      </w:r>
      <w:r>
        <w:rPr>
          <w:rFonts w:hint="eastAsia" w:ascii="仿宋" w:hAnsi="仿宋"/>
          <w:szCs w:val="30"/>
        </w:rPr>
        <w:t>联合印发的《绿色债券支持项目目录（2021年版）》等绿色债券支持项目文件进行认定。境外发行人绿色项目可以依据《可持续金融共同分类目录报告——减缓气候变化》《可持续金融分类方案——气候授权法案》等国际绿色产业分类标准进行认定。</w:t>
      </w:r>
    </w:p>
    <w:p>
      <w:pPr>
        <w:spacing w:line="560" w:lineRule="exact"/>
        <w:ind w:firstLine="640"/>
        <w:rPr>
          <w:rFonts w:ascii="仿宋" w:hAnsi="仿宋"/>
          <w:szCs w:val="30"/>
        </w:rPr>
      </w:pPr>
      <w:r>
        <w:rPr>
          <w:rFonts w:hint="eastAsia" w:ascii="仿宋" w:hAnsi="仿宋"/>
          <w:b/>
          <w:szCs w:val="32"/>
        </w:rPr>
        <w:t xml:space="preserve">第五十四条 </w:t>
      </w:r>
      <w:r>
        <w:rPr>
          <w:rFonts w:hint="eastAsia" w:ascii="仿宋" w:hAnsi="仿宋"/>
          <w:szCs w:val="30"/>
        </w:rPr>
        <w:t>绿色公司债券募集资金应当全部用于绿色项目的建设、运营、收购，补充绿色项目配套营运资金或者偿还绿色项目对应的有息债务。</w:t>
      </w:r>
    </w:p>
    <w:p>
      <w:pPr>
        <w:spacing w:line="560" w:lineRule="exact"/>
        <w:ind w:firstLine="640"/>
        <w:rPr>
          <w:rFonts w:ascii="仿宋" w:hAnsi="仿宋" w:cs="方正仿宋简体"/>
          <w:szCs w:val="30"/>
        </w:rPr>
      </w:pPr>
      <w:r>
        <w:rPr>
          <w:rFonts w:hint="eastAsia" w:ascii="仿宋" w:hAnsi="仿宋" w:cs="方正仿宋简体"/>
          <w:b/>
          <w:szCs w:val="32"/>
        </w:rPr>
        <w:t xml:space="preserve">第五十五条 </w:t>
      </w:r>
      <w:r>
        <w:rPr>
          <w:rFonts w:hint="eastAsia" w:ascii="仿宋" w:hAnsi="仿宋" w:cs="方正仿宋简体"/>
          <w:szCs w:val="30"/>
        </w:rPr>
        <w:t>发行人应当在募集说明书中披露募集资金拟投资的绿色项目情况、所属具体的绿色项目类别、项目认定依据或者标准和环境效益目标、绿色公司债券募集资金使用计划和管理制度等内容，并参照绿色债券支持项目目录或者国际绿色产业分类标准，说明绿色项目是否具备符合要求的证明材料。</w:t>
      </w:r>
    </w:p>
    <w:p>
      <w:pPr>
        <w:pStyle w:val="29"/>
        <w:spacing w:line="560" w:lineRule="exact"/>
        <w:ind w:firstLine="632"/>
        <w:rPr>
          <w:rFonts w:ascii="仿宋" w:hAnsi="仿宋" w:eastAsia="仿宋" w:cs="方正仿宋简体"/>
          <w:sz w:val="32"/>
          <w:szCs w:val="30"/>
        </w:rPr>
      </w:pPr>
      <w:r>
        <w:rPr>
          <w:rFonts w:hint="eastAsia" w:ascii="仿宋" w:hAnsi="仿宋" w:eastAsia="仿宋" w:cs="方正仿宋简体"/>
          <w:sz w:val="32"/>
          <w:szCs w:val="30"/>
        </w:rPr>
        <w:t>募投项目包含绿色建筑的，应当明确绿色建筑类型，提供建筑施工图预评价结果（如有），说明项目是否达到有效期内绿色建筑星级标准要求。</w:t>
      </w:r>
    </w:p>
    <w:p>
      <w:pPr>
        <w:spacing w:line="560" w:lineRule="exact"/>
        <w:ind w:firstLine="632" w:firstLineChars="200"/>
        <w:rPr>
          <w:rFonts w:ascii="仿宋" w:hAnsi="仿宋" w:cs="方正仿宋简体"/>
          <w:szCs w:val="30"/>
        </w:rPr>
      </w:pPr>
      <w:r>
        <w:rPr>
          <w:rFonts w:hint="eastAsia" w:ascii="仿宋" w:hAnsi="仿宋"/>
          <w:b/>
          <w:szCs w:val="32"/>
        </w:rPr>
        <w:t>第五十六条</w:t>
      </w:r>
      <w:r>
        <w:rPr>
          <w:rFonts w:hint="eastAsia" w:ascii="仿宋" w:hAnsi="仿宋" w:cs="方正仿宋简体"/>
          <w:szCs w:val="30"/>
        </w:rPr>
        <w:t xml:space="preserve"> 发行人于申报阶段暂未明确具体募投项目的，应当披露拟投资项目评估与遴选流程，包括但不限于下列内容：</w:t>
      </w:r>
    </w:p>
    <w:p>
      <w:pPr>
        <w:spacing w:line="560" w:lineRule="exact"/>
        <w:ind w:firstLine="632" w:firstLineChars="200"/>
        <w:rPr>
          <w:rFonts w:ascii="仿宋" w:hAnsi="仿宋" w:cs="方正仿宋简体"/>
          <w:szCs w:val="30"/>
        </w:rPr>
      </w:pPr>
      <w:r>
        <w:rPr>
          <w:rFonts w:hint="eastAsia" w:ascii="仿宋" w:hAnsi="仿宋" w:cs="方正仿宋简体"/>
          <w:szCs w:val="30"/>
        </w:rPr>
        <w:t>（一）绿色项目遴选的分类标准和应当符合的技术标准或者规范，以及所遴选的绿色项目环境效益测算的标准、方法、依据和重要前提条件；</w:t>
      </w:r>
    </w:p>
    <w:p>
      <w:pPr>
        <w:spacing w:line="560" w:lineRule="exact"/>
        <w:ind w:firstLine="632" w:firstLineChars="200"/>
        <w:rPr>
          <w:rFonts w:ascii="仿宋" w:hAnsi="仿宋" w:cs="方正仿宋简体"/>
          <w:szCs w:val="30"/>
        </w:rPr>
      </w:pPr>
      <w:r>
        <w:rPr>
          <w:rFonts w:hint="eastAsia" w:ascii="仿宋" w:hAnsi="仿宋" w:cs="方正仿宋简体"/>
          <w:szCs w:val="30"/>
        </w:rPr>
        <w:t>（二）绿色项目遴选的决策流程，包括流程制定依据、职责划分、具体实施过程等；</w:t>
      </w:r>
    </w:p>
    <w:p>
      <w:pPr>
        <w:spacing w:line="560" w:lineRule="exact"/>
        <w:ind w:firstLine="632" w:firstLineChars="200"/>
        <w:rPr>
          <w:rFonts w:ascii="仿宋" w:hAnsi="仿宋" w:cs="方正仿宋简体"/>
          <w:szCs w:val="30"/>
        </w:rPr>
      </w:pPr>
      <w:r>
        <w:rPr>
          <w:rFonts w:hint="eastAsia" w:ascii="仿宋" w:hAnsi="仿宋" w:cs="方正仿宋简体"/>
          <w:szCs w:val="30"/>
        </w:rPr>
        <w:t>（三）所遴选的绿色项目的合法合规性。</w:t>
      </w:r>
    </w:p>
    <w:p>
      <w:pPr>
        <w:spacing w:line="560" w:lineRule="exact"/>
        <w:ind w:firstLine="640"/>
        <w:rPr>
          <w:rFonts w:ascii="仿宋" w:hAnsi="仿宋"/>
          <w:szCs w:val="30"/>
        </w:rPr>
      </w:pPr>
      <w:r>
        <w:rPr>
          <w:rFonts w:hint="eastAsia" w:ascii="仿宋" w:hAnsi="仿宋"/>
          <w:b/>
          <w:szCs w:val="32"/>
        </w:rPr>
        <w:t xml:space="preserve">第五十七条 </w:t>
      </w:r>
      <w:r>
        <w:rPr>
          <w:rFonts w:hint="eastAsia" w:ascii="仿宋" w:hAnsi="仿宋"/>
          <w:szCs w:val="30"/>
        </w:rPr>
        <w:t>募集资金主要用于碳中和项目的建设、运营、收购，补充碳中和项目配套营运资金或者偿还碳中和项目对应有息债务的绿色公司债券，发行人在申报、发行阶段可以在债券全称中使用“碳中和绿色公司债券”标识。碳中和项目包括下列类型：</w:t>
      </w:r>
    </w:p>
    <w:p>
      <w:pPr>
        <w:spacing w:line="560" w:lineRule="exact"/>
        <w:ind w:firstLine="632" w:firstLineChars="200"/>
        <w:rPr>
          <w:rFonts w:ascii="仿宋" w:hAnsi="仿宋"/>
          <w:szCs w:val="30"/>
        </w:rPr>
      </w:pPr>
      <w:r>
        <w:rPr>
          <w:rFonts w:hint="eastAsia" w:ascii="仿宋" w:hAnsi="仿宋"/>
          <w:szCs w:val="30"/>
        </w:rPr>
        <w:t>（一）清洁能源类项目，包括水能、风能、核能、太阳能、生物质能、地热、浅层地温能以及海洋能等开发利用项目；</w:t>
      </w:r>
    </w:p>
    <w:p>
      <w:pPr>
        <w:spacing w:line="560" w:lineRule="exact"/>
        <w:ind w:firstLine="632" w:firstLineChars="200"/>
        <w:rPr>
          <w:rFonts w:ascii="仿宋" w:hAnsi="仿宋"/>
          <w:szCs w:val="30"/>
        </w:rPr>
      </w:pPr>
      <w:r>
        <w:rPr>
          <w:rFonts w:hint="eastAsia" w:ascii="仿宋" w:hAnsi="仿宋"/>
          <w:szCs w:val="30"/>
        </w:rPr>
        <w:t>（二）清洁交通类项目，包括城市轨道交通、电气化货运铁路、电动公交车辆替换以及新能源汽车充电设施建设等项目；</w:t>
      </w:r>
    </w:p>
    <w:p>
      <w:pPr>
        <w:spacing w:line="560" w:lineRule="exact"/>
        <w:ind w:firstLine="632" w:firstLineChars="200"/>
        <w:rPr>
          <w:rFonts w:ascii="仿宋" w:hAnsi="仿宋"/>
          <w:szCs w:val="30"/>
        </w:rPr>
      </w:pPr>
      <w:r>
        <w:rPr>
          <w:rFonts w:hint="eastAsia" w:ascii="仿宋" w:hAnsi="仿宋"/>
          <w:szCs w:val="30"/>
        </w:rPr>
        <w:t>（三）可持续建筑类项目，包括绿色建筑、超低能耗建筑、既有建筑节能改造等项目；</w:t>
      </w:r>
    </w:p>
    <w:p>
      <w:pPr>
        <w:spacing w:line="560" w:lineRule="exact"/>
        <w:ind w:firstLine="632" w:firstLineChars="200"/>
        <w:rPr>
          <w:rFonts w:ascii="仿宋" w:hAnsi="仿宋"/>
          <w:szCs w:val="30"/>
        </w:rPr>
      </w:pPr>
      <w:r>
        <w:rPr>
          <w:rFonts w:hint="eastAsia" w:ascii="仿宋" w:hAnsi="仿宋"/>
          <w:szCs w:val="30"/>
        </w:rPr>
        <w:t>（四）工业低碳改造类项目，碳捕集利用与封存、工业能效提升、电气化改造、高碳排放转型升级等项目；</w:t>
      </w:r>
    </w:p>
    <w:p>
      <w:pPr>
        <w:spacing w:line="560" w:lineRule="exact"/>
        <w:ind w:firstLine="632" w:firstLineChars="200"/>
        <w:rPr>
          <w:rFonts w:ascii="仿宋" w:hAnsi="仿宋"/>
          <w:szCs w:val="30"/>
        </w:rPr>
      </w:pPr>
      <w:r>
        <w:rPr>
          <w:rFonts w:hint="eastAsia" w:ascii="仿宋" w:hAnsi="仿宋"/>
          <w:szCs w:val="30"/>
        </w:rPr>
        <w:t>（五）其他具有碳减排效益的项目。</w:t>
      </w:r>
    </w:p>
    <w:p>
      <w:pPr>
        <w:spacing w:line="560" w:lineRule="exact"/>
        <w:ind w:firstLine="632" w:firstLineChars="200"/>
        <w:rPr>
          <w:rFonts w:ascii="仿宋" w:hAnsi="仿宋"/>
          <w:szCs w:val="30"/>
        </w:rPr>
      </w:pPr>
      <w:r>
        <w:rPr>
          <w:rFonts w:hint="eastAsia" w:ascii="仿宋" w:hAnsi="仿宋"/>
          <w:szCs w:val="30"/>
        </w:rPr>
        <w:t>发行人应当在募集说明书中披露碳中和项目环境效益相关信息，按照“可计算、可核查、可检验”的原则，重点披露环境效益测算方法、参考依据，并对项目以标准煤计量的能源节约量、碳减排等环境效益进行定量测算。</w:t>
      </w:r>
    </w:p>
    <w:p>
      <w:pPr>
        <w:spacing w:line="560" w:lineRule="exact"/>
        <w:ind w:firstLine="632" w:firstLineChars="200"/>
        <w:rPr>
          <w:rFonts w:ascii="仿宋" w:hAnsi="仿宋"/>
          <w:szCs w:val="30"/>
        </w:rPr>
      </w:pPr>
      <w:r>
        <w:rPr>
          <w:rFonts w:hint="eastAsia" w:ascii="仿宋" w:hAnsi="仿宋"/>
          <w:szCs w:val="30"/>
        </w:rPr>
        <w:t>本所鼓励发行人披露由独立第三方机构出具的碳中和项目碳减排等环境效益评估认证报告。</w:t>
      </w:r>
    </w:p>
    <w:p>
      <w:pPr>
        <w:spacing w:line="560" w:lineRule="exact"/>
        <w:ind w:firstLine="640"/>
        <w:rPr>
          <w:rFonts w:ascii="仿宋" w:hAnsi="仿宋"/>
          <w:szCs w:val="30"/>
        </w:rPr>
      </w:pPr>
      <w:r>
        <w:rPr>
          <w:rFonts w:hint="eastAsia" w:ascii="仿宋" w:hAnsi="仿宋"/>
          <w:b/>
          <w:szCs w:val="32"/>
        </w:rPr>
        <w:t xml:space="preserve">第五十八条 </w:t>
      </w:r>
      <w:r>
        <w:rPr>
          <w:rFonts w:hint="eastAsia" w:ascii="仿宋" w:hAnsi="仿宋"/>
          <w:szCs w:val="30"/>
        </w:rPr>
        <w:t>募集资金主要用于支持海洋保护和海洋资源可持续利用相关项目的绿色债券，发行人在申报、发行阶段可以在绿色债券全称中使用“（蓝色债券）”标识。</w:t>
      </w:r>
    </w:p>
    <w:p>
      <w:pPr>
        <w:spacing w:line="560" w:lineRule="exact"/>
        <w:ind w:firstLine="632" w:firstLineChars="200"/>
        <w:rPr>
          <w:rFonts w:ascii="仿宋" w:hAnsi="仿宋"/>
          <w:szCs w:val="30"/>
        </w:rPr>
      </w:pPr>
      <w:r>
        <w:rPr>
          <w:rFonts w:hint="eastAsia" w:ascii="仿宋" w:hAnsi="仿宋"/>
          <w:szCs w:val="30"/>
        </w:rPr>
        <w:t>发行人应当在募集说明书中披露项目对海洋环境、经济和气候效益影响相关的信息。</w:t>
      </w:r>
    </w:p>
    <w:p>
      <w:pPr>
        <w:spacing w:line="560" w:lineRule="exact"/>
        <w:ind w:firstLine="640"/>
        <w:rPr>
          <w:rFonts w:ascii="仿宋" w:hAnsi="仿宋"/>
          <w:szCs w:val="30"/>
        </w:rPr>
      </w:pPr>
      <w:r>
        <w:rPr>
          <w:rFonts w:hint="eastAsia" w:ascii="仿宋" w:hAnsi="仿宋"/>
          <w:b/>
          <w:szCs w:val="32"/>
        </w:rPr>
        <w:t xml:space="preserve">第五十九条 </w:t>
      </w:r>
      <w:r>
        <w:rPr>
          <w:rFonts w:hint="eastAsia" w:ascii="仿宋" w:hAnsi="仿宋"/>
          <w:szCs w:val="30"/>
        </w:rPr>
        <w:t>本所鼓励绿色公司债券发行人在募集说明书中设置与自身整体碳减排等环境效益目标达成情况挂钩的条款。</w:t>
      </w:r>
    </w:p>
    <w:p>
      <w:pPr>
        <w:spacing w:line="560" w:lineRule="exact"/>
        <w:ind w:firstLine="640"/>
        <w:rPr>
          <w:rFonts w:ascii="仿宋" w:hAnsi="仿宋"/>
          <w:szCs w:val="30"/>
        </w:rPr>
      </w:pPr>
      <w:r>
        <w:rPr>
          <w:rFonts w:hint="eastAsia" w:ascii="仿宋" w:hAnsi="仿宋"/>
          <w:b/>
          <w:szCs w:val="32"/>
        </w:rPr>
        <w:t xml:space="preserve">第六十条 </w:t>
      </w:r>
      <w:r>
        <w:rPr>
          <w:rFonts w:hint="eastAsia" w:ascii="仿宋" w:hAnsi="仿宋"/>
          <w:szCs w:val="30"/>
        </w:rPr>
        <w:t>本所鼓励发行人探索采用用水权、用能权、排污权、碳排放权等收益权，以及知识产权、预期绿色收益质押等方式为债券提供增信担保。</w:t>
      </w:r>
    </w:p>
    <w:p>
      <w:pPr>
        <w:spacing w:line="560" w:lineRule="exact"/>
        <w:ind w:firstLine="640"/>
        <w:rPr>
          <w:rFonts w:ascii="仿宋" w:hAnsi="仿宋"/>
          <w:szCs w:val="30"/>
        </w:rPr>
      </w:pPr>
      <w:r>
        <w:rPr>
          <w:rFonts w:hint="eastAsia" w:ascii="仿宋" w:hAnsi="仿宋"/>
          <w:b/>
          <w:szCs w:val="32"/>
        </w:rPr>
        <w:t xml:space="preserve">第六十一条 </w:t>
      </w:r>
      <w:r>
        <w:rPr>
          <w:rFonts w:hint="eastAsia" w:ascii="仿宋" w:hAnsi="仿宋"/>
          <w:szCs w:val="30"/>
        </w:rPr>
        <w:t>发行人可以使用募集资金置换债券发行前3个月用于绿色项目、碳中和项目以及蓝色债券相关项目的自有资金支出。本所鼓励将置换后的资金用于新的绿色项目、碳中和项目以及蓝色债券相关项目，形成投资良性循环。</w:t>
      </w:r>
    </w:p>
    <w:p>
      <w:pPr>
        <w:spacing w:line="560" w:lineRule="exact"/>
        <w:ind w:firstLine="640"/>
        <w:rPr>
          <w:rFonts w:ascii="仿宋" w:hAnsi="仿宋"/>
          <w:szCs w:val="30"/>
        </w:rPr>
      </w:pPr>
      <w:r>
        <w:rPr>
          <w:rFonts w:hint="eastAsia" w:ascii="仿宋" w:hAnsi="仿宋"/>
          <w:b/>
          <w:szCs w:val="32"/>
        </w:rPr>
        <w:t xml:space="preserve">第六十二条 </w:t>
      </w:r>
      <w:r>
        <w:rPr>
          <w:rFonts w:hint="eastAsia" w:ascii="仿宋" w:hAnsi="仿宋"/>
          <w:szCs w:val="30"/>
        </w:rPr>
        <w:t>绿色公司债券存续期内，发行人应当在定期报告中披露绿色公司债券募集资金使用情况、绿色项目进展情况及其产生的环境效益等。</w:t>
      </w:r>
    </w:p>
    <w:p>
      <w:pPr>
        <w:spacing w:line="560" w:lineRule="exact"/>
        <w:ind w:firstLine="640"/>
        <w:rPr>
          <w:rFonts w:ascii="仿宋" w:hAnsi="仿宋"/>
          <w:szCs w:val="30"/>
        </w:rPr>
      </w:pPr>
      <w:r>
        <w:rPr>
          <w:rFonts w:hint="eastAsia" w:ascii="仿宋" w:hAnsi="仿宋"/>
          <w:szCs w:val="30"/>
        </w:rPr>
        <w:t>受托管理人应当在年度受托管理事务报告中披露对上述内容的核查情况。</w:t>
      </w:r>
    </w:p>
    <w:p>
      <w:pPr>
        <w:spacing w:line="560" w:lineRule="exact"/>
        <w:ind w:firstLine="640"/>
        <w:rPr>
          <w:rFonts w:ascii="仿宋" w:hAnsi="仿宋" w:cs="方正仿宋简体"/>
          <w:szCs w:val="30"/>
        </w:rPr>
      </w:pPr>
      <w:r>
        <w:rPr>
          <w:rFonts w:hint="eastAsia" w:ascii="仿宋" w:hAnsi="仿宋" w:cs="方正仿宋简体"/>
          <w:b/>
          <w:szCs w:val="32"/>
        </w:rPr>
        <w:t xml:space="preserve">第六十三条 </w:t>
      </w:r>
      <w:r>
        <w:rPr>
          <w:rFonts w:hint="eastAsia" w:ascii="仿宋" w:hAnsi="仿宋"/>
          <w:szCs w:val="30"/>
        </w:rPr>
        <w:t>本所鼓励发行人</w:t>
      </w:r>
      <w:r>
        <w:rPr>
          <w:rFonts w:hint="eastAsia" w:ascii="仿宋" w:hAnsi="仿宋" w:cs="方正仿宋简体"/>
          <w:szCs w:val="30"/>
        </w:rPr>
        <w:t>聘请独立的第三方评估认证机构出具评估认证报告，就募集资金用途、项目评估与遴选、募集资金管理、存续期信息披露等方面的要求进行说明，并在评估认证结论中披露公司债券的绿色程度和评价方法。</w:t>
      </w:r>
    </w:p>
    <w:p>
      <w:pPr>
        <w:spacing w:line="560" w:lineRule="exact"/>
        <w:ind w:firstLine="632" w:firstLineChars="200"/>
        <w:rPr>
          <w:rFonts w:ascii="仿宋" w:hAnsi="仿宋"/>
          <w:szCs w:val="30"/>
        </w:rPr>
      </w:pPr>
      <w:r>
        <w:rPr>
          <w:rFonts w:hint="eastAsia" w:ascii="仿宋" w:hAnsi="仿宋"/>
          <w:szCs w:val="30"/>
        </w:rPr>
        <w:t>评估认证机构的资质、评估认证报告的内容等应当符合《绿色债券评估认证行为指引（暂行）》的相关规定。</w:t>
      </w:r>
    </w:p>
    <w:p>
      <w:pPr>
        <w:spacing w:line="560" w:lineRule="exact"/>
        <w:ind w:firstLine="640"/>
        <w:rPr>
          <w:rFonts w:ascii="仿宋" w:hAnsi="仿宋"/>
          <w:szCs w:val="30"/>
        </w:rPr>
      </w:pPr>
      <w:r>
        <w:rPr>
          <w:rFonts w:hint="eastAsia" w:ascii="仿宋" w:hAnsi="仿宋"/>
          <w:b/>
          <w:szCs w:val="32"/>
        </w:rPr>
        <w:t xml:space="preserve">第六十四条 </w:t>
      </w:r>
      <w:r>
        <w:rPr>
          <w:rFonts w:hint="eastAsia" w:ascii="仿宋" w:hAnsi="仿宋"/>
          <w:szCs w:val="30"/>
        </w:rPr>
        <w:t>绿色公司债券存续期内，本所鼓励发行人按年度向市场披露由独立的第三方评估认证机构出具的评估认证报告，对绿色公司债券支持的绿色项目进展及其环境效益等实施持续跟踪评估认证。碳中和绿色公司债券的评估认证还应当包含碳减排情况。</w:t>
      </w:r>
    </w:p>
    <w:p>
      <w:pPr>
        <w:adjustRightInd w:val="0"/>
        <w:snapToGrid w:val="0"/>
        <w:spacing w:line="560" w:lineRule="exact"/>
        <w:jc w:val="center"/>
        <w:outlineLvl w:val="0"/>
        <w:rPr>
          <w:rFonts w:ascii="黑体" w:hAnsi="黑体" w:eastAsia="黑体"/>
          <w:b/>
          <w:color w:val="000000"/>
          <w:sz w:val="30"/>
          <w:szCs w:val="30"/>
        </w:rPr>
      </w:pPr>
      <w:r>
        <w:rPr>
          <w:rFonts w:hint="eastAsia" w:ascii="黑体" w:hAnsi="黑体" w:eastAsia="黑体"/>
          <w:bCs/>
          <w:color w:val="000000"/>
          <w:kern w:val="0"/>
          <w:szCs w:val="30"/>
        </w:rPr>
        <w:t>第六章 低碳</w:t>
      </w:r>
      <w:r>
        <w:rPr>
          <w:rFonts w:ascii="黑体" w:hAnsi="黑体" w:eastAsia="黑体"/>
          <w:bCs/>
          <w:color w:val="000000"/>
          <w:kern w:val="0"/>
          <w:szCs w:val="30"/>
        </w:rPr>
        <w:t>转型</w:t>
      </w:r>
      <w:r>
        <w:rPr>
          <w:rFonts w:hint="eastAsia" w:ascii="黑体" w:hAnsi="黑体" w:eastAsia="黑体"/>
          <w:bCs/>
          <w:color w:val="000000"/>
          <w:kern w:val="0"/>
          <w:szCs w:val="30"/>
        </w:rPr>
        <w:t>公司债券</w:t>
      </w:r>
    </w:p>
    <w:p>
      <w:pPr>
        <w:spacing w:line="560" w:lineRule="exact"/>
        <w:ind w:firstLine="640"/>
        <w:rPr>
          <w:rFonts w:ascii="仿宋" w:hAnsi="仿宋"/>
          <w:szCs w:val="32"/>
        </w:rPr>
      </w:pPr>
      <w:r>
        <w:rPr>
          <w:rFonts w:hint="eastAsia" w:ascii="仿宋" w:hAnsi="仿宋"/>
          <w:b/>
          <w:szCs w:val="32"/>
        </w:rPr>
        <w:t xml:space="preserve">第六十五条 </w:t>
      </w:r>
      <w:r>
        <w:rPr>
          <w:rFonts w:hint="eastAsia" w:ascii="仿宋" w:hAnsi="仿宋"/>
          <w:szCs w:val="32"/>
        </w:rPr>
        <w:t>本指引所称低碳转型公司债券，是指募集资金主要用于推动企业绿色低碳转型的公司债券，或者通过设置挂钩条款等方式推动企业绿色低碳转型的公司债券。</w:t>
      </w:r>
    </w:p>
    <w:p>
      <w:pPr>
        <w:spacing w:line="560" w:lineRule="exact"/>
        <w:ind w:firstLine="640"/>
        <w:rPr>
          <w:rFonts w:ascii="仿宋" w:hAnsi="仿宋"/>
          <w:szCs w:val="32"/>
        </w:rPr>
      </w:pPr>
      <w:r>
        <w:rPr>
          <w:rFonts w:hint="eastAsia" w:ascii="仿宋" w:hAnsi="仿宋"/>
          <w:b/>
          <w:szCs w:val="32"/>
        </w:rPr>
        <w:t xml:space="preserve">第六十六条 </w:t>
      </w:r>
      <w:r>
        <w:rPr>
          <w:rFonts w:hint="eastAsia" w:ascii="仿宋" w:hAnsi="仿宋"/>
          <w:szCs w:val="32"/>
        </w:rPr>
        <w:t>募集资金主要用于低碳转型领域的公司债券，募集资金用途应当符合国家低碳转型相关发展规划、政策文件以及国家产业政策要求，用于投向低碳转型领域的金额应当不低于募集资金总额的</w:t>
      </w:r>
      <w:r>
        <w:rPr>
          <w:rFonts w:ascii="仿宋" w:hAnsi="仿宋"/>
          <w:szCs w:val="32"/>
        </w:rPr>
        <w:t>70%</w:t>
      </w:r>
      <w:r>
        <w:rPr>
          <w:rFonts w:hint="eastAsia" w:ascii="仿宋" w:hAnsi="仿宋"/>
          <w:szCs w:val="32"/>
        </w:rPr>
        <w:t>。</w:t>
      </w:r>
    </w:p>
    <w:p>
      <w:pPr>
        <w:spacing w:line="560" w:lineRule="exact"/>
        <w:ind w:firstLine="632" w:firstLineChars="200"/>
        <w:rPr>
          <w:rFonts w:ascii="仿宋" w:hAnsi="仿宋"/>
          <w:szCs w:val="32"/>
        </w:rPr>
      </w:pPr>
      <w:r>
        <w:rPr>
          <w:rFonts w:hint="eastAsia" w:ascii="仿宋" w:hAnsi="仿宋"/>
          <w:szCs w:val="32"/>
        </w:rPr>
        <w:t>前款所称低碳转型领域包括：</w:t>
      </w:r>
    </w:p>
    <w:p>
      <w:pPr>
        <w:spacing w:line="560" w:lineRule="exact"/>
        <w:ind w:firstLine="632" w:firstLineChars="200"/>
        <w:rPr>
          <w:rFonts w:ascii="仿宋" w:hAnsi="仿宋"/>
          <w:szCs w:val="32"/>
        </w:rPr>
      </w:pPr>
      <w:r>
        <w:rPr>
          <w:rFonts w:hint="eastAsia" w:ascii="仿宋" w:hAnsi="仿宋"/>
          <w:szCs w:val="32"/>
        </w:rPr>
        <w:t>（一）节能降碳技术研发和应用领域，包括高耗能行业重点领域节能降碳改造升级实施指南、绿色技术推广目录、工业节能技术推荐目录、“能效之星”装备产品目录等收录的先进技术装备以及其他有助于生产过程污染防治、降低产品能耗碳排的技术工艺以及装备等领域；</w:t>
      </w:r>
    </w:p>
    <w:p>
      <w:pPr>
        <w:spacing w:line="560" w:lineRule="exact"/>
        <w:ind w:firstLine="632" w:firstLineChars="200"/>
        <w:rPr>
          <w:rFonts w:ascii="仿宋" w:hAnsi="仿宋"/>
          <w:szCs w:val="32"/>
        </w:rPr>
      </w:pPr>
      <w:r>
        <w:rPr>
          <w:rFonts w:hint="eastAsia" w:ascii="仿宋" w:hAnsi="仿宋"/>
          <w:szCs w:val="32"/>
        </w:rPr>
        <w:t>（二）化石能源清洁高效开发利用领域，包括煤炭安全高效绿色智能开采和清洁高效加工、煤炭资源综合利用、油气清洁高效利用等领域；</w:t>
      </w:r>
    </w:p>
    <w:p>
      <w:pPr>
        <w:spacing w:line="560" w:lineRule="exact"/>
        <w:ind w:firstLine="632" w:firstLineChars="200"/>
        <w:rPr>
          <w:rFonts w:ascii="仿宋" w:hAnsi="仿宋"/>
          <w:szCs w:val="32"/>
        </w:rPr>
      </w:pPr>
      <w:r>
        <w:rPr>
          <w:rFonts w:hint="eastAsia" w:ascii="仿宋" w:hAnsi="仿宋"/>
          <w:szCs w:val="32"/>
        </w:rPr>
        <w:t>（三）数据中心以及其他新型基础设施节能降耗领域，包括节能降耗技术应用、老旧基础设施转型升级等领域；</w:t>
      </w:r>
    </w:p>
    <w:p>
      <w:pPr>
        <w:spacing w:line="560" w:lineRule="exact"/>
        <w:ind w:firstLine="632" w:firstLineChars="200"/>
        <w:rPr>
          <w:rFonts w:ascii="仿宋" w:hAnsi="仿宋"/>
          <w:szCs w:val="32"/>
        </w:rPr>
      </w:pPr>
      <w:r>
        <w:rPr>
          <w:rFonts w:hint="eastAsia" w:ascii="仿宋" w:hAnsi="仿宋"/>
          <w:szCs w:val="32"/>
        </w:rPr>
        <w:t>（四）园区节能环保提升领域，包括园区能源系统整体优化和污染综合整治、“绿岛”项目建设、节能环保产业基地（园区）建设等领域；</w:t>
      </w:r>
    </w:p>
    <w:p>
      <w:pPr>
        <w:spacing w:line="560" w:lineRule="exact"/>
        <w:ind w:firstLine="632" w:firstLineChars="200"/>
        <w:rPr>
          <w:rFonts w:ascii="仿宋" w:hAnsi="仿宋"/>
          <w:szCs w:val="32"/>
        </w:rPr>
      </w:pPr>
      <w:r>
        <w:rPr>
          <w:rFonts w:hint="eastAsia" w:ascii="仿宋" w:hAnsi="仿宋"/>
          <w:szCs w:val="32"/>
        </w:rPr>
        <w:t>（五）其他低碳转型领域。</w:t>
      </w:r>
    </w:p>
    <w:p>
      <w:pPr>
        <w:spacing w:line="560" w:lineRule="exact"/>
        <w:ind w:firstLine="640"/>
        <w:rPr>
          <w:rFonts w:ascii="仿宋" w:hAnsi="仿宋"/>
          <w:szCs w:val="32"/>
        </w:rPr>
      </w:pPr>
      <w:r>
        <w:rPr>
          <w:rFonts w:hint="eastAsia" w:ascii="仿宋" w:hAnsi="仿宋"/>
          <w:b/>
          <w:szCs w:val="32"/>
        </w:rPr>
        <w:t xml:space="preserve">第六十七条 </w:t>
      </w:r>
      <w:r>
        <w:rPr>
          <w:rFonts w:hint="eastAsia" w:ascii="仿宋" w:hAnsi="仿宋"/>
          <w:szCs w:val="32"/>
        </w:rPr>
        <w:t>发行人募集资金可以通过下列方式投入低碳转型领域：</w:t>
      </w:r>
    </w:p>
    <w:p>
      <w:pPr>
        <w:spacing w:line="560" w:lineRule="exact"/>
        <w:ind w:firstLine="632" w:firstLineChars="200"/>
        <w:rPr>
          <w:rFonts w:ascii="仿宋" w:hAnsi="仿宋"/>
          <w:szCs w:val="32"/>
        </w:rPr>
      </w:pPr>
      <w:r>
        <w:rPr>
          <w:rFonts w:hint="eastAsia" w:ascii="仿宋" w:hAnsi="仿宋"/>
          <w:szCs w:val="32"/>
        </w:rPr>
        <w:t>（一）用于低碳转型领域相关的技术研发、工艺改进、设备采购以及租赁、专业服务采购等；</w:t>
      </w:r>
    </w:p>
    <w:p>
      <w:pPr>
        <w:spacing w:line="560" w:lineRule="exact"/>
        <w:ind w:firstLine="632" w:firstLineChars="200"/>
        <w:rPr>
          <w:rFonts w:ascii="仿宋" w:hAnsi="仿宋"/>
          <w:szCs w:val="32"/>
        </w:rPr>
      </w:pPr>
      <w:r>
        <w:rPr>
          <w:rFonts w:hint="eastAsia" w:ascii="仿宋" w:hAnsi="仿宋"/>
          <w:szCs w:val="32"/>
        </w:rPr>
        <w:t>（二）用于低碳转型领域相关项目的建设、并购、补充项目配套营运资金或者偿还低碳转型项目的有息负债；</w:t>
      </w:r>
    </w:p>
    <w:p>
      <w:pPr>
        <w:spacing w:line="560" w:lineRule="exact"/>
        <w:ind w:firstLine="632" w:firstLineChars="200"/>
        <w:rPr>
          <w:rFonts w:ascii="仿宋" w:hAnsi="仿宋"/>
          <w:szCs w:val="32"/>
        </w:rPr>
      </w:pPr>
      <w:r>
        <w:rPr>
          <w:rFonts w:hint="eastAsia" w:ascii="仿宋" w:hAnsi="仿宋"/>
          <w:szCs w:val="32"/>
        </w:rPr>
        <w:t>（三）通过直接投资或者基金投资方式对低碳转型领域进行股权投资；</w:t>
      </w:r>
    </w:p>
    <w:p>
      <w:pPr>
        <w:spacing w:line="560" w:lineRule="exact"/>
        <w:ind w:firstLine="632" w:firstLineChars="200"/>
        <w:rPr>
          <w:rFonts w:ascii="仿宋" w:hAnsi="仿宋"/>
          <w:szCs w:val="32"/>
        </w:rPr>
      </w:pPr>
      <w:r>
        <w:rPr>
          <w:rFonts w:hint="eastAsia" w:ascii="仿宋" w:hAnsi="仿宋"/>
          <w:szCs w:val="32"/>
        </w:rPr>
        <w:t>（四）其他符合低碳转型领域要求的投资方式。</w:t>
      </w:r>
    </w:p>
    <w:p>
      <w:pPr>
        <w:spacing w:line="560" w:lineRule="exact"/>
        <w:ind w:firstLine="640"/>
        <w:rPr>
          <w:rFonts w:ascii="仿宋" w:hAnsi="仿宋"/>
          <w:szCs w:val="32"/>
        </w:rPr>
      </w:pPr>
      <w:r>
        <w:rPr>
          <w:rFonts w:hint="eastAsia" w:ascii="仿宋" w:hAnsi="仿宋"/>
          <w:b/>
          <w:szCs w:val="32"/>
        </w:rPr>
        <w:t xml:space="preserve">第六十八条 </w:t>
      </w:r>
      <w:r>
        <w:rPr>
          <w:rFonts w:hint="eastAsia" w:ascii="仿宋" w:hAnsi="仿宋"/>
          <w:szCs w:val="32"/>
        </w:rPr>
        <w:t>发行人可以使用募集资金置换债券发行前3个月内在低碳转型领域的自有资金支出。本所鼓励将置换后的资金用于新的低碳转型领域投资，形成投资良性循环。</w:t>
      </w:r>
    </w:p>
    <w:p>
      <w:pPr>
        <w:spacing w:line="560" w:lineRule="exact"/>
        <w:ind w:firstLine="632" w:firstLineChars="200"/>
        <w:rPr>
          <w:rFonts w:ascii="仿宋" w:hAnsi="仿宋"/>
          <w:szCs w:val="32"/>
        </w:rPr>
      </w:pPr>
      <w:r>
        <w:rPr>
          <w:rFonts w:hint="eastAsia" w:ascii="仿宋" w:hAnsi="仿宋"/>
          <w:szCs w:val="32"/>
        </w:rPr>
        <w:t>发行人能效或者化石能源清洁高效利用水平达到相关行业监管标准的标杆水平的，前款规定置换自有资金支出的期限可以延长至发行前1年。</w:t>
      </w:r>
    </w:p>
    <w:p>
      <w:pPr>
        <w:spacing w:line="560" w:lineRule="exact"/>
        <w:ind w:firstLine="640"/>
        <w:rPr>
          <w:rFonts w:ascii="仿宋" w:hAnsi="仿宋"/>
          <w:szCs w:val="32"/>
        </w:rPr>
      </w:pPr>
      <w:r>
        <w:rPr>
          <w:rFonts w:hint="eastAsia" w:ascii="仿宋" w:hAnsi="仿宋"/>
          <w:b/>
          <w:szCs w:val="32"/>
        </w:rPr>
        <w:t xml:space="preserve">第六十九条 </w:t>
      </w:r>
      <w:r>
        <w:rPr>
          <w:rFonts w:hint="eastAsia" w:ascii="仿宋" w:hAnsi="仿宋"/>
          <w:szCs w:val="32"/>
        </w:rPr>
        <w:t>发行人应当在募集说明书中披露募集资金拟投向的低碳转型领域的具体情况，包括但不限于低碳转型项目（如有）或者经济活动具体内容、涉及的低碳转型技术、预计能效或者转型效果、预计经济效益以及环境社会效益。</w:t>
      </w:r>
    </w:p>
    <w:p>
      <w:pPr>
        <w:spacing w:line="560" w:lineRule="exact"/>
        <w:ind w:firstLine="640"/>
        <w:rPr>
          <w:rFonts w:ascii="仿宋" w:hAnsi="仿宋"/>
          <w:szCs w:val="32"/>
        </w:rPr>
      </w:pPr>
      <w:r>
        <w:rPr>
          <w:rFonts w:hint="eastAsia" w:ascii="仿宋" w:hAnsi="仿宋"/>
          <w:b/>
          <w:szCs w:val="32"/>
        </w:rPr>
        <w:t xml:space="preserve">第七十条 </w:t>
      </w:r>
      <w:r>
        <w:rPr>
          <w:rFonts w:hint="eastAsia" w:ascii="仿宋" w:hAnsi="仿宋"/>
          <w:szCs w:val="32"/>
        </w:rPr>
        <w:t>债券存续期内，发行人应当在定期报告中披露募集资金使用情况、低碳转型项目进展情况（如有）及其产能效益或者转型效果等内容。</w:t>
      </w:r>
    </w:p>
    <w:p>
      <w:pPr>
        <w:spacing w:line="560" w:lineRule="exact"/>
        <w:ind w:firstLine="640"/>
        <w:rPr>
          <w:rFonts w:ascii="仿宋" w:hAnsi="仿宋"/>
          <w:szCs w:val="32"/>
        </w:rPr>
      </w:pPr>
      <w:r>
        <w:rPr>
          <w:rFonts w:hint="eastAsia" w:ascii="仿宋" w:hAnsi="仿宋"/>
          <w:szCs w:val="32"/>
        </w:rPr>
        <w:t>受托管理人应当在年度受托管理事务报告中披露对上述内容的核查情况。</w:t>
      </w:r>
    </w:p>
    <w:p>
      <w:pPr>
        <w:spacing w:line="560" w:lineRule="exact"/>
        <w:ind w:firstLine="640"/>
        <w:rPr>
          <w:rFonts w:ascii="仿宋" w:hAnsi="仿宋"/>
          <w:szCs w:val="32"/>
        </w:rPr>
      </w:pPr>
      <w:r>
        <w:rPr>
          <w:rFonts w:hint="eastAsia" w:ascii="仿宋" w:hAnsi="仿宋"/>
          <w:b/>
          <w:szCs w:val="32"/>
        </w:rPr>
        <w:t xml:space="preserve">第七十一条 </w:t>
      </w:r>
      <w:r>
        <w:rPr>
          <w:rFonts w:hint="eastAsia" w:ascii="仿宋" w:hAnsi="仿宋"/>
          <w:szCs w:val="32"/>
        </w:rPr>
        <w:t>本所鼓励低碳转型公司债券发行人在申报发行时聘请独立的第三方机构出具评估认证报告，就低碳转型债券募集资金用途、涉及的低碳转型技术、环境效益等方面进行评估认证。</w:t>
      </w:r>
    </w:p>
    <w:p>
      <w:pPr>
        <w:spacing w:line="560" w:lineRule="exact"/>
        <w:ind w:firstLine="632" w:firstLineChars="200"/>
        <w:rPr>
          <w:rFonts w:ascii="仿宋" w:hAnsi="仿宋"/>
          <w:szCs w:val="32"/>
        </w:rPr>
      </w:pPr>
      <w:r>
        <w:rPr>
          <w:rFonts w:hint="eastAsia" w:ascii="仿宋" w:hAnsi="仿宋"/>
          <w:szCs w:val="32"/>
        </w:rPr>
        <w:t>债券存续期内，本所鼓励发行人按年度向市场披露由独立的第三方评估认证机构出具的评估认证报告，对募集资金投向的低碳转型领域项目进展（如有）及其环境效益等实施持续跟踪评估认证。</w:t>
      </w:r>
    </w:p>
    <w:p>
      <w:pPr>
        <w:spacing w:line="560" w:lineRule="exact"/>
        <w:ind w:firstLine="640"/>
        <w:rPr>
          <w:rFonts w:ascii="仿宋" w:hAnsi="仿宋"/>
          <w:szCs w:val="32"/>
        </w:rPr>
      </w:pPr>
      <w:r>
        <w:rPr>
          <w:rFonts w:hint="eastAsia" w:ascii="仿宋" w:hAnsi="仿宋"/>
          <w:b/>
          <w:szCs w:val="32"/>
        </w:rPr>
        <w:t xml:space="preserve">第七十二条 </w:t>
      </w:r>
      <w:r>
        <w:rPr>
          <w:rFonts w:hint="eastAsia" w:ascii="仿宋" w:hAnsi="仿宋"/>
          <w:szCs w:val="32"/>
        </w:rPr>
        <w:t>发行人可以通过遴选关键绩效指标和低碳转型目标，明确目标达成时限，并将债券条款的调整与发行人低碳转型目标的达成情况挂钩，发行低碳转型挂钩公司债券。</w:t>
      </w:r>
    </w:p>
    <w:p>
      <w:pPr>
        <w:spacing w:line="560" w:lineRule="exact"/>
        <w:ind w:firstLine="632" w:firstLineChars="200"/>
        <w:rPr>
          <w:rFonts w:ascii="仿宋" w:hAnsi="仿宋"/>
          <w:szCs w:val="32"/>
        </w:rPr>
      </w:pPr>
      <w:r>
        <w:rPr>
          <w:rFonts w:hint="eastAsia" w:ascii="仿宋" w:hAnsi="仿宋"/>
          <w:szCs w:val="32"/>
        </w:rPr>
        <w:t>前款所称关键绩效指标在约定时限未达到（或者达到）预定的低碳转型目标，将触发债券条款的调整。债券条款的调整内容包括但不限于票面利率调升（调降）、提前到期、一次性额外支付。</w:t>
      </w:r>
    </w:p>
    <w:p>
      <w:pPr>
        <w:spacing w:line="560" w:lineRule="exact"/>
        <w:ind w:firstLine="632" w:firstLineChars="200"/>
        <w:rPr>
          <w:rFonts w:ascii="仿宋" w:hAnsi="仿宋"/>
          <w:szCs w:val="32"/>
        </w:rPr>
      </w:pPr>
      <w:r>
        <w:rPr>
          <w:rFonts w:hint="eastAsia" w:ascii="仿宋" w:hAnsi="仿宋"/>
          <w:szCs w:val="32"/>
        </w:rPr>
        <w:t>低碳转型挂钩公司债券的募集资金用途不受本指引第六十六条的限制。</w:t>
      </w:r>
    </w:p>
    <w:p>
      <w:pPr>
        <w:spacing w:line="560" w:lineRule="exact"/>
        <w:ind w:firstLine="640"/>
        <w:rPr>
          <w:rFonts w:ascii="仿宋" w:hAnsi="仿宋"/>
          <w:szCs w:val="32"/>
        </w:rPr>
      </w:pPr>
      <w:r>
        <w:rPr>
          <w:rFonts w:hint="eastAsia" w:ascii="仿宋" w:hAnsi="仿宋"/>
          <w:b/>
          <w:szCs w:val="32"/>
        </w:rPr>
        <w:t xml:space="preserve">第七十三条 </w:t>
      </w:r>
      <w:r>
        <w:rPr>
          <w:rFonts w:hint="eastAsia" w:ascii="仿宋" w:hAnsi="仿宋"/>
          <w:szCs w:val="32"/>
        </w:rPr>
        <w:t>本所鼓励低碳转型挂钩公司债券发行人在申报发行时聘请独立第三方机构对关键绩效指标遴选、低碳转型目标选择、计算方法以及依据、基数计算等方面进行评估认证。</w:t>
      </w:r>
    </w:p>
    <w:p>
      <w:pPr>
        <w:spacing w:line="560" w:lineRule="exact"/>
        <w:ind w:firstLine="632" w:firstLineChars="200"/>
        <w:rPr>
          <w:rFonts w:ascii="仿宋" w:hAnsi="仿宋"/>
          <w:szCs w:val="32"/>
        </w:rPr>
      </w:pPr>
      <w:r>
        <w:rPr>
          <w:rFonts w:hint="eastAsia" w:ascii="仿宋" w:hAnsi="仿宋"/>
          <w:szCs w:val="32"/>
        </w:rPr>
        <w:t>债券存续期内，发行人应当在定期报告中披露报告期内关键绩效指标表现、低碳转型目标达成情况、对债券条款所产生的影响、实现的低碳转型效益，以及其他有助于投资者了解发行人低碳转型情况的相关信息。受托管理人应当在年度受托管理事务报告中披露对上述内容的核查情况。</w:t>
      </w:r>
    </w:p>
    <w:p>
      <w:pPr>
        <w:spacing w:line="560" w:lineRule="exact"/>
        <w:ind w:firstLine="632" w:firstLineChars="200"/>
        <w:rPr>
          <w:rFonts w:ascii="仿宋" w:hAnsi="仿宋"/>
          <w:szCs w:val="32"/>
        </w:rPr>
      </w:pPr>
      <w:r>
        <w:rPr>
          <w:rFonts w:hint="eastAsia" w:ascii="仿宋" w:hAnsi="仿宋"/>
          <w:szCs w:val="32"/>
        </w:rPr>
        <w:t>发行人应当聘请独立第三方机构按年度对关键绩效指标表现以及低碳转型目标达成情况实施跟踪评估认证并出具评估认证报告，直至债券挂钩条款执行完毕。</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第七章 科技创新公司债券</w:t>
      </w:r>
    </w:p>
    <w:p>
      <w:pPr>
        <w:adjustRightInd w:val="0"/>
        <w:snapToGrid w:val="0"/>
        <w:spacing w:line="560" w:lineRule="exact"/>
        <w:jc w:val="center"/>
        <w:outlineLvl w:val="1"/>
        <w:rPr>
          <w:rFonts w:ascii="楷体" w:hAnsi="楷体" w:eastAsia="楷体"/>
          <w:bCs/>
          <w:color w:val="000000"/>
          <w:kern w:val="0"/>
          <w:szCs w:val="30"/>
        </w:rPr>
      </w:pPr>
      <w:bookmarkStart w:id="0" w:name="_Toc57376958"/>
      <w:bookmarkStart w:id="1" w:name="_Toc71891082"/>
      <w:r>
        <w:rPr>
          <w:rFonts w:hint="eastAsia" w:ascii="楷体" w:hAnsi="楷体" w:eastAsia="楷体"/>
          <w:bCs/>
          <w:color w:val="000000"/>
          <w:kern w:val="0"/>
          <w:szCs w:val="30"/>
        </w:rPr>
        <w:t>第一节</w:t>
      </w:r>
      <w:r>
        <w:rPr>
          <w:rFonts w:ascii="楷体" w:hAnsi="楷体" w:eastAsia="楷体"/>
          <w:bCs/>
          <w:color w:val="000000"/>
          <w:kern w:val="0"/>
          <w:szCs w:val="30"/>
        </w:rPr>
        <w:t xml:space="preserve"> </w:t>
      </w:r>
      <w:r>
        <w:rPr>
          <w:rFonts w:hint="eastAsia" w:ascii="楷体" w:hAnsi="楷体" w:eastAsia="楷体"/>
          <w:bCs/>
          <w:color w:val="000000"/>
          <w:kern w:val="0"/>
          <w:szCs w:val="30"/>
        </w:rPr>
        <w:t>一般规定</w:t>
      </w:r>
      <w:bookmarkEnd w:id="0"/>
      <w:bookmarkEnd w:id="1"/>
    </w:p>
    <w:p>
      <w:pPr>
        <w:spacing w:line="560" w:lineRule="exact"/>
        <w:ind w:firstLine="640"/>
        <w:rPr>
          <w:rFonts w:ascii="仿宋" w:hAnsi="仿宋"/>
          <w:szCs w:val="32"/>
        </w:rPr>
      </w:pPr>
      <w:r>
        <w:rPr>
          <w:rFonts w:hint="eastAsia" w:ascii="仿宋" w:hAnsi="仿宋"/>
          <w:b/>
          <w:szCs w:val="32"/>
        </w:rPr>
        <w:t xml:space="preserve">第七十四条 </w:t>
      </w:r>
      <w:r>
        <w:rPr>
          <w:rFonts w:hint="eastAsia" w:ascii="仿宋" w:hAnsi="仿宋"/>
          <w:szCs w:val="32"/>
        </w:rPr>
        <w:t>本指引所称科技创新公司债券，是指由科技创新领域相关企业发行的公司债券，或者募集资金主要用于支持科技创新领域发展的公司债券。科技创新公司债券发行人包括科技创新、科创升级、科创投资和科创孵化四类企业。</w:t>
      </w:r>
    </w:p>
    <w:p>
      <w:pPr>
        <w:spacing w:line="560" w:lineRule="exact"/>
        <w:ind w:firstLine="640"/>
        <w:rPr>
          <w:rFonts w:ascii="仿宋" w:hAnsi="仿宋"/>
          <w:szCs w:val="32"/>
        </w:rPr>
      </w:pPr>
      <w:r>
        <w:rPr>
          <w:rFonts w:hint="eastAsia" w:ascii="仿宋" w:hAnsi="仿宋"/>
          <w:b/>
          <w:szCs w:val="32"/>
        </w:rPr>
        <w:t xml:space="preserve">第七十五条 </w:t>
      </w:r>
      <w:r>
        <w:rPr>
          <w:rFonts w:hint="eastAsia" w:ascii="仿宋" w:hAnsi="仿宋"/>
          <w:szCs w:val="32"/>
        </w:rPr>
        <w:t>科技创新公司债券募集资金用于科技研发投入、国家重大科技项目等特定专项用途的，可以在债券名称中增加专项用途标识。</w:t>
      </w:r>
    </w:p>
    <w:p>
      <w:pPr>
        <w:spacing w:line="560" w:lineRule="exact"/>
        <w:ind w:firstLine="640"/>
        <w:rPr>
          <w:rFonts w:ascii="仿宋" w:hAnsi="仿宋"/>
          <w:szCs w:val="32"/>
        </w:rPr>
      </w:pPr>
      <w:r>
        <w:rPr>
          <w:rFonts w:hint="eastAsia" w:ascii="仿宋" w:hAnsi="仿宋"/>
          <w:b/>
          <w:szCs w:val="32"/>
        </w:rPr>
        <w:t xml:space="preserve">第七十六条 </w:t>
      </w:r>
      <w:r>
        <w:rPr>
          <w:rFonts w:hint="eastAsia" w:ascii="仿宋" w:hAnsi="仿宋"/>
          <w:szCs w:val="32"/>
        </w:rPr>
        <w:t>本所对科技创新公司债券建立融资服务绿色通道，提高科技创新公司债券发行上市审核、挂牌条件确认工作效率。</w:t>
      </w:r>
    </w:p>
    <w:p>
      <w:pPr>
        <w:adjustRightInd w:val="0"/>
        <w:snapToGrid w:val="0"/>
        <w:spacing w:line="560" w:lineRule="exact"/>
        <w:ind w:firstLine="632" w:firstLineChars="200"/>
        <w:rPr>
          <w:rFonts w:ascii="仿宋" w:hAnsi="仿宋"/>
          <w:szCs w:val="32"/>
        </w:rPr>
      </w:pPr>
      <w:r>
        <w:rPr>
          <w:rFonts w:hint="eastAsia" w:ascii="仿宋" w:hAnsi="仿宋"/>
          <w:szCs w:val="32"/>
        </w:rPr>
        <w:t>本所重点支持高新技术产业和战略性新兴产业细分领域，以及引领产业转型升级领域的企业发行科技创新公司债券。</w:t>
      </w:r>
    </w:p>
    <w:p>
      <w:pPr>
        <w:spacing w:line="560" w:lineRule="exact"/>
        <w:ind w:firstLine="640"/>
        <w:rPr>
          <w:rFonts w:ascii="仿宋" w:hAnsi="仿宋"/>
          <w:szCs w:val="32"/>
        </w:rPr>
      </w:pPr>
      <w:r>
        <w:rPr>
          <w:rFonts w:hint="eastAsia" w:ascii="仿宋" w:hAnsi="仿宋"/>
          <w:b/>
          <w:szCs w:val="32"/>
        </w:rPr>
        <w:t xml:space="preserve">第七十七条 </w:t>
      </w:r>
      <w:r>
        <w:rPr>
          <w:rFonts w:hint="eastAsia" w:ascii="仿宋" w:hAnsi="仿宋"/>
          <w:szCs w:val="32"/>
        </w:rPr>
        <w:t>法律法规以及本所业务规则对中央企业等发行科技创新公司债券另有规定的，从其规定。</w:t>
      </w:r>
    </w:p>
    <w:p>
      <w:pPr>
        <w:adjustRightInd w:val="0"/>
        <w:snapToGrid w:val="0"/>
        <w:spacing w:line="560" w:lineRule="exact"/>
        <w:jc w:val="center"/>
        <w:outlineLvl w:val="1"/>
        <w:rPr>
          <w:rFonts w:ascii="楷体" w:hAnsi="楷体" w:eastAsia="楷体"/>
          <w:bCs/>
          <w:color w:val="000000"/>
          <w:kern w:val="0"/>
          <w:szCs w:val="30"/>
        </w:rPr>
      </w:pPr>
      <w:bookmarkStart w:id="2" w:name="_Toc71891083"/>
      <w:r>
        <w:rPr>
          <w:rFonts w:hint="eastAsia" w:ascii="楷体" w:hAnsi="楷体" w:eastAsia="楷体"/>
          <w:bCs/>
          <w:color w:val="000000"/>
          <w:kern w:val="0"/>
          <w:szCs w:val="30"/>
        </w:rPr>
        <w:t>第二节</w:t>
      </w:r>
      <w:r>
        <w:rPr>
          <w:rFonts w:ascii="楷体" w:hAnsi="楷体" w:eastAsia="楷体"/>
          <w:bCs/>
          <w:color w:val="000000"/>
          <w:kern w:val="0"/>
          <w:szCs w:val="30"/>
        </w:rPr>
        <w:t xml:space="preserve"> </w:t>
      </w:r>
      <w:r>
        <w:rPr>
          <w:rFonts w:hint="eastAsia" w:ascii="楷体" w:hAnsi="楷体" w:eastAsia="楷体"/>
          <w:bCs/>
          <w:color w:val="000000"/>
          <w:kern w:val="0"/>
          <w:szCs w:val="30"/>
        </w:rPr>
        <w:t>发行主体</w:t>
      </w:r>
      <w:bookmarkEnd w:id="2"/>
    </w:p>
    <w:p>
      <w:pPr>
        <w:spacing w:line="560" w:lineRule="exact"/>
        <w:ind w:firstLine="640"/>
        <w:rPr>
          <w:rFonts w:ascii="仿宋" w:hAnsi="仿宋"/>
          <w:szCs w:val="32"/>
        </w:rPr>
      </w:pPr>
      <w:r>
        <w:rPr>
          <w:rFonts w:hint="eastAsia" w:ascii="仿宋" w:hAnsi="仿宋"/>
          <w:b/>
          <w:szCs w:val="32"/>
        </w:rPr>
        <w:t xml:space="preserve">第七十八条 </w:t>
      </w:r>
      <w:r>
        <w:rPr>
          <w:rFonts w:hint="eastAsia" w:ascii="仿宋" w:hAnsi="仿宋"/>
          <w:szCs w:val="32"/>
        </w:rPr>
        <w:t>发行人申请发行科技创新公司债券并在本所上市或者挂牌的，最近一期末资产负债率原则上不高于80%。</w:t>
      </w:r>
    </w:p>
    <w:p>
      <w:pPr>
        <w:spacing w:line="560" w:lineRule="exact"/>
        <w:ind w:firstLine="640"/>
        <w:rPr>
          <w:rFonts w:ascii="仿宋" w:hAnsi="仿宋"/>
          <w:szCs w:val="32"/>
        </w:rPr>
      </w:pPr>
      <w:r>
        <w:rPr>
          <w:rFonts w:hint="eastAsia" w:ascii="仿宋" w:hAnsi="仿宋"/>
          <w:b/>
          <w:szCs w:val="32"/>
        </w:rPr>
        <w:t xml:space="preserve">第七十九条 </w:t>
      </w:r>
      <w:r>
        <w:rPr>
          <w:rFonts w:hint="eastAsia" w:ascii="仿宋" w:hAnsi="仿宋"/>
          <w:szCs w:val="32"/>
        </w:rPr>
        <w:t>科技创新类发行人应当具有显著的科技创新属性，并符合下列情形之一：</w:t>
      </w:r>
    </w:p>
    <w:p>
      <w:pPr>
        <w:adjustRightInd w:val="0"/>
        <w:snapToGrid w:val="0"/>
        <w:spacing w:line="560" w:lineRule="exact"/>
        <w:ind w:firstLine="632" w:firstLineChars="200"/>
        <w:rPr>
          <w:rFonts w:ascii="仿宋" w:hAnsi="仿宋" w:cs="仿宋"/>
          <w:color w:val="000000"/>
          <w:kern w:val="0"/>
          <w:szCs w:val="32"/>
        </w:rPr>
      </w:pPr>
      <w:r>
        <w:rPr>
          <w:rFonts w:hint="eastAsia" w:ascii="仿宋" w:hAnsi="仿宋" w:cs="仿宋"/>
          <w:color w:val="000000"/>
          <w:kern w:val="0"/>
          <w:szCs w:val="32"/>
        </w:rPr>
        <w:t>（一）发行人最近3年累计研发投入占累计营业收入的5%以上，或者最近3年累计研发投入金额在6000万元以上；</w:t>
      </w:r>
    </w:p>
    <w:p>
      <w:pPr>
        <w:adjustRightInd w:val="0"/>
        <w:snapToGrid w:val="0"/>
        <w:spacing w:line="560" w:lineRule="exact"/>
        <w:ind w:firstLine="632" w:firstLineChars="200"/>
        <w:rPr>
          <w:rFonts w:ascii="仿宋" w:hAnsi="仿宋" w:cs="仿宋"/>
          <w:color w:val="000000"/>
          <w:kern w:val="0"/>
          <w:szCs w:val="32"/>
        </w:rPr>
      </w:pPr>
      <w:r>
        <w:rPr>
          <w:rFonts w:hint="eastAsia" w:ascii="仿宋" w:hAnsi="仿宋" w:cs="仿宋"/>
          <w:color w:val="000000"/>
          <w:kern w:val="0"/>
          <w:szCs w:val="32"/>
        </w:rPr>
        <w:t>（二）发行人报告期内科技创新领域累计营业收入占营业总收入的50%以上；</w:t>
      </w:r>
    </w:p>
    <w:p>
      <w:pPr>
        <w:adjustRightInd w:val="0"/>
        <w:snapToGrid w:val="0"/>
        <w:spacing w:line="560" w:lineRule="exact"/>
        <w:ind w:firstLine="632" w:firstLineChars="200"/>
        <w:rPr>
          <w:rFonts w:ascii="仿宋" w:hAnsi="仿宋" w:cs="仿宋"/>
          <w:color w:val="000000"/>
          <w:kern w:val="0"/>
          <w:szCs w:val="32"/>
        </w:rPr>
      </w:pPr>
      <w:r>
        <w:rPr>
          <w:rFonts w:hint="eastAsia" w:ascii="仿宋" w:hAnsi="仿宋" w:cs="仿宋"/>
          <w:color w:val="000000"/>
          <w:kern w:val="0"/>
          <w:szCs w:val="32"/>
        </w:rPr>
        <w:t>（三）发行人形成核心技术和主营业务收入的发明专利（含国防专利）合计30项以上，或者为具有50项以上著作权的软件行业企业。</w:t>
      </w:r>
    </w:p>
    <w:p>
      <w:pPr>
        <w:adjustRightInd w:val="0"/>
        <w:snapToGrid w:val="0"/>
        <w:spacing w:line="560" w:lineRule="exact"/>
        <w:ind w:firstLine="632" w:firstLineChars="200"/>
        <w:rPr>
          <w:rFonts w:ascii="仿宋" w:hAnsi="仿宋"/>
          <w:szCs w:val="32"/>
        </w:rPr>
      </w:pPr>
      <w:r>
        <w:rPr>
          <w:rFonts w:hint="eastAsia" w:ascii="仿宋" w:hAnsi="仿宋" w:cs="仿宋"/>
          <w:color w:val="000000"/>
          <w:kern w:val="0"/>
          <w:szCs w:val="32"/>
        </w:rPr>
        <w:t>本所鼓励“科改示范企业”“制造业单项冠军企业”“全国重点实验室企业”等国家有关部委认定的科技型样板企业，或者处于种子期、初创期、成长期和成熟期阶段，未达到前款标准，但是科技创新能力突出的发行人申请发行科技创新公司债券。</w:t>
      </w:r>
    </w:p>
    <w:p>
      <w:pPr>
        <w:spacing w:line="560" w:lineRule="exact"/>
        <w:ind w:firstLine="640"/>
        <w:rPr>
          <w:rFonts w:ascii="仿宋" w:hAnsi="仿宋"/>
          <w:szCs w:val="32"/>
        </w:rPr>
      </w:pPr>
      <w:r>
        <w:rPr>
          <w:rFonts w:hint="eastAsia" w:ascii="仿宋" w:hAnsi="仿宋"/>
          <w:b/>
          <w:szCs w:val="32"/>
        </w:rPr>
        <w:t xml:space="preserve">第八十条 </w:t>
      </w:r>
      <w:r>
        <w:rPr>
          <w:rFonts w:hint="eastAsia" w:ascii="仿宋" w:hAnsi="仿宋"/>
          <w:szCs w:val="32"/>
        </w:rPr>
        <w:t>科创升级类发行人</w:t>
      </w:r>
      <w:r>
        <w:rPr>
          <w:rFonts w:ascii="仿宋" w:hAnsi="仿宋"/>
          <w:szCs w:val="32"/>
        </w:rPr>
        <w:t>是指</w:t>
      </w:r>
      <w:r>
        <w:rPr>
          <w:rFonts w:hint="eastAsia" w:ascii="仿宋" w:hAnsi="仿宋"/>
          <w:szCs w:val="32"/>
        </w:rPr>
        <w:t>募集资金用于助推自身或者相关科创领域</w:t>
      </w:r>
      <w:r>
        <w:rPr>
          <w:rFonts w:ascii="仿宋" w:hAnsi="仿宋"/>
          <w:szCs w:val="32"/>
        </w:rPr>
        <w:t>升级现有产业结构，提升创新能力、竞争力和综合实力，促进新技术产业化、规模化应用</w:t>
      </w:r>
      <w:r>
        <w:rPr>
          <w:rFonts w:hint="eastAsia" w:ascii="仿宋" w:hAnsi="仿宋"/>
          <w:szCs w:val="32"/>
        </w:rPr>
        <w:t>，推动科技创新领域产业加快发展</w:t>
      </w:r>
      <w:r>
        <w:rPr>
          <w:rFonts w:ascii="仿宋" w:hAnsi="仿宋"/>
          <w:szCs w:val="32"/>
        </w:rPr>
        <w:t>的企业</w:t>
      </w:r>
      <w:r>
        <w:rPr>
          <w:rFonts w:hint="eastAsia" w:ascii="仿宋" w:hAnsi="仿宋"/>
          <w:szCs w:val="32"/>
        </w:rPr>
        <w:t>。</w:t>
      </w:r>
    </w:p>
    <w:p>
      <w:pPr>
        <w:spacing w:line="560" w:lineRule="exact"/>
        <w:ind w:firstLine="640"/>
        <w:rPr>
          <w:rFonts w:ascii="仿宋" w:hAnsi="仿宋"/>
          <w:szCs w:val="32"/>
        </w:rPr>
      </w:pPr>
      <w:r>
        <w:rPr>
          <w:rFonts w:hint="eastAsia" w:ascii="仿宋" w:hAnsi="仿宋"/>
          <w:b/>
          <w:szCs w:val="32"/>
        </w:rPr>
        <w:t xml:space="preserve">第八十一条 </w:t>
      </w:r>
      <w:r>
        <w:rPr>
          <w:rFonts w:hint="eastAsia" w:ascii="仿宋" w:hAnsi="仿宋"/>
          <w:szCs w:val="32"/>
        </w:rPr>
        <w:t>科创投资类发行人是指符合《私募投资基金监督管理暂行办法》《创业投资企业管理暂行办法》等有关规定，向科技创新创业企业进行股权投资的公司制创业投资基金、私募股权投资基金管理机构和创业投资基金管理机构，或者发行人信用状况良好，报告期内累计创投业务收入（含投资收益）占累计总收入（含投资收益）超过</w:t>
      </w:r>
      <w:r>
        <w:rPr>
          <w:rFonts w:ascii="仿宋" w:hAnsi="仿宋"/>
          <w:szCs w:val="32"/>
        </w:rPr>
        <w:t>30%的企业</w:t>
      </w:r>
      <w:r>
        <w:rPr>
          <w:rFonts w:hint="eastAsia" w:ascii="仿宋" w:hAnsi="仿宋"/>
          <w:szCs w:val="32"/>
        </w:rPr>
        <w:t>。</w:t>
      </w:r>
    </w:p>
    <w:p>
      <w:pPr>
        <w:spacing w:line="560" w:lineRule="exact"/>
        <w:ind w:firstLine="640"/>
        <w:rPr>
          <w:rFonts w:ascii="仿宋" w:hAnsi="仿宋"/>
          <w:szCs w:val="32"/>
        </w:rPr>
      </w:pPr>
      <w:r>
        <w:rPr>
          <w:rFonts w:hint="eastAsia" w:ascii="仿宋" w:hAnsi="仿宋"/>
          <w:b/>
          <w:szCs w:val="32"/>
        </w:rPr>
        <w:t xml:space="preserve">第八十二条 </w:t>
      </w:r>
      <w:r>
        <w:rPr>
          <w:rFonts w:ascii="仿宋" w:hAnsi="仿宋"/>
          <w:szCs w:val="32"/>
        </w:rPr>
        <w:t>科创孵化</w:t>
      </w:r>
      <w:r>
        <w:rPr>
          <w:rFonts w:hint="eastAsia" w:ascii="仿宋" w:hAnsi="仿宋"/>
          <w:szCs w:val="32"/>
        </w:rPr>
        <w:t>类发行人</w:t>
      </w:r>
      <w:r>
        <w:rPr>
          <w:rFonts w:ascii="仿宋" w:hAnsi="仿宋"/>
          <w:szCs w:val="32"/>
        </w:rPr>
        <w:t>是指</w:t>
      </w:r>
      <w:r>
        <w:rPr>
          <w:rFonts w:hint="eastAsia" w:ascii="仿宋" w:hAnsi="仿宋"/>
          <w:szCs w:val="32"/>
        </w:rPr>
        <w:t>信用状况良好，主营</w:t>
      </w:r>
      <w:r>
        <w:rPr>
          <w:rFonts w:ascii="仿宋" w:hAnsi="仿宋"/>
          <w:szCs w:val="32"/>
        </w:rPr>
        <w:t>业务</w:t>
      </w:r>
      <w:r>
        <w:rPr>
          <w:rFonts w:hint="eastAsia" w:ascii="仿宋" w:hAnsi="仿宋"/>
          <w:szCs w:val="32"/>
        </w:rPr>
        <w:t>围绕国家级高新技术产业开发区运营，且创新要素</w:t>
      </w:r>
      <w:r>
        <w:rPr>
          <w:rFonts w:ascii="仿宋" w:hAnsi="仿宋"/>
          <w:szCs w:val="32"/>
        </w:rPr>
        <w:t>集聚</w:t>
      </w:r>
      <w:r>
        <w:rPr>
          <w:rFonts w:hint="eastAsia" w:ascii="仿宋" w:hAnsi="仿宋"/>
          <w:szCs w:val="32"/>
        </w:rPr>
        <w:t>能力突出，</w:t>
      </w:r>
      <w:r>
        <w:rPr>
          <w:rFonts w:ascii="仿宋" w:hAnsi="仿宋"/>
          <w:szCs w:val="32"/>
        </w:rPr>
        <w:t>科创孵化</w:t>
      </w:r>
      <w:r>
        <w:rPr>
          <w:rFonts w:hint="eastAsia" w:ascii="仿宋" w:hAnsi="仿宋"/>
          <w:szCs w:val="32"/>
        </w:rPr>
        <w:t>成果显著的</w:t>
      </w:r>
      <w:r>
        <w:rPr>
          <w:rFonts w:ascii="仿宋" w:hAnsi="仿宋"/>
          <w:szCs w:val="32"/>
        </w:rPr>
        <w:t>重点园区企业</w:t>
      </w:r>
      <w:r>
        <w:rPr>
          <w:rFonts w:hint="eastAsia" w:ascii="仿宋" w:hAnsi="仿宋"/>
          <w:szCs w:val="32"/>
        </w:rPr>
        <w:t>。</w:t>
      </w:r>
      <w:bookmarkStart w:id="3" w:name="_Toc71891084"/>
    </w:p>
    <w:p>
      <w:pPr>
        <w:adjustRightInd w:val="0"/>
        <w:snapToGrid w:val="0"/>
        <w:spacing w:line="560" w:lineRule="exact"/>
        <w:jc w:val="center"/>
        <w:outlineLvl w:val="1"/>
        <w:rPr>
          <w:rFonts w:ascii="楷体" w:hAnsi="楷体" w:eastAsia="楷体"/>
          <w:bCs/>
          <w:color w:val="000000"/>
          <w:kern w:val="0"/>
          <w:szCs w:val="30"/>
        </w:rPr>
      </w:pPr>
      <w:r>
        <w:rPr>
          <w:rFonts w:hint="eastAsia" w:ascii="楷体" w:hAnsi="楷体" w:eastAsia="楷体"/>
          <w:bCs/>
          <w:color w:val="000000"/>
          <w:kern w:val="0"/>
          <w:szCs w:val="30"/>
        </w:rPr>
        <w:t>第三节</w:t>
      </w:r>
      <w:r>
        <w:rPr>
          <w:rFonts w:ascii="楷体" w:hAnsi="楷体" w:eastAsia="楷体"/>
          <w:bCs/>
          <w:color w:val="000000"/>
          <w:kern w:val="0"/>
          <w:szCs w:val="30"/>
        </w:rPr>
        <w:t xml:space="preserve"> </w:t>
      </w:r>
      <w:r>
        <w:rPr>
          <w:rFonts w:hint="eastAsia" w:ascii="楷体" w:hAnsi="楷体" w:eastAsia="楷体"/>
          <w:bCs/>
          <w:color w:val="000000"/>
          <w:kern w:val="0"/>
          <w:szCs w:val="30"/>
        </w:rPr>
        <w:t>募集资金用途</w:t>
      </w:r>
      <w:bookmarkEnd w:id="3"/>
    </w:p>
    <w:p>
      <w:pPr>
        <w:spacing w:line="560" w:lineRule="exact"/>
        <w:ind w:firstLine="640"/>
        <w:rPr>
          <w:rFonts w:ascii="仿宋" w:hAnsi="仿宋"/>
          <w:szCs w:val="32"/>
        </w:rPr>
      </w:pPr>
      <w:r>
        <w:rPr>
          <w:rFonts w:hint="eastAsia" w:ascii="仿宋" w:hAnsi="仿宋"/>
          <w:b/>
          <w:szCs w:val="32"/>
        </w:rPr>
        <w:t xml:space="preserve">第八十三条 </w:t>
      </w:r>
      <w:r>
        <w:rPr>
          <w:rFonts w:hint="eastAsia" w:ascii="仿宋" w:hAnsi="仿宋"/>
          <w:szCs w:val="32"/>
        </w:rPr>
        <w:t>科创升级类、科创投资类和科创孵化类发行人的募集资金投向科技创新领域的比例应当不低于70%，其中募集资金</w:t>
      </w:r>
      <w:r>
        <w:rPr>
          <w:rFonts w:ascii="仿宋" w:hAnsi="仿宋"/>
          <w:szCs w:val="32"/>
        </w:rPr>
        <w:t>用于</w:t>
      </w:r>
      <w:r>
        <w:rPr>
          <w:rFonts w:hint="eastAsia" w:ascii="仿宋" w:hAnsi="仿宋"/>
          <w:szCs w:val="32"/>
        </w:rPr>
        <w:t>产业园区或者孵化基础设施相关用途的比例不得超过30%。</w:t>
      </w:r>
    </w:p>
    <w:p>
      <w:pPr>
        <w:spacing w:line="560" w:lineRule="exact"/>
        <w:ind w:firstLine="640"/>
        <w:rPr>
          <w:rFonts w:ascii="仿宋" w:hAnsi="仿宋"/>
          <w:szCs w:val="32"/>
        </w:rPr>
      </w:pPr>
      <w:r>
        <w:rPr>
          <w:rFonts w:hint="eastAsia" w:ascii="仿宋" w:hAnsi="仿宋"/>
          <w:b/>
          <w:szCs w:val="32"/>
        </w:rPr>
        <w:t xml:space="preserve">第八十四条 </w:t>
      </w:r>
      <w:r>
        <w:rPr>
          <w:rFonts w:hint="eastAsia" w:ascii="仿宋" w:hAnsi="仿宋"/>
          <w:szCs w:val="32"/>
        </w:rPr>
        <w:t>发行人募集资金可以通过下列方式投向科技创新：</w:t>
      </w:r>
    </w:p>
    <w:p>
      <w:pPr>
        <w:adjustRightInd w:val="0"/>
        <w:snapToGrid w:val="0"/>
        <w:spacing w:line="560" w:lineRule="exact"/>
        <w:ind w:firstLine="632" w:firstLineChars="200"/>
        <w:rPr>
          <w:rFonts w:ascii="仿宋" w:hAnsi="仿宋"/>
          <w:szCs w:val="32"/>
        </w:rPr>
      </w:pPr>
      <w:r>
        <w:rPr>
          <w:rFonts w:hint="eastAsia" w:ascii="仿宋" w:hAnsi="仿宋"/>
          <w:szCs w:val="32"/>
        </w:rPr>
        <w:t>（一）用于科技创新相关的研发投入，或者购买知识产权；</w:t>
      </w:r>
    </w:p>
    <w:p>
      <w:pPr>
        <w:adjustRightInd w:val="0"/>
        <w:snapToGrid w:val="0"/>
        <w:spacing w:line="560" w:lineRule="exact"/>
        <w:ind w:firstLine="632" w:firstLineChars="200"/>
        <w:rPr>
          <w:rFonts w:ascii="仿宋" w:hAnsi="仿宋"/>
          <w:szCs w:val="32"/>
        </w:rPr>
      </w:pPr>
      <w:r>
        <w:rPr>
          <w:rFonts w:hint="eastAsia" w:ascii="仿宋" w:hAnsi="仿宋"/>
          <w:szCs w:val="32"/>
        </w:rPr>
        <w:t>（二）用于科技创新相关项目的建设、并购或者运营；</w:t>
      </w:r>
    </w:p>
    <w:p>
      <w:pPr>
        <w:adjustRightInd w:val="0"/>
        <w:snapToGrid w:val="0"/>
        <w:spacing w:line="560" w:lineRule="exact"/>
        <w:ind w:firstLine="632" w:firstLineChars="200"/>
        <w:rPr>
          <w:rFonts w:ascii="仿宋" w:hAnsi="仿宋"/>
          <w:szCs w:val="32"/>
        </w:rPr>
      </w:pPr>
      <w:r>
        <w:rPr>
          <w:rFonts w:hint="eastAsia" w:ascii="仿宋" w:hAnsi="仿宋"/>
          <w:szCs w:val="32"/>
        </w:rPr>
        <w:t>（三）用于科技创新研发平台、新型研发机构的建设、并购或者运营；</w:t>
      </w:r>
    </w:p>
    <w:p>
      <w:pPr>
        <w:adjustRightInd w:val="0"/>
        <w:snapToGrid w:val="0"/>
        <w:spacing w:line="560" w:lineRule="exact"/>
        <w:ind w:firstLine="632" w:firstLineChars="200"/>
        <w:rPr>
          <w:rFonts w:ascii="仿宋" w:hAnsi="仿宋"/>
          <w:szCs w:val="32"/>
        </w:rPr>
      </w:pPr>
      <w:r>
        <w:rPr>
          <w:rFonts w:hint="eastAsia" w:ascii="仿宋" w:hAnsi="仿宋"/>
          <w:szCs w:val="32"/>
        </w:rPr>
        <w:t>（四）通过直接投资、设立或者认购基金份额等方式，对科技创新企业进行权益出资；</w:t>
      </w:r>
    </w:p>
    <w:p>
      <w:pPr>
        <w:adjustRightInd w:val="0"/>
        <w:snapToGrid w:val="0"/>
        <w:spacing w:line="560" w:lineRule="exact"/>
        <w:ind w:firstLine="632" w:firstLineChars="200"/>
        <w:rPr>
          <w:rFonts w:ascii="仿宋" w:hAnsi="仿宋"/>
          <w:szCs w:val="32"/>
        </w:rPr>
      </w:pPr>
      <w:r>
        <w:rPr>
          <w:rFonts w:hint="eastAsia" w:ascii="仿宋" w:hAnsi="仿宋"/>
          <w:szCs w:val="32"/>
        </w:rPr>
        <w:t>（五）偿还第一项至第四项对应的有息债务；</w:t>
      </w:r>
    </w:p>
    <w:p>
      <w:pPr>
        <w:adjustRightInd w:val="0"/>
        <w:snapToGrid w:val="0"/>
        <w:spacing w:line="560" w:lineRule="exact"/>
        <w:ind w:firstLine="632" w:firstLineChars="200"/>
        <w:rPr>
          <w:rFonts w:ascii="仿宋" w:hAnsi="仿宋"/>
          <w:szCs w:val="32"/>
        </w:rPr>
      </w:pPr>
      <w:r>
        <w:rPr>
          <w:rFonts w:hint="eastAsia" w:ascii="仿宋" w:hAnsi="仿宋"/>
          <w:szCs w:val="32"/>
        </w:rPr>
        <w:t>（六）其他符合要求的方式。</w:t>
      </w:r>
    </w:p>
    <w:p>
      <w:pPr>
        <w:adjustRightInd w:val="0"/>
        <w:snapToGrid w:val="0"/>
        <w:spacing w:line="560" w:lineRule="exact"/>
        <w:ind w:firstLine="632" w:firstLineChars="200"/>
        <w:rPr>
          <w:rFonts w:ascii="仿宋" w:hAnsi="仿宋"/>
          <w:szCs w:val="32"/>
        </w:rPr>
      </w:pPr>
      <w:r>
        <w:rPr>
          <w:rFonts w:hint="eastAsia" w:ascii="仿宋" w:hAnsi="仿宋"/>
          <w:szCs w:val="32"/>
        </w:rPr>
        <w:t>本所鼓励产业链核心科技</w:t>
      </w:r>
      <w:r>
        <w:rPr>
          <w:rFonts w:ascii="仿宋" w:hAnsi="仿宋"/>
          <w:szCs w:val="32"/>
        </w:rPr>
        <w:t>创新</w:t>
      </w:r>
      <w:r>
        <w:rPr>
          <w:rFonts w:hint="eastAsia" w:ascii="仿宋" w:hAnsi="仿宋"/>
          <w:szCs w:val="32"/>
        </w:rPr>
        <w:t>公司债券发行人将募集资金通过权益</w:t>
      </w:r>
      <w:r>
        <w:rPr>
          <w:rFonts w:ascii="仿宋" w:hAnsi="仿宋"/>
          <w:szCs w:val="32"/>
        </w:rPr>
        <w:t>出资、</w:t>
      </w:r>
      <w:r>
        <w:rPr>
          <w:rFonts w:hint="eastAsia" w:ascii="仿宋" w:hAnsi="仿宋"/>
          <w:szCs w:val="32"/>
        </w:rPr>
        <w:t>供应链金融等形式为产业链上下游企业提供支持。</w:t>
      </w:r>
    </w:p>
    <w:p>
      <w:pPr>
        <w:adjustRightInd w:val="0"/>
        <w:snapToGrid w:val="0"/>
        <w:spacing w:line="560" w:lineRule="exact"/>
        <w:ind w:firstLine="632" w:firstLineChars="200"/>
        <w:rPr>
          <w:rFonts w:ascii="仿宋" w:hAnsi="仿宋"/>
          <w:szCs w:val="32"/>
        </w:rPr>
      </w:pPr>
      <w:r>
        <w:rPr>
          <w:rFonts w:hint="eastAsia" w:ascii="仿宋" w:hAnsi="仿宋"/>
          <w:szCs w:val="32"/>
        </w:rPr>
        <w:t>本所鼓励科技</w:t>
      </w:r>
      <w:r>
        <w:rPr>
          <w:rFonts w:ascii="仿宋" w:hAnsi="仿宋"/>
          <w:szCs w:val="32"/>
        </w:rPr>
        <w:t>创新</w:t>
      </w:r>
      <w:r>
        <w:rPr>
          <w:rFonts w:hint="eastAsia" w:ascii="仿宋" w:hAnsi="仿宋"/>
          <w:szCs w:val="32"/>
        </w:rPr>
        <w:t>公司债券发行人将募集资金用于国家部委或者省级政府推荐的科技创新领域重大项目和重点工程。</w:t>
      </w:r>
    </w:p>
    <w:p>
      <w:pPr>
        <w:adjustRightInd w:val="0"/>
        <w:snapToGrid w:val="0"/>
        <w:spacing w:line="560" w:lineRule="exact"/>
        <w:ind w:firstLine="632" w:firstLineChars="200"/>
        <w:rPr>
          <w:rFonts w:ascii="仿宋" w:hAnsi="仿宋"/>
          <w:szCs w:val="32"/>
        </w:rPr>
      </w:pPr>
      <w:r>
        <w:rPr>
          <w:rFonts w:hint="eastAsia" w:ascii="仿宋" w:hAnsi="仿宋"/>
          <w:szCs w:val="32"/>
        </w:rPr>
        <w:t>本所鼓励科创孵化类发行人通过股权、债权和基金等形式支持园区内孵化的科技创新企业，或者用于科技创新产业园区、孵化基地的基础设施新建、扩容改造、系统提升、建立分园、收购等。</w:t>
      </w:r>
    </w:p>
    <w:p>
      <w:pPr>
        <w:spacing w:line="560" w:lineRule="exact"/>
        <w:ind w:firstLine="640"/>
        <w:rPr>
          <w:rFonts w:ascii="仿宋" w:hAnsi="仿宋"/>
          <w:szCs w:val="32"/>
        </w:rPr>
      </w:pPr>
      <w:r>
        <w:rPr>
          <w:rFonts w:hint="eastAsia" w:ascii="仿宋" w:hAnsi="仿宋"/>
          <w:b/>
          <w:szCs w:val="32"/>
        </w:rPr>
        <w:t xml:space="preserve">第八十五条 </w:t>
      </w:r>
      <w:r>
        <w:rPr>
          <w:rFonts w:hint="eastAsia" w:ascii="仿宋" w:hAnsi="仿宋"/>
          <w:szCs w:val="32"/>
        </w:rPr>
        <w:t>发行人可以使用募集资金对发行前12个月内的科技创新投资支出进行置换。本所鼓励将置换后的资金用于新的科技创新投资，形成投资循环。</w:t>
      </w:r>
    </w:p>
    <w:p>
      <w:pPr>
        <w:adjustRightInd w:val="0"/>
        <w:snapToGrid w:val="0"/>
        <w:spacing w:line="560" w:lineRule="exact"/>
        <w:jc w:val="center"/>
        <w:outlineLvl w:val="1"/>
        <w:rPr>
          <w:rFonts w:ascii="楷体" w:hAnsi="楷体" w:eastAsia="楷体"/>
          <w:bCs/>
          <w:color w:val="000000"/>
          <w:kern w:val="0"/>
          <w:szCs w:val="30"/>
        </w:rPr>
      </w:pPr>
      <w:bookmarkStart w:id="4" w:name="_Toc71891085"/>
      <w:r>
        <w:rPr>
          <w:rFonts w:hint="eastAsia" w:ascii="楷体" w:hAnsi="楷体" w:eastAsia="楷体"/>
          <w:bCs/>
          <w:color w:val="000000"/>
          <w:kern w:val="0"/>
          <w:szCs w:val="30"/>
        </w:rPr>
        <w:t>第四节</w:t>
      </w:r>
      <w:r>
        <w:rPr>
          <w:rFonts w:ascii="楷体" w:hAnsi="楷体" w:eastAsia="楷体"/>
          <w:bCs/>
          <w:color w:val="000000"/>
          <w:kern w:val="0"/>
          <w:szCs w:val="30"/>
        </w:rPr>
        <w:t xml:space="preserve"> </w:t>
      </w:r>
      <w:r>
        <w:rPr>
          <w:rFonts w:hint="eastAsia" w:ascii="楷体" w:hAnsi="楷体" w:eastAsia="楷体"/>
          <w:bCs/>
          <w:color w:val="000000"/>
          <w:kern w:val="0"/>
          <w:szCs w:val="30"/>
        </w:rPr>
        <w:t>信息披露和专业</w:t>
      </w:r>
      <w:r>
        <w:rPr>
          <w:rFonts w:ascii="楷体" w:hAnsi="楷体" w:eastAsia="楷体"/>
          <w:bCs/>
          <w:color w:val="000000"/>
          <w:kern w:val="0"/>
          <w:szCs w:val="30"/>
        </w:rPr>
        <w:t>机构</w:t>
      </w:r>
      <w:r>
        <w:rPr>
          <w:rFonts w:hint="eastAsia" w:ascii="楷体" w:hAnsi="楷体" w:eastAsia="楷体"/>
          <w:bCs/>
          <w:color w:val="000000"/>
          <w:kern w:val="0"/>
          <w:szCs w:val="30"/>
        </w:rPr>
        <w:t>核查要求</w:t>
      </w:r>
      <w:bookmarkEnd w:id="4"/>
    </w:p>
    <w:p>
      <w:pPr>
        <w:spacing w:line="560" w:lineRule="exact"/>
        <w:ind w:firstLine="640"/>
        <w:rPr>
          <w:rFonts w:ascii="仿宋" w:hAnsi="仿宋"/>
          <w:szCs w:val="32"/>
        </w:rPr>
      </w:pPr>
      <w:r>
        <w:rPr>
          <w:rFonts w:hint="eastAsia" w:ascii="仿宋" w:hAnsi="仿宋"/>
          <w:b/>
          <w:szCs w:val="32"/>
        </w:rPr>
        <w:t xml:space="preserve">第八十六条 </w:t>
      </w:r>
      <w:r>
        <w:rPr>
          <w:rFonts w:hint="eastAsia" w:ascii="仿宋" w:hAnsi="仿宋"/>
          <w:szCs w:val="32"/>
        </w:rPr>
        <w:t>发行人应当根据本章规定，在募集说明书中披露是否属于科技创新公司债券主体范围和支持领域。</w:t>
      </w:r>
    </w:p>
    <w:p>
      <w:pPr>
        <w:spacing w:line="560" w:lineRule="exact"/>
        <w:ind w:firstLine="640"/>
        <w:rPr>
          <w:rFonts w:ascii="仿宋" w:hAnsi="仿宋"/>
          <w:szCs w:val="32"/>
        </w:rPr>
      </w:pPr>
      <w:r>
        <w:rPr>
          <w:rFonts w:hint="eastAsia" w:ascii="仿宋" w:hAnsi="仿宋"/>
          <w:b/>
          <w:szCs w:val="32"/>
        </w:rPr>
        <w:t xml:space="preserve">第八十七条 </w:t>
      </w:r>
      <w:r>
        <w:rPr>
          <w:rFonts w:hint="eastAsia" w:ascii="仿宋" w:hAnsi="仿宋"/>
          <w:szCs w:val="32"/>
        </w:rPr>
        <w:t>科技创新类发行人应当披露其所属的科技创新领域、自身科技创新属性和相关政策依据、所持有创新技术先进性和具体表现、正在从事的研发项目和进展情况、保持持续技术创新的机制等。</w:t>
      </w:r>
    </w:p>
    <w:p>
      <w:pPr>
        <w:adjustRightInd w:val="0"/>
        <w:snapToGrid w:val="0"/>
        <w:spacing w:line="560" w:lineRule="exact"/>
        <w:ind w:firstLine="632" w:firstLineChars="200"/>
        <w:rPr>
          <w:rFonts w:ascii="仿宋" w:hAnsi="仿宋"/>
          <w:szCs w:val="32"/>
        </w:rPr>
      </w:pPr>
      <w:r>
        <w:rPr>
          <w:rFonts w:hint="eastAsia" w:ascii="仿宋" w:hAnsi="仿宋"/>
          <w:szCs w:val="32"/>
        </w:rPr>
        <w:t>适用本指引第七十九条第二款的科技创新类发行人，应当从拥有的核心关键技术、推动关键核心技术攻关、承担国家重大科技项目、形成的主要产品实现进口替代等方面说明是否符合相关要求。</w:t>
      </w:r>
    </w:p>
    <w:p>
      <w:pPr>
        <w:spacing w:line="560" w:lineRule="exact"/>
        <w:ind w:firstLine="640"/>
        <w:rPr>
          <w:rFonts w:ascii="仿宋" w:hAnsi="仿宋"/>
          <w:szCs w:val="32"/>
        </w:rPr>
      </w:pPr>
      <w:r>
        <w:rPr>
          <w:rFonts w:hint="eastAsia" w:ascii="仿宋" w:hAnsi="仿宋"/>
          <w:b/>
          <w:szCs w:val="32"/>
        </w:rPr>
        <w:t xml:space="preserve">第八十八条 </w:t>
      </w:r>
      <w:r>
        <w:rPr>
          <w:rFonts w:hint="eastAsia" w:ascii="仿宋" w:hAnsi="仿宋"/>
          <w:szCs w:val="32"/>
        </w:rPr>
        <w:t>科创投资类发行人应当披露下列科创投资业务开展情况：</w:t>
      </w:r>
    </w:p>
    <w:p>
      <w:pPr>
        <w:adjustRightInd w:val="0"/>
        <w:snapToGrid w:val="0"/>
        <w:spacing w:line="560" w:lineRule="exact"/>
        <w:ind w:firstLine="632" w:firstLineChars="200"/>
        <w:rPr>
          <w:rFonts w:ascii="仿宋" w:hAnsi="仿宋"/>
          <w:szCs w:val="32"/>
        </w:rPr>
      </w:pPr>
      <w:r>
        <w:rPr>
          <w:rFonts w:hint="eastAsia" w:ascii="仿宋" w:hAnsi="仿宋"/>
          <w:szCs w:val="32"/>
        </w:rPr>
        <w:t>（一）报告期内科创投资业务板块相关财务情况；</w:t>
      </w:r>
    </w:p>
    <w:p>
      <w:pPr>
        <w:adjustRightInd w:val="0"/>
        <w:snapToGrid w:val="0"/>
        <w:spacing w:line="560" w:lineRule="exact"/>
        <w:ind w:firstLine="632" w:firstLineChars="200"/>
        <w:rPr>
          <w:rFonts w:ascii="仿宋" w:hAnsi="仿宋"/>
          <w:szCs w:val="32"/>
        </w:rPr>
      </w:pPr>
      <w:r>
        <w:rPr>
          <w:rFonts w:hint="eastAsia" w:ascii="仿宋" w:hAnsi="仿宋"/>
          <w:szCs w:val="32"/>
        </w:rPr>
        <w:t>（二）科创投资业务板块经营主体、经营模式、经营状况，其中经营状况包括已投资项目数量、管理的基金数量、管理的资本规模等；</w:t>
      </w:r>
    </w:p>
    <w:p>
      <w:pPr>
        <w:adjustRightInd w:val="0"/>
        <w:snapToGrid w:val="0"/>
        <w:spacing w:line="560" w:lineRule="exact"/>
        <w:ind w:firstLine="632" w:firstLineChars="200"/>
        <w:rPr>
          <w:rFonts w:ascii="仿宋" w:hAnsi="仿宋"/>
          <w:szCs w:val="32"/>
        </w:rPr>
      </w:pPr>
      <w:r>
        <w:rPr>
          <w:rFonts w:hint="eastAsia" w:ascii="仿宋" w:hAnsi="仿宋"/>
          <w:szCs w:val="32"/>
        </w:rPr>
        <w:t>（三）已投资项目情况、投资退出情况、退出方式；</w:t>
      </w:r>
    </w:p>
    <w:p>
      <w:pPr>
        <w:adjustRightInd w:val="0"/>
        <w:snapToGrid w:val="0"/>
        <w:spacing w:line="560" w:lineRule="exact"/>
        <w:ind w:firstLine="632" w:firstLineChars="200"/>
        <w:rPr>
          <w:rFonts w:ascii="仿宋" w:hAnsi="仿宋"/>
          <w:szCs w:val="32"/>
        </w:rPr>
      </w:pPr>
      <w:r>
        <w:rPr>
          <w:rFonts w:hint="eastAsia" w:ascii="仿宋" w:hAnsi="仿宋"/>
          <w:szCs w:val="32"/>
        </w:rPr>
        <w:t>（四）投资项目遴选标准、投资决策程序等。</w:t>
      </w:r>
    </w:p>
    <w:p>
      <w:pPr>
        <w:spacing w:line="560" w:lineRule="exact"/>
        <w:ind w:firstLine="640"/>
        <w:rPr>
          <w:rFonts w:ascii="仿宋" w:hAnsi="仿宋"/>
          <w:szCs w:val="32"/>
        </w:rPr>
      </w:pPr>
      <w:r>
        <w:rPr>
          <w:rFonts w:hint="eastAsia" w:ascii="仿宋" w:hAnsi="仿宋"/>
          <w:b/>
          <w:szCs w:val="32"/>
        </w:rPr>
        <w:t xml:space="preserve">第八十九条 </w:t>
      </w:r>
      <w:r>
        <w:rPr>
          <w:rFonts w:hint="eastAsia" w:ascii="仿宋" w:hAnsi="仿宋"/>
          <w:szCs w:val="32"/>
        </w:rPr>
        <w:t>募集资金用于研发投入的，发行人应当披露研发投入的主要内容、技术可行性、研发预算和时间安排、目前研发投入和进展、已取得和预计取得的研发成果等；用于购买知识产权的，应当披露知识产权保护期、评估价值（如有）、技术先进性、预计经济效益等。</w:t>
      </w:r>
    </w:p>
    <w:p>
      <w:pPr>
        <w:adjustRightInd w:val="0"/>
        <w:snapToGrid w:val="0"/>
        <w:spacing w:line="560" w:lineRule="exact"/>
        <w:ind w:firstLine="632" w:firstLineChars="200"/>
        <w:rPr>
          <w:rFonts w:ascii="仿宋" w:hAnsi="仿宋"/>
          <w:szCs w:val="32"/>
        </w:rPr>
      </w:pPr>
      <w:r>
        <w:rPr>
          <w:rFonts w:hint="eastAsia" w:ascii="仿宋" w:hAnsi="仿宋"/>
          <w:szCs w:val="32"/>
        </w:rPr>
        <w:t>募集资金用于科技创新项目的，发行人应当披露募投项目的基本情况、募投项目促进科技创新的方式和依据、募投项目与现有业务或者发展战略的关系等。</w:t>
      </w:r>
    </w:p>
    <w:p>
      <w:pPr>
        <w:adjustRightInd w:val="0"/>
        <w:snapToGrid w:val="0"/>
        <w:spacing w:line="560" w:lineRule="exact"/>
        <w:ind w:firstLine="632" w:firstLineChars="200"/>
        <w:rPr>
          <w:rFonts w:ascii="仿宋" w:hAnsi="仿宋"/>
          <w:szCs w:val="32"/>
        </w:rPr>
      </w:pPr>
      <w:r>
        <w:rPr>
          <w:rFonts w:hint="eastAsia" w:ascii="仿宋" w:hAnsi="仿宋"/>
          <w:szCs w:val="32"/>
        </w:rPr>
        <w:t>募集资金用于科技创新相关权益出资的，发行人应当参照本指引第八十七条的要求，披露投资标的科技创新属性、所属重点支持行业和判断依据；设立或者认购基金份额的，应当披露基金的基本情况，包括基金备案情况、基金投向、风控措施、已投项目等。</w:t>
      </w:r>
    </w:p>
    <w:p>
      <w:pPr>
        <w:spacing w:line="560" w:lineRule="exact"/>
        <w:ind w:firstLine="640"/>
        <w:rPr>
          <w:rFonts w:ascii="仿宋" w:hAnsi="仿宋"/>
          <w:szCs w:val="32"/>
        </w:rPr>
      </w:pPr>
      <w:r>
        <w:rPr>
          <w:rFonts w:hint="eastAsia" w:ascii="仿宋" w:hAnsi="仿宋"/>
          <w:b/>
          <w:szCs w:val="32"/>
        </w:rPr>
        <w:t xml:space="preserve">第九十条 </w:t>
      </w:r>
      <w:r>
        <w:rPr>
          <w:rFonts w:hint="eastAsia" w:ascii="仿宋" w:hAnsi="仿宋"/>
          <w:szCs w:val="32"/>
        </w:rPr>
        <w:t>科创投资类发行人在申报阶段暂未明确具体投资企业或者未明确拟出资基金的，应当披露拟投资项目遴选标准、投资决策程序和投资领域，并通过披露发行人报告期内的投资规模和经验、未来投资规划等内容，合理匡算募集资金实际需求。</w:t>
      </w:r>
    </w:p>
    <w:p>
      <w:pPr>
        <w:adjustRightInd w:val="0"/>
        <w:snapToGrid w:val="0"/>
        <w:spacing w:line="560" w:lineRule="exact"/>
        <w:ind w:firstLine="632" w:firstLineChars="200"/>
        <w:rPr>
          <w:rFonts w:ascii="仿宋" w:hAnsi="仿宋"/>
          <w:szCs w:val="32"/>
        </w:rPr>
      </w:pPr>
      <w:r>
        <w:rPr>
          <w:rFonts w:hint="eastAsia" w:ascii="仿宋" w:hAnsi="仿宋"/>
          <w:color w:val="000000"/>
          <w:szCs w:val="32"/>
        </w:rPr>
        <w:t>科创投资类发行人应当在发行前</w:t>
      </w:r>
      <w:r>
        <w:rPr>
          <w:rFonts w:hint="eastAsia" w:ascii="仿宋" w:hAnsi="仿宋"/>
          <w:szCs w:val="32"/>
        </w:rPr>
        <w:t>披露拟投资企业、拟出资基金的相关信息，以及拟投资项目的科技创新属性。</w:t>
      </w:r>
    </w:p>
    <w:p>
      <w:pPr>
        <w:spacing w:line="560" w:lineRule="exact"/>
        <w:ind w:firstLine="640"/>
        <w:rPr>
          <w:rFonts w:ascii="仿宋" w:hAnsi="仿宋"/>
          <w:szCs w:val="32"/>
        </w:rPr>
      </w:pPr>
      <w:r>
        <w:rPr>
          <w:rFonts w:hint="eastAsia" w:ascii="仿宋" w:hAnsi="仿宋"/>
          <w:b/>
          <w:szCs w:val="32"/>
        </w:rPr>
        <w:t xml:space="preserve">第九十一条 </w:t>
      </w:r>
      <w:r>
        <w:rPr>
          <w:rFonts w:hint="eastAsia" w:ascii="仿宋" w:hAnsi="仿宋"/>
          <w:szCs w:val="32"/>
        </w:rPr>
        <w:t>募集资金用于设立或者认购基金份额的，应当符合《私募投资基金监督管理暂行办法》和《关于规范金融机构资产管理业务的指导意见》等相关规定。</w:t>
      </w:r>
    </w:p>
    <w:p>
      <w:pPr>
        <w:spacing w:line="560" w:lineRule="exact"/>
        <w:ind w:firstLine="643"/>
        <w:rPr>
          <w:rFonts w:ascii="仿宋" w:hAnsi="仿宋"/>
          <w:szCs w:val="32"/>
        </w:rPr>
      </w:pPr>
      <w:r>
        <w:rPr>
          <w:rFonts w:hint="eastAsia" w:ascii="仿宋" w:hAnsi="仿宋"/>
          <w:b/>
          <w:szCs w:val="32"/>
        </w:rPr>
        <w:t xml:space="preserve">第九十二条 </w:t>
      </w:r>
      <w:r>
        <w:rPr>
          <w:rFonts w:hint="eastAsia" w:ascii="仿宋" w:hAnsi="仿宋"/>
          <w:szCs w:val="32"/>
        </w:rPr>
        <w:t>发行人应当在募集说明书中约定募集资金使用情况的披露事宜。债券存续期间，发行人和受托管理人应当分别在定期报告和受托管理事务报告中披露科技创新公司债券募集资金使用情况、科技创新项目进展情况和促进科技创新发展效果等内容，设立或者认购基金份额的需披露基金产品的运作情况。</w:t>
      </w:r>
    </w:p>
    <w:p>
      <w:pPr>
        <w:adjustRightInd w:val="0"/>
        <w:snapToGrid w:val="0"/>
        <w:spacing w:line="560" w:lineRule="exact"/>
        <w:jc w:val="center"/>
        <w:outlineLvl w:val="1"/>
        <w:rPr>
          <w:rFonts w:ascii="楷体" w:hAnsi="楷体" w:eastAsia="楷体"/>
          <w:bCs/>
          <w:color w:val="000000"/>
          <w:kern w:val="0"/>
          <w:szCs w:val="30"/>
        </w:rPr>
      </w:pPr>
      <w:bookmarkStart w:id="5" w:name="_Toc71891086"/>
      <w:r>
        <w:rPr>
          <w:rFonts w:hint="eastAsia" w:ascii="楷体" w:hAnsi="楷体" w:eastAsia="楷体"/>
          <w:bCs/>
          <w:color w:val="000000"/>
          <w:kern w:val="0"/>
          <w:szCs w:val="30"/>
        </w:rPr>
        <w:t>第五节 特别安排</w:t>
      </w:r>
      <w:bookmarkEnd w:id="5"/>
    </w:p>
    <w:p>
      <w:pPr>
        <w:spacing w:line="560" w:lineRule="exact"/>
        <w:ind w:firstLine="640"/>
        <w:rPr>
          <w:rFonts w:ascii="仿宋" w:hAnsi="仿宋"/>
          <w:szCs w:val="32"/>
        </w:rPr>
      </w:pPr>
      <w:r>
        <w:rPr>
          <w:rFonts w:hint="eastAsia" w:ascii="仿宋" w:hAnsi="仿宋"/>
          <w:b/>
          <w:szCs w:val="32"/>
        </w:rPr>
        <w:t xml:space="preserve">第九十三条 </w:t>
      </w:r>
      <w:r>
        <w:rPr>
          <w:rFonts w:hint="eastAsia" w:ascii="仿宋" w:hAnsi="仿宋"/>
          <w:szCs w:val="32"/>
        </w:rPr>
        <w:t>资产负债率不高于同行业平均水平，且具有行业领先地位的发行人，本所对其发行科技创新公司债券作出下列优化安排：</w:t>
      </w:r>
    </w:p>
    <w:p>
      <w:pPr>
        <w:adjustRightInd w:val="0"/>
        <w:snapToGrid w:val="0"/>
        <w:spacing w:line="560" w:lineRule="exact"/>
        <w:ind w:firstLine="632" w:firstLineChars="200"/>
        <w:rPr>
          <w:rFonts w:ascii="仿宋" w:hAnsi="仿宋"/>
          <w:szCs w:val="32"/>
        </w:rPr>
      </w:pPr>
      <w:r>
        <w:rPr>
          <w:rFonts w:hint="eastAsia" w:ascii="仿宋" w:hAnsi="仿宋"/>
          <w:szCs w:val="32"/>
        </w:rPr>
        <w:t>（一）不存在需重点关注的负面情形的，本所审核时限原则上不超过15个工作日。</w:t>
      </w:r>
    </w:p>
    <w:p>
      <w:pPr>
        <w:adjustRightInd w:val="0"/>
        <w:snapToGrid w:val="0"/>
        <w:spacing w:line="560" w:lineRule="exact"/>
        <w:ind w:firstLine="632" w:firstLineChars="200"/>
        <w:rPr>
          <w:rFonts w:ascii="仿宋" w:hAnsi="仿宋"/>
          <w:szCs w:val="32"/>
        </w:rPr>
      </w:pPr>
      <w:r>
        <w:rPr>
          <w:rFonts w:hint="eastAsia" w:ascii="仿宋" w:hAnsi="仿宋"/>
          <w:szCs w:val="32"/>
        </w:rPr>
        <w:t>（二）发行人可以就科技创新公司债券单独编制申请文件并单独申报，也可以与一般公司债券、其他专项品种公司债券编制统一申请文件并统一进行申报。统一申报的，应当在募集说明书中约定申报的科技创新公司债券发行规模。</w:t>
      </w:r>
    </w:p>
    <w:p>
      <w:pPr>
        <w:adjustRightInd w:val="0"/>
        <w:snapToGrid w:val="0"/>
        <w:spacing w:line="560" w:lineRule="exact"/>
        <w:ind w:firstLine="632" w:firstLineChars="200"/>
        <w:rPr>
          <w:rFonts w:ascii="仿宋" w:hAnsi="仿宋"/>
          <w:szCs w:val="32"/>
        </w:rPr>
      </w:pPr>
      <w:r>
        <w:rPr>
          <w:rFonts w:hint="eastAsia" w:ascii="仿宋" w:hAnsi="仿宋" w:cs="黑体"/>
          <w:kern w:val="0"/>
          <w:szCs w:val="32"/>
        </w:rPr>
        <w:t>（三）发行人可以申请适当延长年度、半年度财务报表有效期。年度财务报表有效期最多延长至当年8月末，半年度财务报表有效期最多延长至次年4月末。已披露季度财务报表的，应当同步披露季度主要财务数据。</w:t>
      </w:r>
    </w:p>
    <w:p>
      <w:pPr>
        <w:adjustRightInd w:val="0"/>
        <w:snapToGrid w:val="0"/>
        <w:spacing w:line="560" w:lineRule="exact"/>
        <w:ind w:firstLine="632" w:firstLineChars="200"/>
        <w:rPr>
          <w:rFonts w:ascii="仿宋" w:hAnsi="仿宋"/>
          <w:szCs w:val="32"/>
        </w:rPr>
      </w:pPr>
      <w:r>
        <w:rPr>
          <w:rFonts w:hint="eastAsia" w:ascii="仿宋" w:hAnsi="仿宋"/>
          <w:szCs w:val="32"/>
        </w:rPr>
        <w:t>（四）发行人在中国证监会注册文件或者挂牌条件确认文件有效期内进行后续发行时，可适当简化募集说明书中发行人基本情况、财务会计信息等相关章节信息披露内容。</w:t>
      </w:r>
    </w:p>
    <w:p>
      <w:pPr>
        <w:adjustRightInd w:val="0"/>
        <w:snapToGrid w:val="0"/>
        <w:spacing w:line="560" w:lineRule="exact"/>
        <w:ind w:firstLine="632" w:firstLineChars="200"/>
        <w:rPr>
          <w:rFonts w:ascii="仿宋" w:hAnsi="仿宋"/>
          <w:szCs w:val="32"/>
        </w:rPr>
      </w:pPr>
      <w:r>
        <w:rPr>
          <w:rFonts w:hint="eastAsia" w:ascii="仿宋" w:hAnsi="仿宋" w:cs="黑体"/>
          <w:kern w:val="0"/>
          <w:szCs w:val="32"/>
        </w:rPr>
        <w:t>（五）发行人董事、监事、高级管理人员在对发行申请文件真实性、准确性和完整性的确认意见中，承诺发行申请文件不存在虚假记载、误导性陈述或者重大遗漏，且将持续履行相关职责，确保每期债券发行文件真实、准确、完整的，后续每期债券发行前可以无需另行签署确认意见。</w:t>
      </w:r>
    </w:p>
    <w:p>
      <w:pPr>
        <w:adjustRightInd w:val="0"/>
        <w:snapToGrid w:val="0"/>
        <w:spacing w:line="560" w:lineRule="exact"/>
        <w:ind w:firstLine="632" w:firstLineChars="200"/>
        <w:rPr>
          <w:rFonts w:ascii="仿宋" w:hAnsi="仿宋" w:cs="黑体"/>
          <w:kern w:val="0"/>
          <w:szCs w:val="32"/>
        </w:rPr>
      </w:pPr>
      <w:r>
        <w:rPr>
          <w:rFonts w:hint="eastAsia" w:ascii="仿宋" w:hAnsi="仿宋"/>
          <w:szCs w:val="32"/>
        </w:rPr>
        <w:t>发行人经营财务状况存在重大不利变化或者存在其他对偿债能力、发行条件产生重大影响的事项的</w:t>
      </w:r>
      <w:r>
        <w:rPr>
          <w:rFonts w:hint="eastAsia" w:ascii="仿宋" w:hAnsi="仿宋" w:cs="黑体"/>
          <w:kern w:val="0"/>
          <w:szCs w:val="32"/>
        </w:rPr>
        <w:t>，不适用前款优化安排。</w:t>
      </w:r>
      <w:r>
        <w:rPr>
          <w:rFonts w:ascii="仿宋" w:hAnsi="仿宋" w:cs="黑体"/>
          <w:kern w:val="0"/>
          <w:szCs w:val="32"/>
        </w:rPr>
        <w:t xml:space="preserve"> </w:t>
      </w:r>
    </w:p>
    <w:p>
      <w:pPr>
        <w:spacing w:line="560" w:lineRule="exact"/>
        <w:ind w:firstLine="632" w:firstLineChars="200"/>
        <w:rPr>
          <w:rFonts w:ascii="仿宋" w:hAnsi="仿宋"/>
          <w:szCs w:val="32"/>
        </w:rPr>
      </w:pPr>
      <w:r>
        <w:rPr>
          <w:rFonts w:hint="eastAsia" w:ascii="仿宋" w:hAnsi="仿宋"/>
          <w:szCs w:val="32"/>
        </w:rPr>
        <w:t>发行人应当结合所属行业、同行业可比企业情况、竞争优势、市场认可度等，对自身具有行业领先地位出具专项说明，并提供相关依据。主承销商应当对发行人是否符合本条规定的优化安排措施适用的条件进行核查，并出具专项核查意见。</w:t>
      </w:r>
    </w:p>
    <w:p>
      <w:pPr>
        <w:spacing w:line="560" w:lineRule="exact"/>
        <w:ind w:firstLine="640"/>
        <w:rPr>
          <w:rFonts w:ascii="仿宋" w:hAnsi="仿宋"/>
          <w:szCs w:val="32"/>
        </w:rPr>
      </w:pPr>
      <w:r>
        <w:rPr>
          <w:rFonts w:hint="eastAsia" w:ascii="仿宋" w:hAnsi="仿宋"/>
          <w:b/>
          <w:szCs w:val="32"/>
        </w:rPr>
        <w:t xml:space="preserve">第九十四条 </w:t>
      </w:r>
      <w:r>
        <w:rPr>
          <w:rFonts w:hint="eastAsia" w:ascii="仿宋" w:hAnsi="仿宋"/>
          <w:szCs w:val="32"/>
        </w:rPr>
        <w:t>发行人在科技创新公司债券中国证监会注册文件或者挂牌条件确认文件到期前3个月内，可以申报新的科技创新公司债券。</w:t>
      </w:r>
    </w:p>
    <w:p>
      <w:pPr>
        <w:spacing w:line="560" w:lineRule="exact"/>
        <w:ind w:firstLine="640"/>
        <w:rPr>
          <w:rFonts w:ascii="仿宋" w:hAnsi="仿宋"/>
          <w:szCs w:val="32"/>
        </w:rPr>
      </w:pPr>
      <w:r>
        <w:rPr>
          <w:rFonts w:hint="eastAsia" w:ascii="仿宋" w:hAnsi="仿宋"/>
          <w:b/>
          <w:szCs w:val="32"/>
        </w:rPr>
        <w:t xml:space="preserve">第九十五条 </w:t>
      </w:r>
      <w:r>
        <w:rPr>
          <w:rFonts w:hint="eastAsia" w:ascii="仿宋" w:hAnsi="仿宋"/>
          <w:szCs w:val="32"/>
        </w:rPr>
        <w:t>发行人成立时间不满1个完整会计年度，但在推动关键核心技术攻关、承担国家重大科技项目、推动产业转型升级等方面具有引领和示范作用的，可以非公开发行科技创新公司债券。</w:t>
      </w:r>
    </w:p>
    <w:p>
      <w:pPr>
        <w:spacing w:line="560" w:lineRule="exact"/>
        <w:ind w:firstLine="640"/>
        <w:rPr>
          <w:rFonts w:ascii="仿宋" w:hAnsi="仿宋"/>
          <w:szCs w:val="32"/>
        </w:rPr>
      </w:pPr>
      <w:r>
        <w:rPr>
          <w:rFonts w:hint="eastAsia" w:ascii="仿宋" w:hAnsi="仿宋"/>
          <w:b/>
          <w:szCs w:val="32"/>
        </w:rPr>
        <w:t xml:space="preserve">第九十六条 </w:t>
      </w:r>
      <w:r>
        <w:rPr>
          <w:rFonts w:hint="eastAsia" w:ascii="仿宋" w:hAnsi="仿宋"/>
          <w:szCs w:val="32"/>
        </w:rPr>
        <w:t>本所鼓励发行人对科技创新公司债券发行方式、期限结构、利率确定和计算方式、还本付息方式、赎回或者转换选择权、增信措施等进行创新。</w:t>
      </w:r>
    </w:p>
    <w:p>
      <w:pPr>
        <w:adjustRightInd w:val="0"/>
        <w:snapToGrid w:val="0"/>
        <w:spacing w:line="560" w:lineRule="exact"/>
        <w:ind w:firstLine="632" w:firstLineChars="200"/>
        <w:rPr>
          <w:rFonts w:ascii="仿宋" w:hAnsi="仿宋"/>
          <w:szCs w:val="32"/>
        </w:rPr>
      </w:pPr>
      <w:r>
        <w:rPr>
          <w:rFonts w:hint="eastAsia" w:ascii="仿宋" w:hAnsi="仿宋"/>
          <w:szCs w:val="32"/>
        </w:rPr>
        <w:t>创新方式包括设置预期收益质押担保、知识产权质押担保、可转换为被投资标的股份、票面利率与科技创新企业成长或者募投项目收益挂钩、以募投项目收益现金流为主要偿债来源等。</w:t>
      </w:r>
    </w:p>
    <w:p>
      <w:pPr>
        <w:adjustRightInd w:val="0"/>
        <w:snapToGrid w:val="0"/>
        <w:spacing w:line="560" w:lineRule="exact"/>
        <w:ind w:firstLine="632" w:firstLineChars="200"/>
        <w:rPr>
          <w:rFonts w:ascii="仿宋" w:hAnsi="仿宋"/>
          <w:szCs w:val="32"/>
        </w:rPr>
      </w:pPr>
      <w:r>
        <w:rPr>
          <w:rFonts w:hint="eastAsia" w:ascii="仿宋" w:hAnsi="仿宋"/>
          <w:szCs w:val="32"/>
        </w:rPr>
        <w:t>发行人可以根据创新条款设置情况，在债券名称中使用“（预期收益质押担保）”“（收益挂钩）”等标识。</w:t>
      </w:r>
    </w:p>
    <w:p>
      <w:pPr>
        <w:spacing w:line="560" w:lineRule="exact"/>
        <w:ind w:firstLine="640"/>
        <w:rPr>
          <w:rFonts w:ascii="仿宋" w:hAnsi="仿宋"/>
          <w:szCs w:val="32"/>
        </w:rPr>
      </w:pPr>
      <w:r>
        <w:rPr>
          <w:rFonts w:hint="eastAsia" w:ascii="仿宋" w:hAnsi="仿宋"/>
          <w:b/>
          <w:szCs w:val="32"/>
        </w:rPr>
        <w:t xml:space="preserve">第九十七条 </w:t>
      </w:r>
      <w:r>
        <w:rPr>
          <w:rFonts w:hint="eastAsia" w:ascii="仿宋" w:hAnsi="仿宋"/>
          <w:szCs w:val="32"/>
        </w:rPr>
        <w:t>科技创新类发行人可以参照《非上市公司非公开发行可转换公司债券业务实施办法》的规定，设置可转换为发行人股份的条款，非公开发行可转换科技创新公司债券。</w:t>
      </w:r>
    </w:p>
    <w:p>
      <w:pPr>
        <w:spacing w:line="560" w:lineRule="exact"/>
        <w:ind w:firstLine="640"/>
        <w:rPr>
          <w:rFonts w:ascii="仿宋" w:hAnsi="仿宋"/>
          <w:szCs w:val="32"/>
        </w:rPr>
      </w:pPr>
      <w:r>
        <w:rPr>
          <w:rFonts w:hint="eastAsia" w:ascii="仿宋" w:hAnsi="仿宋"/>
          <w:b/>
          <w:szCs w:val="32"/>
        </w:rPr>
        <w:t xml:space="preserve">第九十八条 </w:t>
      </w:r>
      <w:r>
        <w:rPr>
          <w:rFonts w:hint="eastAsia" w:ascii="仿宋" w:hAnsi="仿宋"/>
          <w:szCs w:val="32"/>
        </w:rPr>
        <w:t>本所鼓励发行人根据预期投资回收周期发行长期限债券，匹配长期资金使用需求。</w:t>
      </w:r>
    </w:p>
    <w:p>
      <w:pPr>
        <w:adjustRightInd w:val="0"/>
        <w:snapToGrid w:val="0"/>
        <w:spacing w:line="560" w:lineRule="exact"/>
        <w:ind w:firstLine="632" w:firstLineChars="200"/>
        <w:rPr>
          <w:rFonts w:ascii="仿宋" w:hAnsi="仿宋"/>
          <w:szCs w:val="32"/>
        </w:rPr>
      </w:pPr>
      <w:r>
        <w:rPr>
          <w:rFonts w:hint="eastAsia" w:ascii="仿宋" w:hAnsi="仿宋"/>
          <w:szCs w:val="32"/>
        </w:rPr>
        <w:t>本所鼓励发行人利用信用保护工具、内外部信用增进等</w:t>
      </w:r>
      <w:r>
        <w:rPr>
          <w:rFonts w:ascii="仿宋" w:hAnsi="仿宋"/>
          <w:szCs w:val="32"/>
        </w:rPr>
        <w:t>方式，降低融资成本</w:t>
      </w:r>
      <w:r>
        <w:rPr>
          <w:rFonts w:hint="eastAsia" w:ascii="仿宋" w:hAnsi="仿宋"/>
          <w:szCs w:val="32"/>
        </w:rPr>
        <w:t>。</w:t>
      </w:r>
    </w:p>
    <w:p>
      <w:pPr>
        <w:adjustRightInd w:val="0"/>
        <w:snapToGrid w:val="0"/>
        <w:spacing w:line="560" w:lineRule="exact"/>
        <w:ind w:firstLine="632" w:firstLineChars="200"/>
        <w:rPr>
          <w:rFonts w:ascii="仿宋" w:hAnsi="仿宋"/>
          <w:szCs w:val="32"/>
        </w:rPr>
      </w:pPr>
      <w:r>
        <w:rPr>
          <w:rFonts w:hint="eastAsia" w:ascii="仿宋" w:hAnsi="仿宋"/>
          <w:szCs w:val="32"/>
        </w:rPr>
        <w:t>本所</w:t>
      </w:r>
      <w:r>
        <w:rPr>
          <w:rFonts w:ascii="仿宋" w:hAnsi="仿宋"/>
          <w:szCs w:val="32"/>
        </w:rPr>
        <w:t>鼓励发行人</w:t>
      </w:r>
      <w:r>
        <w:rPr>
          <w:rFonts w:hint="eastAsia" w:ascii="仿宋" w:hAnsi="仿宋"/>
          <w:szCs w:val="32"/>
        </w:rPr>
        <w:t>根据自身特点有针对性地</w:t>
      </w:r>
      <w:r>
        <w:rPr>
          <w:rFonts w:ascii="仿宋" w:hAnsi="仿宋"/>
          <w:szCs w:val="32"/>
        </w:rPr>
        <w:t>设置多样化的偿债保障条款，包括控制权变更限制条款、核心资产划转限制条款、交叉违约条款、新增债务限制条款、支出限制条款、股利</w:t>
      </w:r>
      <w:r>
        <w:rPr>
          <w:rFonts w:hint="eastAsia" w:ascii="仿宋" w:hAnsi="仿宋"/>
          <w:szCs w:val="32"/>
        </w:rPr>
        <w:t>支付</w:t>
      </w:r>
      <w:r>
        <w:rPr>
          <w:rFonts w:ascii="仿宋" w:hAnsi="仿宋"/>
          <w:szCs w:val="32"/>
        </w:rPr>
        <w:t>和股份回购限制条款、财务指标承诺条款等。</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第八章 乡村振兴公司债券</w:t>
      </w:r>
    </w:p>
    <w:p>
      <w:pPr>
        <w:spacing w:line="560" w:lineRule="exact"/>
        <w:ind w:firstLine="640"/>
        <w:rPr>
          <w:rFonts w:ascii="仿宋" w:hAnsi="仿宋" w:cs="方正仿宋简体"/>
          <w:szCs w:val="32"/>
        </w:rPr>
      </w:pPr>
      <w:r>
        <w:rPr>
          <w:rFonts w:hint="eastAsia" w:ascii="仿宋" w:hAnsi="仿宋" w:cs="方正仿宋简体"/>
          <w:b/>
          <w:szCs w:val="32"/>
        </w:rPr>
        <w:t xml:space="preserve">第九十九条 </w:t>
      </w:r>
      <w:r>
        <w:rPr>
          <w:rFonts w:hint="eastAsia" w:ascii="仿宋" w:hAnsi="仿宋" w:cs="方正仿宋简体"/>
          <w:szCs w:val="32"/>
        </w:rPr>
        <w:t>本指引所称乡村振兴公司债券，是指符合下列条件之一的公司债券：</w:t>
      </w:r>
    </w:p>
    <w:p>
      <w:pPr>
        <w:spacing w:line="560" w:lineRule="exact"/>
        <w:ind w:firstLine="632" w:firstLineChars="200"/>
        <w:rPr>
          <w:rFonts w:ascii="仿宋" w:hAnsi="仿宋" w:cs="方正仿宋简体"/>
          <w:szCs w:val="32"/>
        </w:rPr>
      </w:pPr>
      <w:r>
        <w:rPr>
          <w:rFonts w:hint="eastAsia" w:ascii="仿宋" w:hAnsi="仿宋" w:cs="方正仿宋简体"/>
          <w:szCs w:val="32"/>
        </w:rPr>
        <w:t>（一）企业注册地在国家乡村振兴重点帮扶县或者脱贫摘帽不满5年的地区，且募集资金主要用于支持乡村振兴相关领域的公司债券；</w:t>
      </w:r>
    </w:p>
    <w:p>
      <w:pPr>
        <w:spacing w:line="560" w:lineRule="exact"/>
        <w:ind w:firstLine="632" w:firstLineChars="200"/>
        <w:rPr>
          <w:rFonts w:ascii="仿宋" w:hAnsi="仿宋" w:cs="方正仿宋简体"/>
          <w:szCs w:val="32"/>
        </w:rPr>
      </w:pPr>
      <w:r>
        <w:rPr>
          <w:rFonts w:hint="eastAsia" w:ascii="仿宋" w:hAnsi="仿宋" w:cs="方正仿宋简体"/>
          <w:szCs w:val="32"/>
        </w:rPr>
        <w:t>（二）募集资金主要用于乡村振兴领域相关项目的建设、运营、收购或者偿还乡村振兴项目对应有息债务的乡村振兴公司债券。</w:t>
      </w:r>
    </w:p>
    <w:p>
      <w:pPr>
        <w:spacing w:line="560" w:lineRule="exact"/>
        <w:ind w:firstLine="640"/>
        <w:rPr>
          <w:rFonts w:ascii="仿宋" w:hAnsi="仿宋" w:cs="方正仿宋简体"/>
          <w:szCs w:val="32"/>
        </w:rPr>
      </w:pPr>
      <w:r>
        <w:rPr>
          <w:rFonts w:hint="eastAsia" w:ascii="仿宋" w:hAnsi="仿宋" w:cs="方正仿宋简体"/>
          <w:b/>
          <w:szCs w:val="32"/>
        </w:rPr>
        <w:t xml:space="preserve">第一百条 </w:t>
      </w:r>
      <w:r>
        <w:rPr>
          <w:rFonts w:hint="eastAsia" w:ascii="仿宋" w:hAnsi="仿宋" w:cs="方正仿宋简体"/>
          <w:szCs w:val="32"/>
        </w:rPr>
        <w:t>募集资金用于乡村振兴领域</w:t>
      </w:r>
      <w:r>
        <w:rPr>
          <w:rFonts w:hint="eastAsia" w:ascii="仿宋" w:hAnsi="仿宋"/>
          <w:color w:val="000000"/>
          <w:szCs w:val="32"/>
        </w:rPr>
        <w:t>或者</w:t>
      </w:r>
      <w:r>
        <w:rPr>
          <w:rFonts w:hint="eastAsia" w:ascii="仿宋" w:hAnsi="仿宋" w:cs="方正仿宋简体"/>
          <w:szCs w:val="32"/>
        </w:rPr>
        <w:t>项目的金额应当不低于债券募集资金总额的70%。</w:t>
      </w:r>
    </w:p>
    <w:p>
      <w:pPr>
        <w:spacing w:line="560" w:lineRule="exact"/>
        <w:ind w:firstLine="632" w:firstLineChars="200"/>
        <w:rPr>
          <w:rFonts w:ascii="仿宋" w:hAnsi="仿宋"/>
          <w:szCs w:val="32"/>
        </w:rPr>
      </w:pPr>
      <w:r>
        <w:rPr>
          <w:rFonts w:hint="eastAsia" w:ascii="仿宋" w:hAnsi="仿宋"/>
          <w:szCs w:val="32"/>
        </w:rPr>
        <w:t>前款所称乡村振兴领域包括稳定粮食和重要农产品保障、支持农村产业融合发展、加快农业农村现代化、促进农村人口就业增收、改善乡村基础设施条件、提升乡村公共服务水平等国家乡村振兴支持领域，通过市场化法治化的方式优化乡村就业结构、健全乡村产业体系、推动乡村产业链条升级、完善乡村基础设施等。</w:t>
      </w:r>
    </w:p>
    <w:p>
      <w:pPr>
        <w:spacing w:line="560" w:lineRule="exact"/>
        <w:ind w:firstLine="640"/>
        <w:rPr>
          <w:rFonts w:ascii="仿宋" w:hAnsi="仿宋" w:cs="方正仿宋简体"/>
          <w:szCs w:val="32"/>
        </w:rPr>
      </w:pPr>
      <w:r>
        <w:rPr>
          <w:rFonts w:hint="eastAsia" w:ascii="仿宋" w:hAnsi="仿宋" w:cs="方正仿宋简体"/>
          <w:b/>
          <w:szCs w:val="32"/>
        </w:rPr>
        <w:t xml:space="preserve">第一百零一条 </w:t>
      </w:r>
      <w:r>
        <w:rPr>
          <w:rFonts w:hint="eastAsia" w:ascii="仿宋" w:hAnsi="仿宋" w:cs="方正仿宋简体"/>
          <w:szCs w:val="32"/>
        </w:rPr>
        <w:t>募集资金用于乡村振兴领域相关项目的发行人，应当在募集说明书中披露拟投资项目的基本情况，包括项目属于乡村振兴、巩固脱贫相关范畴的依据、具体实施计划、政策支持情况等。</w:t>
      </w:r>
    </w:p>
    <w:p>
      <w:pPr>
        <w:spacing w:line="560" w:lineRule="exact"/>
        <w:ind w:firstLine="640"/>
        <w:rPr>
          <w:rFonts w:ascii="仿宋" w:hAnsi="仿宋" w:cs="方正仿宋简体"/>
          <w:szCs w:val="32"/>
        </w:rPr>
      </w:pPr>
      <w:r>
        <w:rPr>
          <w:rFonts w:hint="eastAsia" w:ascii="仿宋" w:hAnsi="仿宋" w:cs="方正仿宋简体"/>
          <w:b/>
          <w:szCs w:val="32"/>
        </w:rPr>
        <w:t xml:space="preserve">第一百零二条 </w:t>
      </w:r>
      <w:r>
        <w:rPr>
          <w:rFonts w:hint="eastAsia" w:ascii="仿宋" w:hAnsi="仿宋"/>
          <w:szCs w:val="32"/>
        </w:rPr>
        <w:t>发行人可以使用募集资金置换债券发行前3个月内</w:t>
      </w:r>
      <w:r>
        <w:rPr>
          <w:rFonts w:hint="eastAsia" w:ascii="仿宋" w:hAnsi="仿宋" w:cs="方正仿宋简体"/>
          <w:szCs w:val="32"/>
        </w:rPr>
        <w:t>用于乡村振兴领域</w:t>
      </w:r>
      <w:r>
        <w:rPr>
          <w:rFonts w:hint="eastAsia" w:ascii="仿宋" w:hAnsi="仿宋"/>
          <w:color w:val="000000"/>
          <w:szCs w:val="32"/>
        </w:rPr>
        <w:t>或者</w:t>
      </w:r>
      <w:r>
        <w:rPr>
          <w:rFonts w:hint="eastAsia" w:ascii="仿宋" w:hAnsi="仿宋" w:cs="方正仿宋简体"/>
          <w:szCs w:val="32"/>
        </w:rPr>
        <w:t>项目</w:t>
      </w:r>
      <w:r>
        <w:rPr>
          <w:rFonts w:hint="eastAsia" w:ascii="仿宋" w:hAnsi="仿宋"/>
          <w:szCs w:val="32"/>
        </w:rPr>
        <w:t>的自有资金支出。本所鼓励将置换后的资金用于新的</w:t>
      </w:r>
      <w:r>
        <w:rPr>
          <w:rFonts w:hint="eastAsia" w:ascii="仿宋" w:hAnsi="仿宋" w:cs="方正仿宋简体"/>
          <w:szCs w:val="32"/>
        </w:rPr>
        <w:t>乡村振兴领域</w:t>
      </w:r>
      <w:r>
        <w:rPr>
          <w:rFonts w:hint="eastAsia" w:ascii="仿宋" w:hAnsi="仿宋"/>
          <w:color w:val="000000"/>
          <w:szCs w:val="32"/>
        </w:rPr>
        <w:t>或者</w:t>
      </w:r>
      <w:r>
        <w:rPr>
          <w:rFonts w:hint="eastAsia" w:ascii="仿宋" w:hAnsi="仿宋" w:cs="方正仿宋简体"/>
          <w:szCs w:val="32"/>
        </w:rPr>
        <w:t>项目</w:t>
      </w:r>
      <w:r>
        <w:rPr>
          <w:rFonts w:hint="eastAsia" w:ascii="仿宋" w:hAnsi="仿宋"/>
          <w:szCs w:val="32"/>
        </w:rPr>
        <w:t>，形成投资良性循环。</w:t>
      </w:r>
    </w:p>
    <w:p>
      <w:pPr>
        <w:spacing w:line="560" w:lineRule="exact"/>
        <w:ind w:firstLine="640"/>
        <w:rPr>
          <w:rFonts w:ascii="仿宋" w:hAnsi="仿宋" w:cs="方正仿宋简体"/>
          <w:szCs w:val="32"/>
        </w:rPr>
      </w:pPr>
      <w:r>
        <w:rPr>
          <w:rFonts w:hint="eastAsia" w:ascii="仿宋" w:hAnsi="仿宋" w:cs="方正仿宋简体"/>
          <w:b/>
          <w:szCs w:val="32"/>
        </w:rPr>
        <w:t xml:space="preserve">第一百零三条 </w:t>
      </w:r>
      <w:r>
        <w:rPr>
          <w:rFonts w:hint="eastAsia" w:ascii="仿宋" w:hAnsi="仿宋" w:cs="方正仿宋简体"/>
          <w:szCs w:val="32"/>
        </w:rPr>
        <w:t>债券存续期内，发行人应当在定期报告中披露募集资金使用情况、乡村振兴领域或者项目支持效果等。</w:t>
      </w:r>
    </w:p>
    <w:p>
      <w:pPr>
        <w:spacing w:line="560" w:lineRule="exact"/>
        <w:ind w:firstLine="640"/>
        <w:rPr>
          <w:rFonts w:ascii="仿宋" w:hAnsi="仿宋" w:cs="方正仿宋简体"/>
          <w:szCs w:val="32"/>
        </w:rPr>
      </w:pPr>
      <w:r>
        <w:rPr>
          <w:rFonts w:hint="eastAsia" w:ascii="仿宋" w:hAnsi="仿宋" w:cs="方正仿宋简体"/>
          <w:szCs w:val="32"/>
        </w:rPr>
        <w:t>受托管理人应当在年度受托管理事务报告中披露对上述内容的核查情况。</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第九章 “一带一路”公司</w:t>
      </w:r>
      <w:r>
        <w:rPr>
          <w:rFonts w:ascii="黑体" w:hAnsi="黑体" w:eastAsia="黑体"/>
          <w:bCs/>
          <w:color w:val="000000"/>
          <w:kern w:val="0"/>
          <w:szCs w:val="30"/>
        </w:rPr>
        <w:t>债券</w:t>
      </w:r>
    </w:p>
    <w:p>
      <w:pPr>
        <w:spacing w:line="560" w:lineRule="exact"/>
        <w:ind w:firstLine="640"/>
        <w:rPr>
          <w:rFonts w:ascii="仿宋" w:hAnsi="仿宋"/>
          <w:szCs w:val="32"/>
        </w:rPr>
      </w:pPr>
      <w:r>
        <w:rPr>
          <w:rFonts w:hint="eastAsia" w:ascii="仿宋" w:hAnsi="仿宋"/>
          <w:b/>
          <w:szCs w:val="32"/>
        </w:rPr>
        <w:t xml:space="preserve">第一百零四条 </w:t>
      </w:r>
      <w:r>
        <w:rPr>
          <w:rFonts w:hint="eastAsia" w:ascii="仿宋" w:hAnsi="仿宋"/>
          <w:szCs w:val="32"/>
        </w:rPr>
        <w:t>本指引所称“一带一路”公司债券，是指</w:t>
      </w:r>
      <w:r>
        <w:rPr>
          <w:rFonts w:ascii="仿宋" w:hAnsi="仿宋"/>
          <w:szCs w:val="32"/>
        </w:rPr>
        <w:t>境内外</w:t>
      </w:r>
      <w:r>
        <w:rPr>
          <w:rFonts w:hint="eastAsia" w:ascii="仿宋" w:hAnsi="仿宋"/>
          <w:szCs w:val="32"/>
        </w:rPr>
        <w:t>发行人在本所</w:t>
      </w:r>
      <w:r>
        <w:rPr>
          <w:rFonts w:ascii="仿宋" w:hAnsi="仿宋"/>
          <w:szCs w:val="32"/>
        </w:rPr>
        <w:t>发行的，募集资金</w:t>
      </w:r>
      <w:r>
        <w:rPr>
          <w:rFonts w:hint="eastAsia" w:ascii="仿宋" w:hAnsi="仿宋"/>
          <w:szCs w:val="32"/>
        </w:rPr>
        <w:t>主要</w:t>
      </w:r>
      <w:r>
        <w:rPr>
          <w:rFonts w:ascii="仿宋" w:hAnsi="仿宋"/>
          <w:szCs w:val="32"/>
        </w:rPr>
        <w:t>用于</w:t>
      </w:r>
      <w:r>
        <w:rPr>
          <w:rFonts w:hint="eastAsia" w:ascii="仿宋" w:hAnsi="仿宋"/>
          <w:szCs w:val="32"/>
        </w:rPr>
        <w:t>“</w:t>
      </w:r>
      <w:r>
        <w:rPr>
          <w:rFonts w:ascii="仿宋" w:hAnsi="仿宋"/>
          <w:szCs w:val="32"/>
        </w:rPr>
        <w:t>一带一路</w:t>
      </w:r>
      <w:r>
        <w:rPr>
          <w:rFonts w:hint="eastAsia" w:ascii="仿宋" w:hAnsi="仿宋"/>
          <w:szCs w:val="32"/>
        </w:rPr>
        <w:t>”建设</w:t>
      </w:r>
      <w:r>
        <w:rPr>
          <w:rFonts w:ascii="仿宋" w:hAnsi="仿宋"/>
          <w:szCs w:val="32"/>
        </w:rPr>
        <w:t>的公司债券</w:t>
      </w:r>
      <w:r>
        <w:rPr>
          <w:rFonts w:hint="eastAsia" w:ascii="仿宋" w:hAnsi="仿宋"/>
          <w:szCs w:val="32"/>
        </w:rPr>
        <w:t>，或者指“一带一路”沿线国家（地区）的企业及金融机构发行的公司债券。</w:t>
      </w:r>
    </w:p>
    <w:p>
      <w:pPr>
        <w:spacing w:line="560" w:lineRule="exact"/>
        <w:ind w:firstLine="640"/>
        <w:rPr>
          <w:rFonts w:ascii="仿宋" w:hAnsi="仿宋"/>
          <w:szCs w:val="32"/>
        </w:rPr>
      </w:pPr>
      <w:r>
        <w:rPr>
          <w:rFonts w:hint="eastAsia" w:ascii="仿宋" w:hAnsi="仿宋"/>
          <w:b/>
          <w:szCs w:val="32"/>
        </w:rPr>
        <w:t xml:space="preserve">第一百零五条 </w:t>
      </w:r>
      <w:r>
        <w:rPr>
          <w:rFonts w:hint="eastAsia" w:ascii="仿宋" w:hAnsi="仿宋"/>
          <w:szCs w:val="32"/>
        </w:rPr>
        <w:t>募集资金主要用于“一带一路”建设的“一带一路”公司债券，应当满足下列</w:t>
      </w:r>
      <w:r>
        <w:rPr>
          <w:rFonts w:ascii="仿宋" w:hAnsi="仿宋"/>
          <w:szCs w:val="32"/>
        </w:rPr>
        <w:t>要求：</w:t>
      </w:r>
    </w:p>
    <w:p>
      <w:pPr>
        <w:spacing w:line="560" w:lineRule="exact"/>
        <w:ind w:firstLine="632" w:firstLineChars="200"/>
        <w:rPr>
          <w:rFonts w:ascii="仿宋" w:hAnsi="仿宋"/>
          <w:szCs w:val="32"/>
        </w:rPr>
      </w:pPr>
      <w:r>
        <w:rPr>
          <w:rFonts w:ascii="仿宋" w:hAnsi="仿宋"/>
          <w:szCs w:val="32"/>
        </w:rPr>
        <w:t>（</w:t>
      </w:r>
      <w:r>
        <w:rPr>
          <w:rFonts w:hint="eastAsia" w:ascii="仿宋" w:hAnsi="仿宋"/>
          <w:szCs w:val="32"/>
        </w:rPr>
        <w:t>一</w:t>
      </w:r>
      <w:r>
        <w:rPr>
          <w:rFonts w:ascii="仿宋" w:hAnsi="仿宋"/>
          <w:szCs w:val="32"/>
        </w:rPr>
        <w:t>）募集资金用于</w:t>
      </w:r>
      <w:r>
        <w:rPr>
          <w:rFonts w:hint="eastAsia" w:ascii="仿宋" w:hAnsi="仿宋"/>
          <w:szCs w:val="32"/>
        </w:rPr>
        <w:t>投资、建设或者运营“</w:t>
      </w:r>
      <w:r>
        <w:rPr>
          <w:rFonts w:ascii="仿宋" w:hAnsi="仿宋"/>
          <w:szCs w:val="32"/>
        </w:rPr>
        <w:t>一带一路</w:t>
      </w:r>
      <w:r>
        <w:rPr>
          <w:rFonts w:hint="eastAsia" w:ascii="仿宋" w:hAnsi="仿宋"/>
          <w:szCs w:val="32"/>
        </w:rPr>
        <w:t>”建设领域</w:t>
      </w:r>
      <w:r>
        <w:rPr>
          <w:rFonts w:ascii="仿宋" w:hAnsi="仿宋"/>
          <w:szCs w:val="32"/>
        </w:rPr>
        <w:t>，偿还</w:t>
      </w:r>
      <w:r>
        <w:rPr>
          <w:rFonts w:hint="eastAsia" w:ascii="仿宋" w:hAnsi="仿宋"/>
          <w:szCs w:val="32"/>
        </w:rPr>
        <w:t>“</w:t>
      </w:r>
      <w:r>
        <w:rPr>
          <w:rFonts w:ascii="仿宋" w:hAnsi="仿宋"/>
          <w:szCs w:val="32"/>
        </w:rPr>
        <w:t>一带一路</w:t>
      </w:r>
      <w:r>
        <w:rPr>
          <w:rFonts w:hint="eastAsia" w:ascii="仿宋" w:hAnsi="仿宋"/>
          <w:szCs w:val="32"/>
        </w:rPr>
        <w:t>”建设领域</w:t>
      </w:r>
      <w:r>
        <w:rPr>
          <w:rFonts w:ascii="仿宋" w:hAnsi="仿宋"/>
          <w:szCs w:val="32"/>
        </w:rPr>
        <w:t>形成的专项有息债务</w:t>
      </w:r>
      <w:r>
        <w:rPr>
          <w:rFonts w:hint="eastAsia" w:ascii="仿宋" w:hAnsi="仿宋"/>
          <w:szCs w:val="32"/>
        </w:rPr>
        <w:t>或者开展“一带一路”沿线国家（地区）业务的金额应当不低于募集资金总额的70%。</w:t>
      </w:r>
    </w:p>
    <w:p>
      <w:pPr>
        <w:spacing w:line="560" w:lineRule="exact"/>
        <w:ind w:firstLine="632" w:firstLineChars="200"/>
        <w:rPr>
          <w:rFonts w:ascii="仿宋" w:hAnsi="仿宋"/>
          <w:szCs w:val="32"/>
        </w:rPr>
      </w:pPr>
      <w:r>
        <w:rPr>
          <w:rFonts w:ascii="仿宋" w:hAnsi="仿宋"/>
          <w:szCs w:val="32"/>
        </w:rPr>
        <w:t>（二）募集资金用于“一带一路”建设领域的，发行人应当在募集说明书中披露相关项目或</w:t>
      </w:r>
      <w:r>
        <w:rPr>
          <w:rFonts w:hint="eastAsia" w:ascii="仿宋" w:hAnsi="仿宋"/>
          <w:szCs w:val="32"/>
        </w:rPr>
        <w:t>者</w:t>
      </w:r>
      <w:r>
        <w:rPr>
          <w:rFonts w:ascii="仿宋" w:hAnsi="仿宋"/>
          <w:szCs w:val="32"/>
        </w:rPr>
        <w:t>业务的基本情况，包括涉及领域、符合“一带一路”重大倡议的依据</w:t>
      </w:r>
      <w:r>
        <w:rPr>
          <w:rFonts w:hint="eastAsia" w:ascii="仿宋" w:hAnsi="仿宋"/>
          <w:szCs w:val="32"/>
        </w:rPr>
        <w:t>以</w:t>
      </w:r>
      <w:r>
        <w:rPr>
          <w:rFonts w:ascii="仿宋" w:hAnsi="仿宋"/>
          <w:szCs w:val="32"/>
        </w:rPr>
        <w:t>及认定文件、具体实施计划、政策支持情况等。主承销商应</w:t>
      </w:r>
      <w:r>
        <w:rPr>
          <w:rFonts w:hint="eastAsia" w:ascii="仿宋" w:hAnsi="仿宋"/>
          <w:szCs w:val="32"/>
        </w:rPr>
        <w:t>当</w:t>
      </w:r>
      <w:r>
        <w:rPr>
          <w:rFonts w:ascii="仿宋" w:hAnsi="仿宋"/>
          <w:szCs w:val="32"/>
        </w:rPr>
        <w:t>对上述事项进行核查，并发表核查意见</w:t>
      </w:r>
      <w:r>
        <w:rPr>
          <w:rFonts w:hint="eastAsia" w:ascii="仿宋" w:hAnsi="仿宋"/>
          <w:szCs w:val="32"/>
        </w:rPr>
        <w:t>。</w:t>
      </w:r>
    </w:p>
    <w:p>
      <w:pPr>
        <w:spacing w:line="560" w:lineRule="exact"/>
        <w:ind w:firstLine="632" w:firstLineChars="200"/>
        <w:rPr>
          <w:rFonts w:ascii="仿宋" w:hAnsi="仿宋"/>
          <w:szCs w:val="32"/>
        </w:rPr>
      </w:pPr>
      <w:r>
        <w:rPr>
          <w:rFonts w:hint="eastAsia" w:ascii="仿宋" w:hAnsi="仿宋"/>
          <w:szCs w:val="32"/>
        </w:rPr>
        <w:t>（三）募集资金拟用于开展“一带一路”沿线国家（地区）业务的，发行人应当已经与沿线国家（地区）政府职能部门或企业签订协议，获得有关监管机构必要批复、符合“一带一路”倡议。</w:t>
      </w:r>
    </w:p>
    <w:p>
      <w:pPr>
        <w:spacing w:line="560" w:lineRule="exact"/>
        <w:ind w:firstLine="632" w:firstLineChars="200"/>
        <w:rPr>
          <w:rFonts w:ascii="仿宋" w:hAnsi="仿宋"/>
          <w:szCs w:val="32"/>
        </w:rPr>
      </w:pPr>
      <w:r>
        <w:rPr>
          <w:rFonts w:hint="eastAsia" w:ascii="仿宋" w:hAnsi="仿宋"/>
          <w:szCs w:val="32"/>
        </w:rPr>
        <w:t>（四）</w:t>
      </w:r>
      <w:r>
        <w:rPr>
          <w:rFonts w:ascii="仿宋" w:hAnsi="仿宋"/>
          <w:szCs w:val="32"/>
        </w:rPr>
        <w:t>债券存续期内，发行人</w:t>
      </w:r>
      <w:r>
        <w:rPr>
          <w:rFonts w:hint="eastAsia" w:ascii="仿宋" w:hAnsi="仿宋"/>
          <w:szCs w:val="32"/>
        </w:rPr>
        <w:t>应当在</w:t>
      </w:r>
      <w:r>
        <w:rPr>
          <w:rFonts w:ascii="仿宋" w:hAnsi="仿宋"/>
          <w:szCs w:val="32"/>
        </w:rPr>
        <w:t>定期报告中披露募集资金使用情况</w:t>
      </w:r>
      <w:r>
        <w:rPr>
          <w:rFonts w:hint="eastAsia" w:ascii="仿宋" w:hAnsi="仿宋"/>
          <w:szCs w:val="32"/>
        </w:rPr>
        <w:t>、项目进展以及经济效益情况</w:t>
      </w:r>
      <w:r>
        <w:rPr>
          <w:rFonts w:ascii="仿宋" w:hAnsi="仿宋"/>
          <w:szCs w:val="32"/>
        </w:rPr>
        <w:t>等。</w:t>
      </w:r>
      <w:r>
        <w:rPr>
          <w:rFonts w:hint="eastAsia" w:ascii="仿宋" w:hAnsi="仿宋"/>
          <w:szCs w:val="32"/>
        </w:rPr>
        <w:t>受托管理人应当在年度受托管理事务报告中披露对上述内容的核查情况。</w:t>
      </w:r>
    </w:p>
    <w:p>
      <w:pPr>
        <w:spacing w:line="560" w:lineRule="exact"/>
        <w:ind w:firstLine="632" w:firstLineChars="200"/>
        <w:rPr>
          <w:rFonts w:ascii="仿宋" w:hAnsi="仿宋"/>
          <w:szCs w:val="32"/>
        </w:rPr>
      </w:pPr>
      <w:r>
        <w:rPr>
          <w:rFonts w:hint="eastAsia" w:ascii="仿宋" w:hAnsi="仿宋"/>
          <w:szCs w:val="32"/>
        </w:rPr>
        <w:t>前款所称“一带一路”建设领域，是指符合共建“丝绸之路经济带”和“21世纪海上丝绸之路”重大倡议的项目或者业务，包括推进基础设施互联互通，促进经贸投资合作优化升级，推动健康、绿色、数字等领域合作等。</w:t>
      </w:r>
    </w:p>
    <w:p>
      <w:pPr>
        <w:spacing w:line="560" w:lineRule="exact"/>
        <w:ind w:firstLine="643"/>
        <w:rPr>
          <w:rFonts w:ascii="仿宋" w:hAnsi="仿宋"/>
          <w:szCs w:val="32"/>
        </w:rPr>
      </w:pPr>
      <w:r>
        <w:rPr>
          <w:rFonts w:hint="eastAsia" w:ascii="仿宋" w:hAnsi="仿宋" w:cs="方正仿宋简体"/>
          <w:b/>
          <w:szCs w:val="32"/>
        </w:rPr>
        <w:t xml:space="preserve">第一百零六条 </w:t>
      </w:r>
      <w:r>
        <w:rPr>
          <w:rFonts w:hint="eastAsia" w:ascii="仿宋" w:hAnsi="仿宋"/>
          <w:szCs w:val="32"/>
        </w:rPr>
        <w:t>发行人可以使用募集资金置换债券发行前3个月内用于“一带一路”建设的自有资金支出。本所鼓励将置换后的资金继续用于“一带一路”建设，形成投资良性循环。</w:t>
      </w:r>
    </w:p>
    <w:p>
      <w:pPr>
        <w:spacing w:line="560" w:lineRule="exact"/>
        <w:ind w:firstLine="640"/>
        <w:rPr>
          <w:rFonts w:ascii="仿宋" w:hAnsi="仿宋"/>
          <w:szCs w:val="32"/>
        </w:rPr>
      </w:pPr>
      <w:r>
        <w:rPr>
          <w:rFonts w:hint="eastAsia" w:ascii="仿宋" w:hAnsi="仿宋"/>
          <w:b/>
          <w:szCs w:val="32"/>
        </w:rPr>
        <w:t xml:space="preserve">第一百零七条 </w:t>
      </w:r>
      <w:r>
        <w:rPr>
          <w:rFonts w:hint="eastAsia" w:ascii="仿宋" w:hAnsi="仿宋"/>
          <w:szCs w:val="32"/>
        </w:rPr>
        <w:t>在本所发行的“一带一路”债券募集资金涉及跨境资本流动的，发行人应当在募集说明书中披露募集资金使用计划，包括发债规模、汇出境外或者境内使用计划、购汇金额以及频率等，并遵守相关监管部门的规定。</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第十章 纾困公司债券</w:t>
      </w:r>
    </w:p>
    <w:p>
      <w:pPr>
        <w:adjustRightInd w:val="0"/>
        <w:snapToGrid w:val="0"/>
        <w:spacing w:line="560" w:lineRule="exact"/>
        <w:ind w:firstLine="640"/>
        <w:rPr>
          <w:rFonts w:ascii="仿宋" w:hAnsi="仿宋" w:cs="方正仿宋简体"/>
          <w:szCs w:val="32"/>
        </w:rPr>
      </w:pPr>
      <w:r>
        <w:rPr>
          <w:rFonts w:hint="eastAsia" w:ascii="仿宋" w:hAnsi="仿宋" w:cs="方正仿宋简体"/>
          <w:b/>
          <w:szCs w:val="32"/>
        </w:rPr>
        <w:t xml:space="preserve">第一百零八条 </w:t>
      </w:r>
      <w:r>
        <w:rPr>
          <w:rFonts w:hint="eastAsia" w:ascii="仿宋" w:hAnsi="仿宋" w:cs="方正仿宋简体"/>
          <w:szCs w:val="32"/>
        </w:rPr>
        <w:t>本指引所称纾困公司债券，</w:t>
      </w:r>
      <w:r>
        <w:rPr>
          <w:rFonts w:hint="eastAsia" w:ascii="仿宋" w:hAnsi="仿宋"/>
          <w:szCs w:val="32"/>
        </w:rPr>
        <w:t>是指</w:t>
      </w:r>
      <w:r>
        <w:rPr>
          <w:rFonts w:hint="eastAsia" w:ascii="仿宋" w:hAnsi="仿宋" w:cs="方正仿宋简体"/>
          <w:szCs w:val="32"/>
        </w:rPr>
        <w:t>募集资金直接或者间接用于纾解其他企业流动性困难的公司债券。</w:t>
      </w:r>
      <w:r>
        <w:rPr>
          <w:rFonts w:ascii="仿宋" w:hAnsi="仿宋" w:cs="方正仿宋简体"/>
          <w:szCs w:val="32"/>
        </w:rPr>
        <w:t xml:space="preserve"> </w:t>
      </w:r>
    </w:p>
    <w:p>
      <w:pPr>
        <w:adjustRightInd w:val="0"/>
        <w:snapToGrid w:val="0"/>
        <w:spacing w:line="560" w:lineRule="exact"/>
        <w:ind w:firstLine="632" w:firstLineChars="200"/>
        <w:rPr>
          <w:rFonts w:ascii="仿宋" w:hAnsi="仿宋" w:cs="方正仿宋简体"/>
          <w:szCs w:val="32"/>
        </w:rPr>
      </w:pPr>
      <w:r>
        <w:rPr>
          <w:rFonts w:hint="eastAsia" w:ascii="仿宋" w:hAnsi="仿宋" w:cs="方正仿宋简体"/>
          <w:b/>
          <w:szCs w:val="32"/>
        </w:rPr>
        <w:t xml:space="preserve">第一百零九条 </w:t>
      </w:r>
      <w:r>
        <w:rPr>
          <w:rFonts w:hint="eastAsia" w:ascii="仿宋" w:hAnsi="仿宋" w:cs="方正仿宋简体"/>
          <w:szCs w:val="32"/>
        </w:rPr>
        <w:t>发行人发行纾困公司债券应当具备良好的盈利能力以及偿债能力，并符合下列条件之一：</w:t>
      </w:r>
    </w:p>
    <w:p>
      <w:pPr>
        <w:autoSpaceDE w:val="0"/>
        <w:autoSpaceDN w:val="0"/>
        <w:adjustRightInd w:val="0"/>
        <w:snapToGrid w:val="0"/>
        <w:spacing w:line="560" w:lineRule="exact"/>
        <w:ind w:firstLine="632" w:firstLineChars="200"/>
        <w:rPr>
          <w:rFonts w:ascii="仿宋" w:hAnsi="仿宋" w:cs="仿宋_GB2312"/>
          <w:color w:val="000000"/>
          <w:kern w:val="0"/>
          <w:szCs w:val="32"/>
        </w:rPr>
      </w:pPr>
      <w:r>
        <w:rPr>
          <w:rFonts w:hint="eastAsia" w:ascii="仿宋" w:hAnsi="仿宋" w:cs="仿宋_GB2312"/>
          <w:color w:val="000000"/>
          <w:kern w:val="0"/>
          <w:szCs w:val="32"/>
        </w:rPr>
        <w:t>（一）发行人应当是所属地方政府设立纾困计划的参与方，且以适当方式获得所属政府相关部门或者机构的认可，认可方式包括所属政府部门或者机构对本次纾困公司债券发行出具的批复文件、相关会议纪要或者其他认可方式；</w:t>
      </w:r>
    </w:p>
    <w:p>
      <w:pPr>
        <w:autoSpaceDE w:val="0"/>
        <w:autoSpaceDN w:val="0"/>
        <w:adjustRightInd w:val="0"/>
        <w:snapToGrid w:val="0"/>
        <w:spacing w:line="560" w:lineRule="exact"/>
        <w:ind w:firstLine="632" w:firstLineChars="200"/>
        <w:rPr>
          <w:rFonts w:ascii="仿宋" w:hAnsi="仿宋" w:cs="仿宋_GB2312"/>
          <w:color w:val="000000"/>
          <w:kern w:val="0"/>
          <w:szCs w:val="32"/>
        </w:rPr>
      </w:pPr>
      <w:r>
        <w:rPr>
          <w:rFonts w:hint="eastAsia" w:ascii="仿宋" w:hAnsi="仿宋" w:cs="仿宋_GB2312"/>
          <w:color w:val="000000"/>
          <w:kern w:val="0"/>
          <w:szCs w:val="32"/>
        </w:rPr>
        <w:t>（二）本所认可的其他发行人。</w:t>
      </w:r>
    </w:p>
    <w:p>
      <w:pPr>
        <w:adjustRightInd w:val="0"/>
        <w:snapToGrid w:val="0"/>
        <w:spacing w:line="560" w:lineRule="exact"/>
        <w:ind w:firstLine="640"/>
        <w:rPr>
          <w:rFonts w:ascii="仿宋" w:hAnsi="仿宋" w:cs="仿宋_GB2312"/>
          <w:szCs w:val="32"/>
        </w:rPr>
      </w:pPr>
      <w:r>
        <w:rPr>
          <w:rFonts w:hint="eastAsia" w:ascii="仿宋" w:hAnsi="仿宋" w:cs="仿宋_GB2312"/>
          <w:b/>
          <w:szCs w:val="32"/>
        </w:rPr>
        <w:t xml:space="preserve">第一百一十条 </w:t>
      </w:r>
      <w:r>
        <w:rPr>
          <w:rFonts w:hint="eastAsia" w:ascii="仿宋" w:hAnsi="仿宋" w:cs="方正仿宋简体"/>
          <w:szCs w:val="32"/>
        </w:rPr>
        <w:t>纾困公司债券募集资金</w:t>
      </w:r>
      <w:r>
        <w:rPr>
          <w:rFonts w:hint="eastAsia" w:ascii="仿宋" w:hAnsi="仿宋" w:cs="仿宋_GB2312"/>
          <w:szCs w:val="32"/>
        </w:rPr>
        <w:t>可以通过投资纾困基金、购买企业资产或者发放委托贷款等形式用于纾困用途。用于纾困用途的募集资金金额应当不低于募集资金总额的70%。</w:t>
      </w:r>
    </w:p>
    <w:p>
      <w:pPr>
        <w:autoSpaceDE w:val="0"/>
        <w:autoSpaceDN w:val="0"/>
        <w:adjustRightInd w:val="0"/>
        <w:snapToGrid w:val="0"/>
        <w:spacing w:line="560" w:lineRule="exact"/>
        <w:ind w:firstLine="632" w:firstLineChars="200"/>
        <w:jc w:val="left"/>
        <w:rPr>
          <w:rFonts w:ascii="仿宋" w:hAnsi="仿宋" w:cs="仿宋_GB2312"/>
          <w:color w:val="000000"/>
          <w:kern w:val="0"/>
          <w:szCs w:val="32"/>
        </w:rPr>
      </w:pPr>
      <w:r>
        <w:rPr>
          <w:rFonts w:hint="eastAsia" w:ascii="仿宋" w:hAnsi="仿宋" w:cs="仿宋_GB2312"/>
          <w:color w:val="000000"/>
          <w:kern w:val="0"/>
          <w:szCs w:val="32"/>
        </w:rPr>
        <w:t>募集资金用于投资纾困基金的，相关纾困基金原则上应当由政府或者其指定的国有资本运营主体出资和运营管理，不得违反《关于规范金融机构资产管理业务的指导意见》</w:t>
      </w:r>
      <w:r>
        <w:rPr>
          <w:rFonts w:ascii="仿宋" w:hAnsi="仿宋" w:cs="仿宋_GB2312"/>
          <w:color w:val="000000"/>
          <w:kern w:val="0"/>
          <w:szCs w:val="32"/>
        </w:rPr>
        <w:t>的相关规定。</w:t>
      </w:r>
    </w:p>
    <w:p>
      <w:pPr>
        <w:adjustRightInd w:val="0"/>
        <w:snapToGrid w:val="0"/>
        <w:spacing w:line="560" w:lineRule="exact"/>
        <w:ind w:firstLine="640"/>
        <w:rPr>
          <w:rFonts w:ascii="仿宋" w:hAnsi="仿宋" w:cs="仿宋_GB2312"/>
          <w:color w:val="000000"/>
          <w:kern w:val="0"/>
          <w:szCs w:val="32"/>
        </w:rPr>
      </w:pPr>
      <w:r>
        <w:rPr>
          <w:rFonts w:hint="eastAsia" w:ascii="仿宋" w:hAnsi="仿宋" w:cs="仿宋_GB2312"/>
          <w:b/>
          <w:color w:val="000000"/>
          <w:kern w:val="0"/>
          <w:szCs w:val="32"/>
        </w:rPr>
        <w:t xml:space="preserve">第一百一十一条 </w:t>
      </w:r>
      <w:r>
        <w:rPr>
          <w:rFonts w:hint="eastAsia" w:ascii="仿宋" w:hAnsi="仿宋" w:cs="仿宋_GB2312"/>
          <w:color w:val="000000"/>
          <w:kern w:val="0"/>
          <w:szCs w:val="32"/>
        </w:rPr>
        <w:t>发行人应当在募集说明书中披露符合发行纾困公司债券主体要求的相关依据以及认定文件（如有），并披露募集资金拟纾困企业的具体情况等，包括企业性质、纾困方式以及募集资金具体使用计划等。</w:t>
      </w:r>
    </w:p>
    <w:p>
      <w:pPr>
        <w:adjustRightInd w:val="0"/>
        <w:snapToGrid w:val="0"/>
        <w:spacing w:line="560" w:lineRule="exact"/>
        <w:ind w:firstLine="640"/>
        <w:rPr>
          <w:rFonts w:ascii="仿宋" w:hAnsi="仿宋" w:cs="仿宋_GB2312"/>
          <w:color w:val="000000"/>
          <w:kern w:val="0"/>
          <w:szCs w:val="32"/>
        </w:rPr>
      </w:pPr>
      <w:r>
        <w:rPr>
          <w:rFonts w:hint="eastAsia" w:ascii="仿宋" w:hAnsi="仿宋" w:cs="仿宋_GB2312"/>
          <w:b/>
          <w:color w:val="000000"/>
          <w:kern w:val="0"/>
          <w:szCs w:val="32"/>
        </w:rPr>
        <w:t xml:space="preserve">第一百一十二条 </w:t>
      </w:r>
      <w:r>
        <w:rPr>
          <w:rFonts w:hint="eastAsia" w:ascii="仿宋" w:hAnsi="仿宋" w:cs="仿宋_GB2312"/>
          <w:color w:val="000000"/>
          <w:kern w:val="0"/>
          <w:szCs w:val="32"/>
        </w:rPr>
        <w:t>债券存续期内，发行人应当在定期报告中披露募集资金使用情况、参与纾困计划进展情况（如有）以及纾困效果等。</w:t>
      </w:r>
    </w:p>
    <w:p>
      <w:pPr>
        <w:adjustRightInd w:val="0"/>
        <w:snapToGrid w:val="0"/>
        <w:spacing w:line="560" w:lineRule="exact"/>
        <w:ind w:firstLine="640"/>
        <w:rPr>
          <w:rFonts w:ascii="仿宋" w:hAnsi="仿宋" w:cs="仿宋_GB2312"/>
          <w:color w:val="000000"/>
          <w:kern w:val="0"/>
          <w:szCs w:val="32"/>
        </w:rPr>
      </w:pPr>
      <w:r>
        <w:rPr>
          <w:rFonts w:hint="eastAsia" w:ascii="仿宋" w:hAnsi="仿宋" w:cs="仿宋_GB2312"/>
          <w:color w:val="000000"/>
          <w:kern w:val="0"/>
          <w:szCs w:val="32"/>
        </w:rPr>
        <w:t>受托管理人应当在年度受托管理事务报告中披露对上述内容的核查情况。</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第十一章 中小微企业支持债券</w:t>
      </w:r>
    </w:p>
    <w:p>
      <w:pPr>
        <w:adjustRightInd w:val="0"/>
        <w:snapToGrid w:val="0"/>
        <w:spacing w:line="560" w:lineRule="exact"/>
        <w:ind w:firstLine="640"/>
        <w:rPr>
          <w:rFonts w:ascii="仿宋" w:hAnsi="仿宋" w:cs="方正仿宋简体"/>
          <w:szCs w:val="32"/>
        </w:rPr>
      </w:pPr>
      <w:r>
        <w:rPr>
          <w:rFonts w:hint="eastAsia" w:ascii="仿宋" w:hAnsi="仿宋" w:cs="方正仿宋简体"/>
          <w:b/>
          <w:szCs w:val="32"/>
        </w:rPr>
        <w:t xml:space="preserve">第一百一十三条 </w:t>
      </w:r>
      <w:r>
        <w:rPr>
          <w:rFonts w:hint="eastAsia" w:ascii="仿宋" w:hAnsi="仿宋" w:cs="宋体"/>
          <w:kern w:val="0"/>
          <w:szCs w:val="32"/>
        </w:rPr>
        <w:t>本指引所称中小微企业支持债券，是指募集资</w:t>
      </w:r>
      <w:r>
        <w:rPr>
          <w:rFonts w:hint="eastAsia" w:ascii="仿宋" w:hAnsi="仿宋" w:cs="方正仿宋简体"/>
          <w:szCs w:val="32"/>
        </w:rPr>
        <w:t>金主要用于支持中小微企业发展的公司债券。</w:t>
      </w:r>
    </w:p>
    <w:p>
      <w:pPr>
        <w:adjustRightInd w:val="0"/>
        <w:snapToGrid w:val="0"/>
        <w:spacing w:line="560" w:lineRule="exact"/>
        <w:ind w:firstLine="632" w:firstLineChars="200"/>
        <w:rPr>
          <w:rFonts w:ascii="仿宋" w:hAnsi="仿宋" w:cs="宋体"/>
          <w:kern w:val="0"/>
          <w:szCs w:val="32"/>
        </w:rPr>
      </w:pPr>
      <w:r>
        <w:rPr>
          <w:rFonts w:hint="eastAsia" w:ascii="仿宋" w:hAnsi="仿宋" w:cs="宋体"/>
          <w:kern w:val="0"/>
          <w:szCs w:val="32"/>
        </w:rPr>
        <w:t>前款所称中小微企业是指符合《中小企业划型标准规定》的中型、小型、微型企业。</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第一百一十四条 </w:t>
      </w:r>
      <w:r>
        <w:rPr>
          <w:rFonts w:hint="eastAsia" w:ascii="仿宋" w:hAnsi="仿宋" w:cs="宋体"/>
          <w:kern w:val="0"/>
          <w:szCs w:val="32"/>
        </w:rPr>
        <w:t>发行人可以通过下列方式将中小微企业支持债券募集资金用于支持中小微企业发展：</w:t>
      </w:r>
    </w:p>
    <w:p>
      <w:pPr>
        <w:pStyle w:val="29"/>
        <w:adjustRightInd w:val="0"/>
        <w:snapToGrid w:val="0"/>
        <w:spacing w:line="560" w:lineRule="exact"/>
        <w:ind w:firstLine="632"/>
        <w:rPr>
          <w:rFonts w:ascii="仿宋" w:hAnsi="仿宋" w:eastAsia="仿宋" w:cs="宋体"/>
          <w:kern w:val="0"/>
          <w:sz w:val="32"/>
          <w:szCs w:val="32"/>
        </w:rPr>
      </w:pPr>
      <w:r>
        <w:rPr>
          <w:rFonts w:hint="eastAsia" w:ascii="仿宋" w:hAnsi="仿宋" w:eastAsia="仿宋" w:cs="宋体"/>
          <w:kern w:val="0"/>
          <w:sz w:val="32"/>
          <w:szCs w:val="32"/>
        </w:rPr>
        <w:t>（一）通过支付预付款或者清偿应付款项等形式支持产业链上下游或者与自身经营业务相关的中小微企业发展；</w:t>
      </w:r>
    </w:p>
    <w:p>
      <w:pPr>
        <w:pStyle w:val="29"/>
        <w:adjustRightInd w:val="0"/>
        <w:snapToGrid w:val="0"/>
        <w:spacing w:line="560" w:lineRule="exact"/>
        <w:ind w:firstLine="632"/>
        <w:rPr>
          <w:rFonts w:ascii="仿宋" w:hAnsi="仿宋" w:eastAsia="仿宋" w:cs="宋体"/>
          <w:kern w:val="0"/>
          <w:sz w:val="32"/>
          <w:szCs w:val="32"/>
        </w:rPr>
      </w:pPr>
      <w:r>
        <w:rPr>
          <w:rFonts w:hint="eastAsia" w:ascii="仿宋" w:hAnsi="仿宋" w:eastAsia="仿宋" w:cs="宋体"/>
          <w:kern w:val="0"/>
          <w:sz w:val="32"/>
          <w:szCs w:val="32"/>
        </w:rPr>
        <w:t>（二）通过发放委托贷款等形式支持与自身无隶属、代管或者股权关系的中小微企业发展；</w:t>
      </w:r>
    </w:p>
    <w:p>
      <w:pPr>
        <w:pStyle w:val="29"/>
        <w:adjustRightInd w:val="0"/>
        <w:snapToGrid w:val="0"/>
        <w:spacing w:line="560" w:lineRule="exact"/>
        <w:ind w:firstLine="632"/>
        <w:rPr>
          <w:rFonts w:ascii="仿宋" w:hAnsi="仿宋" w:eastAsia="仿宋" w:cs="宋体"/>
          <w:kern w:val="0"/>
          <w:sz w:val="32"/>
          <w:szCs w:val="32"/>
        </w:rPr>
      </w:pPr>
      <w:r>
        <w:rPr>
          <w:rFonts w:hint="eastAsia" w:ascii="仿宋" w:hAnsi="仿宋" w:eastAsia="仿宋" w:cs="宋体"/>
          <w:kern w:val="0"/>
          <w:sz w:val="32"/>
          <w:szCs w:val="32"/>
        </w:rPr>
        <w:t>（三）本所认可的其他方式。</w:t>
      </w:r>
    </w:p>
    <w:p>
      <w:pPr>
        <w:pStyle w:val="29"/>
        <w:adjustRightInd w:val="0"/>
        <w:snapToGrid w:val="0"/>
        <w:spacing w:line="560" w:lineRule="exact"/>
        <w:ind w:firstLine="632"/>
        <w:rPr>
          <w:rFonts w:ascii="仿宋" w:hAnsi="仿宋" w:eastAsia="仿宋" w:cs="宋体"/>
          <w:kern w:val="0"/>
          <w:sz w:val="32"/>
          <w:szCs w:val="32"/>
        </w:rPr>
      </w:pPr>
      <w:r>
        <w:rPr>
          <w:rFonts w:hint="eastAsia" w:ascii="仿宋" w:hAnsi="仿宋" w:eastAsia="仿宋" w:cs="宋体"/>
          <w:kern w:val="0"/>
          <w:sz w:val="32"/>
          <w:szCs w:val="32"/>
        </w:rPr>
        <w:t xml:space="preserve">用于支持中小微企业的金额应当不低于募集资金总额的70%。 </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第一百一十五条 </w:t>
      </w:r>
      <w:r>
        <w:rPr>
          <w:rFonts w:hint="eastAsia" w:ascii="仿宋" w:hAnsi="仿宋" w:cs="宋体"/>
          <w:kern w:val="0"/>
          <w:szCs w:val="32"/>
        </w:rPr>
        <w:t>发行人通过委托贷款形式支持中小微企业的，委托贷款银行应当同时满足下列要求：</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（一）属于信贷经验丰富、风险防控措施有效的上市银行或政策性银行；</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（二）建立中小企业支持债券委贷资金及银行自营贷款资金间“防火墙”，确保实现资金和业务“双隔离”；</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（三）按自营信贷业务标准，审慎提出委贷对象名单建议。</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第一百一十六条 </w:t>
      </w:r>
      <w:r>
        <w:rPr>
          <w:rFonts w:hint="eastAsia" w:ascii="仿宋" w:hAnsi="仿宋" w:cs="宋体"/>
          <w:kern w:val="0"/>
          <w:szCs w:val="32"/>
        </w:rPr>
        <w:t>发行人通过委托贷款支持中小微企业的，委贷对象应当同时满足以下要求：</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（一）所在行业为国家产业政策支持的业务领域；</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（二）在委贷银行中无不良信用记录，且不存在债务违约或者严重失信等负面情形；</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（三）符合现阶段银行对信用贷款对象的其他要求。</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发行人对单个委托贷款对象发放的委贷资金累计余额不得超过5000万元，且不得超过债券募集资金规模的10%。同一控制下的企业，合计获得的委贷资金不得超过上述规定金额和比例。</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第一百一十七条 </w:t>
      </w:r>
      <w:r>
        <w:rPr>
          <w:rFonts w:hint="eastAsia" w:ascii="仿宋" w:hAnsi="仿宋" w:cs="宋体"/>
          <w:kern w:val="0"/>
          <w:szCs w:val="32"/>
        </w:rPr>
        <w:t>发行人应当在募集说明书中以列表形式披露拟支持的中小微企业情况，包括企业名称、企业性质、所属行业、符合《中小企业划型标准规定》的具体依据、资信状况以及支持方式等，并采取有效的风险防控措施。</w:t>
      </w:r>
    </w:p>
    <w:p>
      <w:pPr>
        <w:adjustRightInd w:val="0"/>
        <w:snapToGrid w:val="0"/>
        <w:spacing w:line="560" w:lineRule="exact"/>
        <w:ind w:firstLine="640"/>
        <w:rPr>
          <w:rFonts w:ascii="仿宋" w:hAnsi="仿宋" w:cs="宋体"/>
          <w:kern w:val="0"/>
          <w:szCs w:val="32"/>
        </w:rPr>
      </w:pPr>
      <w:r>
        <w:rPr>
          <w:rFonts w:hint="eastAsia" w:ascii="仿宋" w:hAnsi="仿宋" w:cs="宋体"/>
          <w:kern w:val="0"/>
          <w:szCs w:val="32"/>
        </w:rPr>
        <w:t>发行人于申报阶段暂未明确拟支持企业的，应当明确募投企业的遴选标准，包括所在地区、行业要求及资信状况要求等，合理匡算募集资金。</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第一百一十八条 </w:t>
      </w:r>
      <w:r>
        <w:rPr>
          <w:rFonts w:hint="eastAsia" w:ascii="仿宋" w:hAnsi="仿宋" w:cs="宋体"/>
          <w:kern w:val="0"/>
          <w:szCs w:val="32"/>
        </w:rPr>
        <w:t>债券存续期内，发行人和受托管理人应当在定期报告中披露募集资金使用情况、中小微企业支持效果等。受托管理人应当在年度受托管理事务报告中披露对上述内容的核查情况。</w:t>
      </w:r>
    </w:p>
    <w:p>
      <w:pPr>
        <w:adjustRightInd w:val="0"/>
        <w:snapToGrid w:val="0"/>
        <w:spacing w:line="560" w:lineRule="exact"/>
        <w:jc w:val="center"/>
        <w:outlineLvl w:val="0"/>
        <w:rPr>
          <w:rFonts w:ascii="黑体" w:hAnsi="黑体" w:eastAsia="黑体"/>
          <w:bCs/>
          <w:color w:val="000000"/>
          <w:kern w:val="0"/>
          <w:szCs w:val="30"/>
        </w:rPr>
      </w:pPr>
    </w:p>
    <w:p>
      <w:pPr>
        <w:adjustRightInd w:val="0"/>
        <w:snapToGrid w:val="0"/>
        <w:spacing w:line="560" w:lineRule="exact"/>
        <w:jc w:val="center"/>
        <w:outlineLvl w:val="0"/>
        <w:rPr>
          <w:rFonts w:ascii="黑体" w:hAnsi="黑体" w:eastAsia="黑体"/>
          <w:bCs/>
          <w:color w:val="000000"/>
          <w:kern w:val="0"/>
          <w:szCs w:val="30"/>
        </w:rPr>
      </w:pPr>
      <w:r>
        <w:rPr>
          <w:rFonts w:hint="eastAsia" w:ascii="黑体" w:hAnsi="黑体" w:eastAsia="黑体"/>
          <w:bCs/>
          <w:color w:val="000000"/>
          <w:kern w:val="0"/>
          <w:szCs w:val="30"/>
        </w:rPr>
        <w:t>第十二章 附则</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第一百一十九条 </w:t>
      </w:r>
      <w:r>
        <w:rPr>
          <w:rFonts w:hint="eastAsia" w:ascii="仿宋" w:hAnsi="仿宋" w:cs="宋体"/>
          <w:kern w:val="0"/>
          <w:szCs w:val="32"/>
        </w:rPr>
        <w:t>符合本指引规定的专项品种公司债券可以使用对应类别的特定标识。未按本指引规定使用的，本所可以采取口头提醒、发出书面函件等工作措施要求更正。</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第一百二十条 </w:t>
      </w:r>
      <w:r>
        <w:rPr>
          <w:rFonts w:hint="eastAsia" w:ascii="仿宋" w:hAnsi="仿宋" w:cs="宋体"/>
          <w:kern w:val="0"/>
          <w:szCs w:val="32"/>
        </w:rPr>
        <w:t>本指引由本所负责解释。</w:t>
      </w:r>
    </w:p>
    <w:p>
      <w:pPr>
        <w:adjustRightInd w:val="0"/>
        <w:snapToGrid w:val="0"/>
        <w:spacing w:line="560" w:lineRule="exact"/>
        <w:ind w:firstLine="640"/>
        <w:rPr>
          <w:rFonts w:ascii="仿宋" w:hAnsi="仿宋" w:cs="宋体"/>
          <w:kern w:val="0"/>
          <w:szCs w:val="32"/>
        </w:rPr>
      </w:pPr>
      <w:r>
        <w:rPr>
          <w:rFonts w:hint="eastAsia" w:ascii="仿宋" w:hAnsi="仿宋" w:cs="宋体"/>
          <w:b/>
          <w:kern w:val="0"/>
          <w:szCs w:val="32"/>
        </w:rPr>
        <w:t xml:space="preserve">第一百二十一条 </w:t>
      </w:r>
      <w:r>
        <w:rPr>
          <w:rFonts w:hint="eastAsia" w:ascii="仿宋" w:hAnsi="仿宋" w:cs="宋体"/>
          <w:kern w:val="0"/>
          <w:szCs w:val="32"/>
        </w:rPr>
        <w:t>本指引自发布之日起施行。本所于2014年8月11日发布的《深圳证券交易所可交换公司债券业务实施细则》（深证上〔2014〕282号），于2020年11月27日发布的《深圳证券交易所公司债券创新品种业务指引第2号——可续期公司债券》（深证上〔2020〕1173号）、《深圳证券交易所公司债券创新品种业务指引第4号——纾困专项公司债券》（深证上〔2020〕1173号）和《深圳证券交易所公司债券创新品种业务指引第5号——短期公司债券》（深证上〔2020〕1173号），于2021年7月13日发布的《深圳证券交易所公司债券创新品种业务指引第3号——乡村振兴专项公司债券》（深证上〔2021〕684号），于2022年5月20日发布的《深圳证券交易所公司债券创新品种业务指引第6号——科技创新公司债券》（深证上〔2022〕489号），于2022年9月16日发布的《深圳证券交易所公司债券创新品种业务指引第1号——绿色公司债券（2022年修订）》（深证上〔2022〕928号）同时废止。</w:t>
      </w:r>
    </w:p>
    <w:p>
      <w:pPr>
        <w:adjustRightInd w:val="0"/>
        <w:snapToGrid w:val="0"/>
        <w:spacing w:line="560" w:lineRule="exact"/>
      </w:pPr>
    </w:p>
    <w:p>
      <w:pPr>
        <w:tabs>
          <w:tab w:val="left" w:pos="7797"/>
        </w:tabs>
        <w:adjustRightInd w:val="0"/>
        <w:snapToGrid w:val="0"/>
        <w:spacing w:line="560" w:lineRule="exact"/>
        <w:ind w:right="1422" w:rightChars="450"/>
        <w:jc w:val="right"/>
        <w:rPr>
          <w:rFonts w:ascii="仿宋" w:hAnsi="仿宋"/>
          <w:color w:val="000000"/>
          <w:szCs w:val="32"/>
        </w:rPr>
      </w:pPr>
    </w:p>
    <w:sectPr>
      <w:footerReference r:id="rId3" w:type="default"/>
      <w:footerReference r:id="rId4" w:type="even"/>
      <w:pgSz w:w="11906" w:h="16838"/>
      <w:pgMar w:top="2098" w:right="1474" w:bottom="1985" w:left="1588" w:header="0"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254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aAEAMCAAAE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V8me1oecq+4918XuNXapNEkN/g7VlyAc3tbgdvqGCNtaQ8n0Zulm9ujqgBMSyLZ9hyX3gX3EHqir&#10;yCZAdkMwOj/N8fI0uotCpZaL+WIx5SPFZ+Mm9YB8vO4pxDcarUhBIYnfvoeHw12IQ+lYkro53Jim&#10;4TzkjfsrwZgp09NPjAfusdt2XJ00bbE8shDCYZz4M3FQI32VouVRKqTjnyNF89axFWnqxoDGYDsG&#10;4BRfLGSUYghv4zCde09mVzPuaPYN27UxvZAHDmeWPBy9FedBTtP3eN9XPXze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mPaAEAMCAAAEBAAADgAAAAAAAAABACAAAAAeAQAAZHJzL2Uyb0Rv&#10;Yy54bWxQSwUGAAAAAAYABgBZAQAAkwU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5D"/>
    <w:rsid w:val="00003078"/>
    <w:rsid w:val="000138F8"/>
    <w:rsid w:val="000159F9"/>
    <w:rsid w:val="00021FDA"/>
    <w:rsid w:val="00023D8B"/>
    <w:rsid w:val="000423C0"/>
    <w:rsid w:val="0004375C"/>
    <w:rsid w:val="00045684"/>
    <w:rsid w:val="00047184"/>
    <w:rsid w:val="000511FE"/>
    <w:rsid w:val="00062461"/>
    <w:rsid w:val="000656EF"/>
    <w:rsid w:val="00066278"/>
    <w:rsid w:val="00066DD2"/>
    <w:rsid w:val="00070DEB"/>
    <w:rsid w:val="00071516"/>
    <w:rsid w:val="00073D9B"/>
    <w:rsid w:val="00074DFC"/>
    <w:rsid w:val="000850DE"/>
    <w:rsid w:val="000916C1"/>
    <w:rsid w:val="000A3741"/>
    <w:rsid w:val="000A60C5"/>
    <w:rsid w:val="000B3E5B"/>
    <w:rsid w:val="000C2D99"/>
    <w:rsid w:val="000C7B3C"/>
    <w:rsid w:val="000D5A54"/>
    <w:rsid w:val="000E0D8D"/>
    <w:rsid w:val="000E2E8C"/>
    <w:rsid w:val="000E38F7"/>
    <w:rsid w:val="000E49D8"/>
    <w:rsid w:val="000F20F7"/>
    <w:rsid w:val="001005C6"/>
    <w:rsid w:val="00105CA3"/>
    <w:rsid w:val="00112911"/>
    <w:rsid w:val="00120B6E"/>
    <w:rsid w:val="0012488A"/>
    <w:rsid w:val="00126C6B"/>
    <w:rsid w:val="00131493"/>
    <w:rsid w:val="00131C88"/>
    <w:rsid w:val="0013360F"/>
    <w:rsid w:val="001368E8"/>
    <w:rsid w:val="001468C0"/>
    <w:rsid w:val="00156B5B"/>
    <w:rsid w:val="00165F3A"/>
    <w:rsid w:val="00172EE2"/>
    <w:rsid w:val="00173F2A"/>
    <w:rsid w:val="0017418D"/>
    <w:rsid w:val="0017486B"/>
    <w:rsid w:val="001830FA"/>
    <w:rsid w:val="00184AA5"/>
    <w:rsid w:val="0018785A"/>
    <w:rsid w:val="00195521"/>
    <w:rsid w:val="001A0F5B"/>
    <w:rsid w:val="001B02BC"/>
    <w:rsid w:val="001B5CF9"/>
    <w:rsid w:val="001B7497"/>
    <w:rsid w:val="001B7BAC"/>
    <w:rsid w:val="001C0168"/>
    <w:rsid w:val="001C0D93"/>
    <w:rsid w:val="001C5F3C"/>
    <w:rsid w:val="001C787F"/>
    <w:rsid w:val="001D4BDF"/>
    <w:rsid w:val="001E422B"/>
    <w:rsid w:val="001E4DD6"/>
    <w:rsid w:val="001F2482"/>
    <w:rsid w:val="001F27BD"/>
    <w:rsid w:val="001F4A8A"/>
    <w:rsid w:val="001F5AE4"/>
    <w:rsid w:val="0020009E"/>
    <w:rsid w:val="0020090E"/>
    <w:rsid w:val="00200EF6"/>
    <w:rsid w:val="0020392E"/>
    <w:rsid w:val="0020746F"/>
    <w:rsid w:val="00215FBF"/>
    <w:rsid w:val="00216935"/>
    <w:rsid w:val="00222F53"/>
    <w:rsid w:val="002271CE"/>
    <w:rsid w:val="00232C63"/>
    <w:rsid w:val="00235797"/>
    <w:rsid w:val="00237E01"/>
    <w:rsid w:val="00241E21"/>
    <w:rsid w:val="00243DAB"/>
    <w:rsid w:val="00244EDC"/>
    <w:rsid w:val="0025174C"/>
    <w:rsid w:val="00261780"/>
    <w:rsid w:val="00261BEB"/>
    <w:rsid w:val="00264462"/>
    <w:rsid w:val="00267B07"/>
    <w:rsid w:val="002737F4"/>
    <w:rsid w:val="00277924"/>
    <w:rsid w:val="00282CC5"/>
    <w:rsid w:val="002920C9"/>
    <w:rsid w:val="00293F35"/>
    <w:rsid w:val="002961BD"/>
    <w:rsid w:val="002A2A48"/>
    <w:rsid w:val="002A492F"/>
    <w:rsid w:val="002B0086"/>
    <w:rsid w:val="002B08D3"/>
    <w:rsid w:val="002B3A9B"/>
    <w:rsid w:val="002C6EDD"/>
    <w:rsid w:val="002E10F1"/>
    <w:rsid w:val="002E3B9C"/>
    <w:rsid w:val="002E6546"/>
    <w:rsid w:val="002F0031"/>
    <w:rsid w:val="002F4BBF"/>
    <w:rsid w:val="002F7C10"/>
    <w:rsid w:val="00301221"/>
    <w:rsid w:val="003114D2"/>
    <w:rsid w:val="00312605"/>
    <w:rsid w:val="003147F8"/>
    <w:rsid w:val="003156F5"/>
    <w:rsid w:val="003354D8"/>
    <w:rsid w:val="0033606C"/>
    <w:rsid w:val="00341DA8"/>
    <w:rsid w:val="00343A53"/>
    <w:rsid w:val="00346EBE"/>
    <w:rsid w:val="00352C89"/>
    <w:rsid w:val="00357A1E"/>
    <w:rsid w:val="00360F96"/>
    <w:rsid w:val="003611F5"/>
    <w:rsid w:val="003665DE"/>
    <w:rsid w:val="0037197B"/>
    <w:rsid w:val="00372476"/>
    <w:rsid w:val="003747D6"/>
    <w:rsid w:val="00380355"/>
    <w:rsid w:val="00384DA5"/>
    <w:rsid w:val="00386773"/>
    <w:rsid w:val="003877F4"/>
    <w:rsid w:val="00391B2B"/>
    <w:rsid w:val="00394FA7"/>
    <w:rsid w:val="003972E1"/>
    <w:rsid w:val="003A449C"/>
    <w:rsid w:val="003A6613"/>
    <w:rsid w:val="003A7C01"/>
    <w:rsid w:val="003B0B2A"/>
    <w:rsid w:val="003D0183"/>
    <w:rsid w:val="003E1701"/>
    <w:rsid w:val="003E45E8"/>
    <w:rsid w:val="003F70FD"/>
    <w:rsid w:val="00405D8D"/>
    <w:rsid w:val="00424BE6"/>
    <w:rsid w:val="00432C10"/>
    <w:rsid w:val="004341B7"/>
    <w:rsid w:val="00435AE0"/>
    <w:rsid w:val="00443E56"/>
    <w:rsid w:val="00445F6F"/>
    <w:rsid w:val="00450109"/>
    <w:rsid w:val="0045298E"/>
    <w:rsid w:val="00454311"/>
    <w:rsid w:val="00454FDA"/>
    <w:rsid w:val="004628A1"/>
    <w:rsid w:val="004640A3"/>
    <w:rsid w:val="00467A61"/>
    <w:rsid w:val="00470BD0"/>
    <w:rsid w:val="004900E8"/>
    <w:rsid w:val="0049213C"/>
    <w:rsid w:val="00492DA6"/>
    <w:rsid w:val="004933BD"/>
    <w:rsid w:val="004935E9"/>
    <w:rsid w:val="00497876"/>
    <w:rsid w:val="004A1D76"/>
    <w:rsid w:val="004A456C"/>
    <w:rsid w:val="004B229D"/>
    <w:rsid w:val="004B5100"/>
    <w:rsid w:val="004C1DED"/>
    <w:rsid w:val="004C2C86"/>
    <w:rsid w:val="004D2019"/>
    <w:rsid w:val="004D69A8"/>
    <w:rsid w:val="004F093D"/>
    <w:rsid w:val="004F0D95"/>
    <w:rsid w:val="004F2EB0"/>
    <w:rsid w:val="005015C7"/>
    <w:rsid w:val="00503EA8"/>
    <w:rsid w:val="0051311C"/>
    <w:rsid w:val="00513A85"/>
    <w:rsid w:val="0051468F"/>
    <w:rsid w:val="00515FB3"/>
    <w:rsid w:val="00516FCD"/>
    <w:rsid w:val="005225DE"/>
    <w:rsid w:val="0052595C"/>
    <w:rsid w:val="0053683D"/>
    <w:rsid w:val="0054066B"/>
    <w:rsid w:val="00543426"/>
    <w:rsid w:val="00544FEF"/>
    <w:rsid w:val="00547091"/>
    <w:rsid w:val="00556776"/>
    <w:rsid w:val="00567383"/>
    <w:rsid w:val="005837AC"/>
    <w:rsid w:val="00587616"/>
    <w:rsid w:val="00587828"/>
    <w:rsid w:val="005A3B37"/>
    <w:rsid w:val="005A7EEC"/>
    <w:rsid w:val="005B1735"/>
    <w:rsid w:val="005B57A8"/>
    <w:rsid w:val="005B59D9"/>
    <w:rsid w:val="005C38A0"/>
    <w:rsid w:val="005C40D1"/>
    <w:rsid w:val="005C432E"/>
    <w:rsid w:val="005C54CC"/>
    <w:rsid w:val="005C7F5B"/>
    <w:rsid w:val="005D09BC"/>
    <w:rsid w:val="005D38BF"/>
    <w:rsid w:val="005D6A0B"/>
    <w:rsid w:val="005D6C62"/>
    <w:rsid w:val="005E0ECD"/>
    <w:rsid w:val="005F206C"/>
    <w:rsid w:val="005F2D82"/>
    <w:rsid w:val="005F3224"/>
    <w:rsid w:val="005F5CD6"/>
    <w:rsid w:val="0060086E"/>
    <w:rsid w:val="00610BF2"/>
    <w:rsid w:val="00613A1A"/>
    <w:rsid w:val="00615813"/>
    <w:rsid w:val="00626247"/>
    <w:rsid w:val="006263DC"/>
    <w:rsid w:val="00627C6F"/>
    <w:rsid w:val="006318E1"/>
    <w:rsid w:val="0063499B"/>
    <w:rsid w:val="00655B3A"/>
    <w:rsid w:val="00662EF0"/>
    <w:rsid w:val="00665C82"/>
    <w:rsid w:val="006672C5"/>
    <w:rsid w:val="006705A6"/>
    <w:rsid w:val="0067385C"/>
    <w:rsid w:val="0067422B"/>
    <w:rsid w:val="00676B35"/>
    <w:rsid w:val="00677DF2"/>
    <w:rsid w:val="00680909"/>
    <w:rsid w:val="00687326"/>
    <w:rsid w:val="00694B38"/>
    <w:rsid w:val="00696123"/>
    <w:rsid w:val="006979E1"/>
    <w:rsid w:val="006A2AA1"/>
    <w:rsid w:val="006A4577"/>
    <w:rsid w:val="006A516C"/>
    <w:rsid w:val="006B3890"/>
    <w:rsid w:val="006B57DB"/>
    <w:rsid w:val="006B64F8"/>
    <w:rsid w:val="006B7F5D"/>
    <w:rsid w:val="006C0542"/>
    <w:rsid w:val="006D3CB1"/>
    <w:rsid w:val="006D5F6F"/>
    <w:rsid w:val="006D673F"/>
    <w:rsid w:val="006E3617"/>
    <w:rsid w:val="006E400B"/>
    <w:rsid w:val="006E423E"/>
    <w:rsid w:val="00700E95"/>
    <w:rsid w:val="00703971"/>
    <w:rsid w:val="00720DEA"/>
    <w:rsid w:val="007226DA"/>
    <w:rsid w:val="00724E47"/>
    <w:rsid w:val="00726407"/>
    <w:rsid w:val="007341EB"/>
    <w:rsid w:val="007346CF"/>
    <w:rsid w:val="00740D21"/>
    <w:rsid w:val="00742E81"/>
    <w:rsid w:val="00762ADB"/>
    <w:rsid w:val="00764853"/>
    <w:rsid w:val="007748F4"/>
    <w:rsid w:val="00780183"/>
    <w:rsid w:val="00786059"/>
    <w:rsid w:val="00787CFF"/>
    <w:rsid w:val="00793E1E"/>
    <w:rsid w:val="007B1DF4"/>
    <w:rsid w:val="007B3081"/>
    <w:rsid w:val="007C43B5"/>
    <w:rsid w:val="007D48CD"/>
    <w:rsid w:val="007D79E3"/>
    <w:rsid w:val="007E3B55"/>
    <w:rsid w:val="007F14FA"/>
    <w:rsid w:val="007F22B5"/>
    <w:rsid w:val="007F6336"/>
    <w:rsid w:val="008019B2"/>
    <w:rsid w:val="0081118C"/>
    <w:rsid w:val="0081318C"/>
    <w:rsid w:val="00815EF8"/>
    <w:rsid w:val="008206EE"/>
    <w:rsid w:val="008335BF"/>
    <w:rsid w:val="00835A47"/>
    <w:rsid w:val="0084427D"/>
    <w:rsid w:val="0084599E"/>
    <w:rsid w:val="00846ECE"/>
    <w:rsid w:val="00847E73"/>
    <w:rsid w:val="00860A6E"/>
    <w:rsid w:val="008637BB"/>
    <w:rsid w:val="0086702E"/>
    <w:rsid w:val="008674C5"/>
    <w:rsid w:val="008773FA"/>
    <w:rsid w:val="008778BC"/>
    <w:rsid w:val="00877C94"/>
    <w:rsid w:val="00885017"/>
    <w:rsid w:val="00894E81"/>
    <w:rsid w:val="008A2212"/>
    <w:rsid w:val="008A69C0"/>
    <w:rsid w:val="008B0A90"/>
    <w:rsid w:val="008B1111"/>
    <w:rsid w:val="008C615A"/>
    <w:rsid w:val="008C6F38"/>
    <w:rsid w:val="008D2AE9"/>
    <w:rsid w:val="008D7BC5"/>
    <w:rsid w:val="008D7F11"/>
    <w:rsid w:val="008E0ED5"/>
    <w:rsid w:val="008F46A8"/>
    <w:rsid w:val="00904719"/>
    <w:rsid w:val="00906CDE"/>
    <w:rsid w:val="00912A26"/>
    <w:rsid w:val="00914E40"/>
    <w:rsid w:val="009202ED"/>
    <w:rsid w:val="0092224F"/>
    <w:rsid w:val="00922EA2"/>
    <w:rsid w:val="009269B9"/>
    <w:rsid w:val="00926D2F"/>
    <w:rsid w:val="00927D18"/>
    <w:rsid w:val="0093045F"/>
    <w:rsid w:val="00936410"/>
    <w:rsid w:val="009375D0"/>
    <w:rsid w:val="009437C3"/>
    <w:rsid w:val="009564D2"/>
    <w:rsid w:val="009623FA"/>
    <w:rsid w:val="00963601"/>
    <w:rsid w:val="00964DCF"/>
    <w:rsid w:val="00967AC1"/>
    <w:rsid w:val="009724B4"/>
    <w:rsid w:val="00972DDD"/>
    <w:rsid w:val="0097348B"/>
    <w:rsid w:val="00974FB4"/>
    <w:rsid w:val="009755B0"/>
    <w:rsid w:val="00976B22"/>
    <w:rsid w:val="00983F1A"/>
    <w:rsid w:val="00986812"/>
    <w:rsid w:val="0098732A"/>
    <w:rsid w:val="00987A81"/>
    <w:rsid w:val="00990A08"/>
    <w:rsid w:val="00993764"/>
    <w:rsid w:val="009959CC"/>
    <w:rsid w:val="009A0F83"/>
    <w:rsid w:val="009A1296"/>
    <w:rsid w:val="009A325B"/>
    <w:rsid w:val="009A52B2"/>
    <w:rsid w:val="009A6828"/>
    <w:rsid w:val="009B4FE6"/>
    <w:rsid w:val="009B62EB"/>
    <w:rsid w:val="009C2A49"/>
    <w:rsid w:val="009C47FE"/>
    <w:rsid w:val="009D4F77"/>
    <w:rsid w:val="009D7300"/>
    <w:rsid w:val="009F062B"/>
    <w:rsid w:val="009F121C"/>
    <w:rsid w:val="00A01598"/>
    <w:rsid w:val="00A029AD"/>
    <w:rsid w:val="00A03427"/>
    <w:rsid w:val="00A04BBF"/>
    <w:rsid w:val="00A07B04"/>
    <w:rsid w:val="00A119B3"/>
    <w:rsid w:val="00A1315A"/>
    <w:rsid w:val="00A14A06"/>
    <w:rsid w:val="00A2305C"/>
    <w:rsid w:val="00A23FB7"/>
    <w:rsid w:val="00A24345"/>
    <w:rsid w:val="00A32AF7"/>
    <w:rsid w:val="00A3557C"/>
    <w:rsid w:val="00A3667B"/>
    <w:rsid w:val="00A43807"/>
    <w:rsid w:val="00A52BE1"/>
    <w:rsid w:val="00A532DA"/>
    <w:rsid w:val="00A626B5"/>
    <w:rsid w:val="00A646CA"/>
    <w:rsid w:val="00A70514"/>
    <w:rsid w:val="00A74FEC"/>
    <w:rsid w:val="00A87A11"/>
    <w:rsid w:val="00AA1392"/>
    <w:rsid w:val="00AA19DB"/>
    <w:rsid w:val="00AB1B8A"/>
    <w:rsid w:val="00AB3D4C"/>
    <w:rsid w:val="00AB5799"/>
    <w:rsid w:val="00AC3C0B"/>
    <w:rsid w:val="00AC3D60"/>
    <w:rsid w:val="00AD6821"/>
    <w:rsid w:val="00AD6E67"/>
    <w:rsid w:val="00AE3304"/>
    <w:rsid w:val="00AE40B0"/>
    <w:rsid w:val="00AE55DA"/>
    <w:rsid w:val="00AF2D66"/>
    <w:rsid w:val="00AF3832"/>
    <w:rsid w:val="00AF4379"/>
    <w:rsid w:val="00AF6B4C"/>
    <w:rsid w:val="00B0468B"/>
    <w:rsid w:val="00B15FE5"/>
    <w:rsid w:val="00B17F06"/>
    <w:rsid w:val="00B24BC0"/>
    <w:rsid w:val="00B25E0A"/>
    <w:rsid w:val="00B26691"/>
    <w:rsid w:val="00B31065"/>
    <w:rsid w:val="00B330E0"/>
    <w:rsid w:val="00B3729F"/>
    <w:rsid w:val="00B42D67"/>
    <w:rsid w:val="00B4351D"/>
    <w:rsid w:val="00B52BD0"/>
    <w:rsid w:val="00B5561C"/>
    <w:rsid w:val="00B57268"/>
    <w:rsid w:val="00B60E30"/>
    <w:rsid w:val="00B6258C"/>
    <w:rsid w:val="00B625D9"/>
    <w:rsid w:val="00B632F8"/>
    <w:rsid w:val="00B63AEE"/>
    <w:rsid w:val="00B67228"/>
    <w:rsid w:val="00B723AA"/>
    <w:rsid w:val="00B74B29"/>
    <w:rsid w:val="00B7737E"/>
    <w:rsid w:val="00B778C3"/>
    <w:rsid w:val="00B8271A"/>
    <w:rsid w:val="00B952B8"/>
    <w:rsid w:val="00B96981"/>
    <w:rsid w:val="00B97D2C"/>
    <w:rsid w:val="00BA0044"/>
    <w:rsid w:val="00BA259C"/>
    <w:rsid w:val="00BB1B9A"/>
    <w:rsid w:val="00BC6814"/>
    <w:rsid w:val="00BD2CC0"/>
    <w:rsid w:val="00BD3516"/>
    <w:rsid w:val="00BD38A3"/>
    <w:rsid w:val="00BD4F97"/>
    <w:rsid w:val="00BE1DBA"/>
    <w:rsid w:val="00BE5460"/>
    <w:rsid w:val="00BE71B3"/>
    <w:rsid w:val="00BF2F0C"/>
    <w:rsid w:val="00BF3043"/>
    <w:rsid w:val="00BF4A2B"/>
    <w:rsid w:val="00C009E7"/>
    <w:rsid w:val="00C00D59"/>
    <w:rsid w:val="00C05D69"/>
    <w:rsid w:val="00C065B2"/>
    <w:rsid w:val="00C06D40"/>
    <w:rsid w:val="00C10EA5"/>
    <w:rsid w:val="00C16785"/>
    <w:rsid w:val="00C20CDE"/>
    <w:rsid w:val="00C23A88"/>
    <w:rsid w:val="00C278DB"/>
    <w:rsid w:val="00C30B64"/>
    <w:rsid w:val="00C3628D"/>
    <w:rsid w:val="00C4217E"/>
    <w:rsid w:val="00C42522"/>
    <w:rsid w:val="00C5014A"/>
    <w:rsid w:val="00C51957"/>
    <w:rsid w:val="00C53934"/>
    <w:rsid w:val="00C564B9"/>
    <w:rsid w:val="00C62A2D"/>
    <w:rsid w:val="00C6678D"/>
    <w:rsid w:val="00C669B1"/>
    <w:rsid w:val="00C67001"/>
    <w:rsid w:val="00C671A3"/>
    <w:rsid w:val="00C716EE"/>
    <w:rsid w:val="00C71B00"/>
    <w:rsid w:val="00C73ACF"/>
    <w:rsid w:val="00C82813"/>
    <w:rsid w:val="00C83AF9"/>
    <w:rsid w:val="00C92DCD"/>
    <w:rsid w:val="00C930F2"/>
    <w:rsid w:val="00C946A5"/>
    <w:rsid w:val="00C9731F"/>
    <w:rsid w:val="00CA275C"/>
    <w:rsid w:val="00CB10D9"/>
    <w:rsid w:val="00CB1F06"/>
    <w:rsid w:val="00CB7386"/>
    <w:rsid w:val="00CC2993"/>
    <w:rsid w:val="00CC524F"/>
    <w:rsid w:val="00CC5D0F"/>
    <w:rsid w:val="00CD047C"/>
    <w:rsid w:val="00CE26C9"/>
    <w:rsid w:val="00CF24AA"/>
    <w:rsid w:val="00D01E85"/>
    <w:rsid w:val="00D0256C"/>
    <w:rsid w:val="00D02DD1"/>
    <w:rsid w:val="00D07836"/>
    <w:rsid w:val="00D14ED8"/>
    <w:rsid w:val="00D21E88"/>
    <w:rsid w:val="00D340A7"/>
    <w:rsid w:val="00D36DD9"/>
    <w:rsid w:val="00D41191"/>
    <w:rsid w:val="00D45F36"/>
    <w:rsid w:val="00D53E3E"/>
    <w:rsid w:val="00D55968"/>
    <w:rsid w:val="00D57303"/>
    <w:rsid w:val="00D57747"/>
    <w:rsid w:val="00D624DA"/>
    <w:rsid w:val="00D659E2"/>
    <w:rsid w:val="00D71A05"/>
    <w:rsid w:val="00D75E82"/>
    <w:rsid w:val="00D81A23"/>
    <w:rsid w:val="00D8517D"/>
    <w:rsid w:val="00D87A9B"/>
    <w:rsid w:val="00D900FD"/>
    <w:rsid w:val="00D90808"/>
    <w:rsid w:val="00DA0E45"/>
    <w:rsid w:val="00DA4A57"/>
    <w:rsid w:val="00DB0FEA"/>
    <w:rsid w:val="00DB137B"/>
    <w:rsid w:val="00DB2BD8"/>
    <w:rsid w:val="00DB2F35"/>
    <w:rsid w:val="00DB5285"/>
    <w:rsid w:val="00DC0489"/>
    <w:rsid w:val="00DC6D0D"/>
    <w:rsid w:val="00DD0800"/>
    <w:rsid w:val="00DD3B8C"/>
    <w:rsid w:val="00DD4F38"/>
    <w:rsid w:val="00DD6264"/>
    <w:rsid w:val="00DD790F"/>
    <w:rsid w:val="00DF1C2A"/>
    <w:rsid w:val="00DF7BA6"/>
    <w:rsid w:val="00E006D0"/>
    <w:rsid w:val="00E01EAB"/>
    <w:rsid w:val="00E051DA"/>
    <w:rsid w:val="00E15892"/>
    <w:rsid w:val="00E1707E"/>
    <w:rsid w:val="00E23160"/>
    <w:rsid w:val="00E27190"/>
    <w:rsid w:val="00E30152"/>
    <w:rsid w:val="00E3066E"/>
    <w:rsid w:val="00E40D10"/>
    <w:rsid w:val="00E421C8"/>
    <w:rsid w:val="00E43F29"/>
    <w:rsid w:val="00E45155"/>
    <w:rsid w:val="00E52ACD"/>
    <w:rsid w:val="00E54151"/>
    <w:rsid w:val="00E61A1C"/>
    <w:rsid w:val="00E62A07"/>
    <w:rsid w:val="00E645A4"/>
    <w:rsid w:val="00E646F7"/>
    <w:rsid w:val="00E71A2A"/>
    <w:rsid w:val="00E75215"/>
    <w:rsid w:val="00E86B02"/>
    <w:rsid w:val="00E90B87"/>
    <w:rsid w:val="00E91438"/>
    <w:rsid w:val="00E93C4C"/>
    <w:rsid w:val="00EB5B79"/>
    <w:rsid w:val="00EB7DA8"/>
    <w:rsid w:val="00EC1718"/>
    <w:rsid w:val="00ED4120"/>
    <w:rsid w:val="00ED53A3"/>
    <w:rsid w:val="00EE2DCB"/>
    <w:rsid w:val="00EE4F1E"/>
    <w:rsid w:val="00EE66E2"/>
    <w:rsid w:val="00EF3819"/>
    <w:rsid w:val="00F0653A"/>
    <w:rsid w:val="00F0724D"/>
    <w:rsid w:val="00F12489"/>
    <w:rsid w:val="00F20C09"/>
    <w:rsid w:val="00F23A66"/>
    <w:rsid w:val="00F274C9"/>
    <w:rsid w:val="00F34789"/>
    <w:rsid w:val="00F35DCA"/>
    <w:rsid w:val="00F42645"/>
    <w:rsid w:val="00F432CE"/>
    <w:rsid w:val="00F450E1"/>
    <w:rsid w:val="00F45BB6"/>
    <w:rsid w:val="00F51264"/>
    <w:rsid w:val="00F512E7"/>
    <w:rsid w:val="00F53D93"/>
    <w:rsid w:val="00F541B2"/>
    <w:rsid w:val="00F561C7"/>
    <w:rsid w:val="00F617EA"/>
    <w:rsid w:val="00F701F2"/>
    <w:rsid w:val="00F711FC"/>
    <w:rsid w:val="00F73918"/>
    <w:rsid w:val="00F80147"/>
    <w:rsid w:val="00F80B69"/>
    <w:rsid w:val="00F817A4"/>
    <w:rsid w:val="00F854C1"/>
    <w:rsid w:val="00F90E01"/>
    <w:rsid w:val="00F9240F"/>
    <w:rsid w:val="00F92F47"/>
    <w:rsid w:val="00F93F23"/>
    <w:rsid w:val="00FA19B7"/>
    <w:rsid w:val="00FA4467"/>
    <w:rsid w:val="00FB3719"/>
    <w:rsid w:val="00FB3A8C"/>
    <w:rsid w:val="00FB6A8D"/>
    <w:rsid w:val="00FC1EBA"/>
    <w:rsid w:val="00FC46DD"/>
    <w:rsid w:val="00FC6F47"/>
    <w:rsid w:val="00FD26C4"/>
    <w:rsid w:val="00FD2DF8"/>
    <w:rsid w:val="00FD4BCF"/>
    <w:rsid w:val="00FF39CF"/>
    <w:rsid w:val="01820EA5"/>
    <w:rsid w:val="05E34A55"/>
    <w:rsid w:val="12592F30"/>
    <w:rsid w:val="14BA370F"/>
    <w:rsid w:val="176756C6"/>
    <w:rsid w:val="1D2B4636"/>
    <w:rsid w:val="1DA55031"/>
    <w:rsid w:val="1DAC27BE"/>
    <w:rsid w:val="20C65ED3"/>
    <w:rsid w:val="218E2416"/>
    <w:rsid w:val="22561F74"/>
    <w:rsid w:val="228701F3"/>
    <w:rsid w:val="22B30E1A"/>
    <w:rsid w:val="232911A6"/>
    <w:rsid w:val="23A06601"/>
    <w:rsid w:val="255D1A87"/>
    <w:rsid w:val="257A1801"/>
    <w:rsid w:val="26805942"/>
    <w:rsid w:val="28700AC7"/>
    <w:rsid w:val="29103233"/>
    <w:rsid w:val="293426C0"/>
    <w:rsid w:val="2BC329DE"/>
    <w:rsid w:val="2C837613"/>
    <w:rsid w:val="33F66251"/>
    <w:rsid w:val="3A705B70"/>
    <w:rsid w:val="3B2E6A60"/>
    <w:rsid w:val="3C193A4D"/>
    <w:rsid w:val="3D052D63"/>
    <w:rsid w:val="3D6C2FBC"/>
    <w:rsid w:val="423B1FF0"/>
    <w:rsid w:val="446F0A86"/>
    <w:rsid w:val="44CC63EF"/>
    <w:rsid w:val="47B65AB2"/>
    <w:rsid w:val="486B40D4"/>
    <w:rsid w:val="49D22933"/>
    <w:rsid w:val="4C536D07"/>
    <w:rsid w:val="50FA6CDF"/>
    <w:rsid w:val="513B2E22"/>
    <w:rsid w:val="548E0A81"/>
    <w:rsid w:val="551E34D6"/>
    <w:rsid w:val="57D73BEE"/>
    <w:rsid w:val="599C089D"/>
    <w:rsid w:val="59C47AA4"/>
    <w:rsid w:val="5AFD3924"/>
    <w:rsid w:val="5B652721"/>
    <w:rsid w:val="5BF0324D"/>
    <w:rsid w:val="5C350FD5"/>
    <w:rsid w:val="5E7F5697"/>
    <w:rsid w:val="5F0C558A"/>
    <w:rsid w:val="5FB73F30"/>
    <w:rsid w:val="616379EA"/>
    <w:rsid w:val="61F33529"/>
    <w:rsid w:val="694B29E5"/>
    <w:rsid w:val="6C9B7BBF"/>
    <w:rsid w:val="6EAB3EB2"/>
    <w:rsid w:val="6F5859EE"/>
    <w:rsid w:val="6F5C683A"/>
    <w:rsid w:val="70005437"/>
    <w:rsid w:val="716562BC"/>
    <w:rsid w:val="748309B5"/>
    <w:rsid w:val="7579474A"/>
    <w:rsid w:val="77F5255B"/>
    <w:rsid w:val="7A6413DB"/>
    <w:rsid w:val="7E80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eastAsia="宋体"/>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0"/>
    <w:pPr>
      <w:jc w:val="left"/>
    </w:pPr>
  </w:style>
  <w:style w:type="paragraph" w:styleId="5">
    <w:name w:val="Body Text"/>
    <w:basedOn w:val="1"/>
    <w:qFormat/>
    <w:uiPriority w:val="1"/>
    <w:pPr>
      <w:spacing w:before="88"/>
      <w:ind w:left="120"/>
      <w:jc w:val="left"/>
    </w:pPr>
    <w:rPr>
      <w:rFonts w:ascii="仿宋_GB2312" w:hAnsi="仿宋_GB2312" w:eastAsia="仿宋_GB2312"/>
      <w:kern w:val="0"/>
      <w:szCs w:val="32"/>
      <w:lang w:eastAsia="en-US"/>
    </w:rPr>
  </w:style>
  <w:style w:type="paragraph" w:styleId="6">
    <w:name w:val="Plain Text"/>
    <w:basedOn w:val="1"/>
    <w:link w:val="22"/>
    <w:qFormat/>
    <w:uiPriority w:val="0"/>
    <w:rPr>
      <w:rFonts w:ascii="宋体" w:hAnsi="Courier New" w:eastAsia="宋体"/>
      <w:sz w:val="21"/>
      <w:szCs w:val="20"/>
    </w:rPr>
  </w:style>
  <w:style w:type="paragraph" w:styleId="7">
    <w:name w:val="Balloon Text"/>
    <w:basedOn w:val="1"/>
    <w:link w:val="23"/>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ind w:firstLine="200" w:firstLineChars="200"/>
    </w:pPr>
    <w:rPr>
      <w:rFonts w:eastAsia="宋体"/>
      <w:sz w:val="24"/>
      <w:szCs w:val="22"/>
    </w:rPr>
  </w:style>
  <w:style w:type="paragraph" w:styleId="11">
    <w:name w:val="toc 2"/>
    <w:basedOn w:val="1"/>
    <w:next w:val="1"/>
    <w:unhideWhenUsed/>
    <w:qFormat/>
    <w:uiPriority w:val="39"/>
    <w:pPr>
      <w:ind w:left="420" w:leftChars="200"/>
    </w:pPr>
    <w:rPr>
      <w:rFonts w:ascii="Calibri" w:hAnsi="Calibri" w:eastAsia="宋体"/>
      <w:sz w:val="21"/>
      <w:szCs w:val="22"/>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26"/>
    <w:qFormat/>
    <w:uiPriority w:val="10"/>
    <w:pPr>
      <w:spacing w:before="240" w:after="60" w:line="360" w:lineRule="auto"/>
      <w:ind w:firstLine="200" w:firstLineChars="200"/>
      <w:jc w:val="center"/>
      <w:outlineLvl w:val="0"/>
    </w:pPr>
    <w:rPr>
      <w:rFonts w:ascii="Cambria" w:hAnsi="Cambria" w:eastAsia="楷体"/>
      <w:b/>
      <w:sz w:val="36"/>
      <w:szCs w:val="20"/>
    </w:rPr>
  </w:style>
  <w:style w:type="paragraph" w:styleId="14">
    <w:name w:val="annotation subject"/>
    <w:basedOn w:val="4"/>
    <w:next w:val="4"/>
    <w:link w:val="27"/>
    <w:unhideWhenUsed/>
    <w:qFormat/>
    <w:uiPriority w:val="99"/>
    <w:rPr>
      <w:b/>
      <w:bCs/>
    </w:rPr>
  </w:style>
  <w:style w:type="character" w:styleId="17">
    <w:name w:val="Hyperlink"/>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标题 1 Char"/>
    <w:link w:val="2"/>
    <w:qFormat/>
    <w:uiPriority w:val="9"/>
    <w:rPr>
      <w:b/>
      <w:bCs/>
      <w:kern w:val="44"/>
      <w:sz w:val="44"/>
      <w:szCs w:val="44"/>
    </w:rPr>
  </w:style>
  <w:style w:type="character" w:customStyle="1" w:styleId="20">
    <w:name w:val="标题 2 Char"/>
    <w:link w:val="3"/>
    <w:qFormat/>
    <w:uiPriority w:val="9"/>
    <w:rPr>
      <w:rFonts w:ascii="Cambria" w:hAnsi="Cambria"/>
      <w:b/>
      <w:bCs/>
      <w:kern w:val="2"/>
      <w:sz w:val="32"/>
      <w:szCs w:val="32"/>
    </w:rPr>
  </w:style>
  <w:style w:type="character" w:customStyle="1" w:styleId="21">
    <w:name w:val="批注文字 Char"/>
    <w:link w:val="4"/>
    <w:qFormat/>
    <w:uiPriority w:val="0"/>
    <w:rPr>
      <w:rFonts w:ascii="Times New Roman" w:hAnsi="Times New Roman" w:eastAsia="仿宋"/>
      <w:kern w:val="2"/>
      <w:sz w:val="32"/>
      <w:szCs w:val="24"/>
    </w:rPr>
  </w:style>
  <w:style w:type="character" w:customStyle="1" w:styleId="22">
    <w:name w:val="纯文本 Char"/>
    <w:link w:val="6"/>
    <w:qFormat/>
    <w:uiPriority w:val="0"/>
    <w:rPr>
      <w:rFonts w:ascii="宋体" w:hAnsi="Courier New"/>
      <w:kern w:val="2"/>
      <w:sz w:val="21"/>
    </w:rPr>
  </w:style>
  <w:style w:type="character" w:customStyle="1" w:styleId="23">
    <w:name w:val="批注框文本 Char"/>
    <w:link w:val="7"/>
    <w:semiHidden/>
    <w:qFormat/>
    <w:uiPriority w:val="99"/>
    <w:rPr>
      <w:rFonts w:ascii="Times New Roman" w:hAnsi="Times New Roman" w:eastAsia="仿宋"/>
      <w:kern w:val="2"/>
      <w:sz w:val="18"/>
      <w:szCs w:val="18"/>
    </w:rPr>
  </w:style>
  <w:style w:type="character" w:customStyle="1" w:styleId="24">
    <w:name w:val="页脚 Char"/>
    <w:link w:val="8"/>
    <w:qFormat/>
    <w:uiPriority w:val="99"/>
    <w:rPr>
      <w:sz w:val="18"/>
      <w:szCs w:val="18"/>
    </w:rPr>
  </w:style>
  <w:style w:type="character" w:customStyle="1" w:styleId="25">
    <w:name w:val="页眉 Char"/>
    <w:link w:val="9"/>
    <w:qFormat/>
    <w:uiPriority w:val="99"/>
    <w:rPr>
      <w:sz w:val="18"/>
      <w:szCs w:val="18"/>
    </w:rPr>
  </w:style>
  <w:style w:type="character" w:customStyle="1" w:styleId="26">
    <w:name w:val="标题 Char"/>
    <w:link w:val="13"/>
    <w:qFormat/>
    <w:uiPriority w:val="10"/>
    <w:rPr>
      <w:rFonts w:ascii="Cambria" w:hAnsi="Cambria" w:eastAsia="楷体"/>
      <w:b/>
      <w:kern w:val="2"/>
      <w:sz w:val="36"/>
    </w:rPr>
  </w:style>
  <w:style w:type="character" w:customStyle="1" w:styleId="27">
    <w:name w:val="批注主题 Char"/>
    <w:link w:val="14"/>
    <w:semiHidden/>
    <w:qFormat/>
    <w:uiPriority w:val="99"/>
    <w:rPr>
      <w:rFonts w:ascii="Times New Roman" w:hAnsi="Times New Roman" w:eastAsia="仿宋"/>
      <w:b/>
      <w:bCs/>
      <w:kern w:val="2"/>
      <w:sz w:val="32"/>
      <w:szCs w:val="24"/>
    </w:rPr>
  </w:style>
  <w:style w:type="character" w:customStyle="1" w:styleId="28">
    <w:name w:val="列出段落 Char"/>
    <w:link w:val="29"/>
    <w:qFormat/>
    <w:uiPriority w:val="34"/>
    <w:rPr>
      <w:kern w:val="2"/>
      <w:sz w:val="21"/>
      <w:szCs w:val="22"/>
    </w:rPr>
  </w:style>
  <w:style w:type="paragraph" w:styleId="29">
    <w:name w:val="List Paragraph"/>
    <w:basedOn w:val="1"/>
    <w:link w:val="28"/>
    <w:qFormat/>
    <w:uiPriority w:val="34"/>
    <w:pPr>
      <w:ind w:firstLine="420" w:firstLineChars="200"/>
    </w:pPr>
    <w:rPr>
      <w:rFonts w:ascii="Calibri" w:hAnsi="Calibri" w:eastAsia="宋体"/>
      <w:sz w:val="21"/>
      <w:szCs w:val="22"/>
    </w:rPr>
  </w:style>
  <w:style w:type="paragraph" w:customStyle="1" w:styleId="30">
    <w:name w:val="修订1"/>
    <w:semiHidden/>
    <w:qFormat/>
    <w:uiPriority w:val="99"/>
    <w:rPr>
      <w:rFonts w:ascii="Times New Roman" w:hAnsi="Times New Roman" w:eastAsia="仿宋" w:cs="Times New Roman"/>
      <w:kern w:val="2"/>
      <w:sz w:val="32"/>
      <w:szCs w:val="24"/>
      <w:lang w:val="en-US" w:eastAsia="zh-CN" w:bidi="ar-SA"/>
    </w:rPr>
  </w:style>
  <w:style w:type="character" w:customStyle="1" w:styleId="31">
    <w:name w:val="批注文字 字符"/>
    <w:qFormat/>
    <w:uiPriority w:val="0"/>
    <w:rPr>
      <w:rFonts w:ascii="Times New Roman" w:hAnsi="Times New Roman"/>
      <w:kern w:val="2"/>
      <w:sz w:val="21"/>
    </w:rPr>
  </w:style>
  <w:style w:type="character" w:customStyle="1" w:styleId="32">
    <w:name w:val="批注文字 Char1"/>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2660</Words>
  <Characters>15164</Characters>
  <Lines>126</Lines>
  <Paragraphs>35</Paragraphs>
  <TotalTime>6</TotalTime>
  <ScaleCrop>false</ScaleCrop>
  <LinksUpToDate>false</LinksUpToDate>
  <CharactersWithSpaces>17789</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2023-10-16T07:30:00Z</dcterms:created>
  <dc:creator>曾蓓蓓[bbzeng]</dc:creator>
  <cp:lastModifiedBy>马晓慧</cp:lastModifiedBy>
  <cp:lastPrinted>2023-09-28T09:46:00Z</cp:lastPrinted>
  <dcterms:modified xsi:type="dcterms:W3CDTF">2023-10-20T09:26:46Z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Title">
    <vt:lpwstr/>
  </property>
  <property fmtid="{D5CDD505-2E9C-101B-9397-08002B2CF9AE}" pid="4" name="KSOProductBuildVer">
    <vt:lpwstr>2052-11.8.2.12080</vt:lpwstr>
  </property>
  <property fmtid="{D5CDD505-2E9C-101B-9397-08002B2CF9AE}" pid="5" name="ICV">
    <vt:lpwstr>3B51E7621F2C49868ADAB5D506C9C040</vt:lpwstr>
  </property>
</Properties>
</file>