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316" w:firstLineChars="100"/>
        <w:rPr>
          <w:rFonts w:ascii="黑体" w:hAnsi="黑体" w:eastAsia="黑体"/>
          <w:bCs/>
          <w:kern w:val="0"/>
        </w:rPr>
      </w:pPr>
      <w:bookmarkStart w:id="0" w:name="_GoBack"/>
      <w:bookmarkEnd w:id="0"/>
      <w:r>
        <w:rPr>
          <w:rFonts w:hint="eastAsia" w:ascii="黑体" w:hAnsi="黑体" w:eastAsia="黑体"/>
          <w:bCs/>
          <w:kern w:val="0"/>
        </w:rPr>
        <w:t>附件</w:t>
      </w:r>
    </w:p>
    <w:p>
      <w:pPr>
        <w:spacing w:line="560" w:lineRule="exact"/>
        <w:jc w:val="center"/>
        <w:rPr>
          <w:rFonts w:ascii="方正小标宋简体" w:eastAsia="方正小标宋简体"/>
          <w:sz w:val="44"/>
          <w:szCs w:val="44"/>
        </w:rPr>
      </w:pP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深圳证券交易所公司债券发行上市审核</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业务指引第</w:t>
      </w:r>
      <w:r>
        <w:rPr>
          <w:rFonts w:ascii="方正小标宋简体" w:eastAsia="方正小标宋简体"/>
          <w:sz w:val="44"/>
          <w:szCs w:val="44"/>
        </w:rPr>
        <w:t>5</w:t>
      </w:r>
      <w:r>
        <w:rPr>
          <w:rFonts w:hint="eastAsia" w:ascii="方正小标宋简体" w:eastAsia="方正小标宋简体"/>
          <w:sz w:val="44"/>
          <w:szCs w:val="44"/>
        </w:rPr>
        <w:t>号——非公开发行公司</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债券挂牌条件确认程序</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w:t>
      </w:r>
      <w:r>
        <w:rPr>
          <w:rFonts w:ascii="方正小标宋简体" w:eastAsia="方正小标宋简体"/>
          <w:sz w:val="44"/>
          <w:szCs w:val="44"/>
        </w:rPr>
        <w:t>2023年修订）</w:t>
      </w:r>
    </w:p>
    <w:p>
      <w:pPr>
        <w:spacing w:line="560" w:lineRule="exact"/>
        <w:jc w:val="center"/>
        <w:rPr>
          <w:rFonts w:eastAsia="方正仿宋简体"/>
          <w:b/>
          <w:kern w:val="0"/>
          <w:sz w:val="30"/>
          <w:szCs w:val="30"/>
        </w:rPr>
      </w:pPr>
    </w:p>
    <w:p>
      <w:pPr>
        <w:pStyle w:val="2"/>
        <w:spacing w:before="0" w:after="0" w:line="560" w:lineRule="exact"/>
        <w:jc w:val="center"/>
        <w:rPr>
          <w:rFonts w:ascii="黑体" w:hAnsi="黑体" w:eastAsia="黑体"/>
          <w:b w:val="0"/>
          <w:sz w:val="32"/>
          <w:szCs w:val="32"/>
        </w:rPr>
      </w:pPr>
      <w:r>
        <w:rPr>
          <w:rFonts w:hint="eastAsia" w:ascii="黑体" w:hAnsi="黑体" w:eastAsia="黑体"/>
          <w:b w:val="0"/>
          <w:sz w:val="32"/>
          <w:szCs w:val="32"/>
        </w:rPr>
        <w:t>第一章</w:t>
      </w:r>
      <w:r>
        <w:rPr>
          <w:rFonts w:ascii="黑体" w:hAnsi="黑体" w:eastAsia="黑体"/>
          <w:b w:val="0"/>
          <w:sz w:val="32"/>
          <w:szCs w:val="32"/>
        </w:rPr>
        <w:t xml:space="preserve">  </w:t>
      </w:r>
      <w:r>
        <w:rPr>
          <w:rFonts w:hint="eastAsia" w:ascii="黑体" w:hAnsi="黑体" w:eastAsia="黑体"/>
          <w:b w:val="0"/>
          <w:sz w:val="32"/>
          <w:szCs w:val="32"/>
        </w:rPr>
        <w:t>总则</w:t>
      </w:r>
    </w:p>
    <w:p>
      <w:pPr>
        <w:spacing w:line="560" w:lineRule="exact"/>
        <w:ind w:firstLine="632" w:firstLineChars="200"/>
        <w:rPr>
          <w:rFonts w:ascii="仿宋" w:hAnsi="仿宋"/>
          <w:kern w:val="0"/>
          <w:szCs w:val="32"/>
        </w:rPr>
      </w:pPr>
      <w:r>
        <w:rPr>
          <w:rFonts w:hint="eastAsia" w:ascii="仿宋" w:hAnsi="仿宋"/>
          <w:b/>
          <w:kern w:val="0"/>
          <w:szCs w:val="32"/>
        </w:rPr>
        <w:t>第一条</w:t>
      </w:r>
      <w:r>
        <w:rPr>
          <w:rFonts w:ascii="仿宋" w:hAnsi="仿宋"/>
          <w:kern w:val="0"/>
          <w:szCs w:val="32"/>
        </w:rPr>
        <w:t xml:space="preserve"> </w:t>
      </w:r>
      <w:r>
        <w:rPr>
          <w:rFonts w:hint="eastAsia" w:ascii="仿宋" w:hAnsi="仿宋"/>
          <w:kern w:val="0"/>
          <w:szCs w:val="32"/>
        </w:rPr>
        <w:t>为了规范非公开发行公司债券挂牌条件确认工作</w:t>
      </w:r>
      <w:r>
        <w:rPr>
          <w:rFonts w:hint="eastAsia" w:ascii="仿宋" w:hAnsi="仿宋"/>
          <w:szCs w:val="32"/>
        </w:rPr>
        <w:t>，提升审核透明度</w:t>
      </w:r>
      <w:r>
        <w:rPr>
          <w:rFonts w:hint="eastAsia" w:ascii="仿宋" w:hAnsi="仿宋"/>
          <w:kern w:val="0"/>
          <w:szCs w:val="32"/>
        </w:rPr>
        <w:t>，根据《深圳证券交易所非公开发行公司债券挂牌规则》（以下简称《挂牌规则》）等规定，制定本指引。</w:t>
      </w:r>
    </w:p>
    <w:p>
      <w:pPr>
        <w:spacing w:line="560" w:lineRule="exact"/>
        <w:ind w:firstLine="632" w:firstLineChars="200"/>
        <w:rPr>
          <w:rFonts w:ascii="仿宋" w:hAnsi="仿宋"/>
          <w:kern w:val="0"/>
          <w:szCs w:val="32"/>
        </w:rPr>
      </w:pPr>
      <w:r>
        <w:rPr>
          <w:rFonts w:hint="eastAsia" w:ascii="仿宋" w:hAnsi="仿宋"/>
          <w:b/>
          <w:kern w:val="0"/>
          <w:szCs w:val="32"/>
        </w:rPr>
        <w:t>第二条</w:t>
      </w:r>
      <w:r>
        <w:rPr>
          <w:rFonts w:ascii="仿宋" w:hAnsi="仿宋"/>
          <w:kern w:val="0"/>
          <w:szCs w:val="32"/>
        </w:rPr>
        <w:t xml:space="preserve"> </w:t>
      </w:r>
      <w:r>
        <w:rPr>
          <w:rFonts w:hint="eastAsia" w:ascii="仿宋" w:hAnsi="仿宋"/>
          <w:kern w:val="0"/>
          <w:szCs w:val="32"/>
        </w:rPr>
        <w:t>本指引适用于发行人申请非公开发行公司债券并在深圳证券交易所（以下简称本所）挂牌的挂牌条件确认程序。</w:t>
      </w:r>
    </w:p>
    <w:p>
      <w:pPr>
        <w:spacing w:line="560" w:lineRule="exact"/>
        <w:ind w:firstLine="632" w:firstLineChars="200"/>
        <w:rPr>
          <w:rFonts w:ascii="仿宋" w:hAnsi="仿宋"/>
          <w:kern w:val="0"/>
          <w:szCs w:val="32"/>
        </w:rPr>
      </w:pPr>
      <w:r>
        <w:rPr>
          <w:rFonts w:hint="eastAsia" w:ascii="仿宋" w:hAnsi="仿宋"/>
          <w:kern w:val="0"/>
          <w:szCs w:val="32"/>
        </w:rPr>
        <w:t>上市公司非公开发行附认股权、可转换成股票条款的公司债券，以及股票公开转让的非上市公众公司非公开发行附认股权条款的公司债券的挂牌条件确认程序，不适用本指引。</w:t>
      </w:r>
    </w:p>
    <w:p>
      <w:pPr>
        <w:spacing w:line="560" w:lineRule="exact"/>
        <w:ind w:firstLine="632" w:firstLineChars="200"/>
        <w:rPr>
          <w:rFonts w:ascii="仿宋" w:hAnsi="仿宋"/>
          <w:kern w:val="0"/>
          <w:szCs w:val="32"/>
        </w:rPr>
      </w:pPr>
      <w:r>
        <w:rPr>
          <w:rFonts w:hint="eastAsia" w:ascii="仿宋" w:hAnsi="仿宋"/>
          <w:b/>
          <w:kern w:val="0"/>
          <w:szCs w:val="32"/>
        </w:rPr>
        <w:t>第三条</w:t>
      </w:r>
      <w:r>
        <w:rPr>
          <w:rFonts w:hint="eastAsia" w:ascii="仿宋" w:hAnsi="仿宋"/>
          <w:kern w:val="0"/>
          <w:szCs w:val="32"/>
        </w:rPr>
        <w:t xml:space="preserve"> 非公开发行公司债券挂牌条件确认程序包括申请、受理、反馈、审议、出具挂牌条件确认文件等。</w:t>
      </w:r>
    </w:p>
    <w:p>
      <w:pPr>
        <w:spacing w:line="560" w:lineRule="exact"/>
        <w:ind w:firstLine="632" w:firstLineChars="200"/>
        <w:rPr>
          <w:rFonts w:ascii="仿宋" w:hAnsi="仿宋"/>
          <w:kern w:val="0"/>
          <w:szCs w:val="32"/>
        </w:rPr>
      </w:pPr>
      <w:r>
        <w:rPr>
          <w:rFonts w:hint="eastAsia" w:ascii="仿宋" w:hAnsi="仿宋"/>
          <w:kern w:val="0"/>
          <w:szCs w:val="32"/>
        </w:rPr>
        <w:t>本所设立非公开发行公司债券挂牌条件确认工作小组 （以下简称挂牌工作小组），对非公开发行公司债券是否符合挂牌条件进行集体审议。</w:t>
      </w:r>
    </w:p>
    <w:p>
      <w:pPr>
        <w:spacing w:line="560" w:lineRule="exact"/>
        <w:ind w:firstLine="632" w:firstLineChars="200"/>
        <w:rPr>
          <w:rFonts w:ascii="仿宋" w:hAnsi="仿宋"/>
          <w:kern w:val="0"/>
          <w:szCs w:val="32"/>
        </w:rPr>
      </w:pPr>
      <w:r>
        <w:rPr>
          <w:rFonts w:hint="eastAsia" w:ascii="仿宋" w:hAnsi="仿宋"/>
          <w:b/>
          <w:kern w:val="0"/>
          <w:szCs w:val="32"/>
        </w:rPr>
        <w:t>第四条</w:t>
      </w:r>
      <w:r>
        <w:rPr>
          <w:rFonts w:ascii="仿宋" w:hAnsi="仿宋"/>
          <w:kern w:val="0"/>
          <w:szCs w:val="32"/>
        </w:rPr>
        <w:t xml:space="preserve"> </w:t>
      </w:r>
      <w:r>
        <w:rPr>
          <w:rFonts w:hint="eastAsia" w:ascii="仿宋" w:hAnsi="仿宋"/>
          <w:kern w:val="0"/>
          <w:szCs w:val="32"/>
        </w:rPr>
        <w:t>本所遵循公开、公平、公正的原则开展挂牌条件确认工作，挂牌条件确认标准、进度、结果等信息通过本所网站及时向市场公开。</w:t>
      </w:r>
    </w:p>
    <w:p>
      <w:pPr>
        <w:spacing w:line="560" w:lineRule="exact"/>
        <w:ind w:firstLine="632" w:firstLineChars="200"/>
        <w:rPr>
          <w:rFonts w:ascii="仿宋" w:hAnsi="仿宋"/>
          <w:kern w:val="0"/>
          <w:szCs w:val="32"/>
        </w:rPr>
      </w:pPr>
      <w:r>
        <w:rPr>
          <w:rFonts w:hint="eastAsia" w:ascii="仿宋" w:hAnsi="仿宋"/>
          <w:b/>
          <w:kern w:val="0"/>
          <w:szCs w:val="32"/>
        </w:rPr>
        <w:t>第五条</w:t>
      </w:r>
      <w:r>
        <w:rPr>
          <w:rFonts w:hint="eastAsia" w:ascii="仿宋" w:hAnsi="仿宋"/>
          <w:kern w:val="0"/>
          <w:szCs w:val="32"/>
        </w:rPr>
        <w:t xml:space="preserve"> 本所遵循便捷高效的原则，实行电子化挂牌条件确认工作。非公开发行公司债券挂牌条件确认申请文件（以下简称申请文件）提交和受理、反馈意见出具及其回复、审议意见告知等事项通过本所固定收益品种业务专区办理。符合本指引规定的现场问询、现场沟通除外。</w:t>
      </w:r>
    </w:p>
    <w:p>
      <w:pPr>
        <w:spacing w:line="560" w:lineRule="exact"/>
        <w:ind w:firstLine="632" w:firstLineChars="200"/>
        <w:rPr>
          <w:rFonts w:ascii="仿宋" w:hAnsi="仿宋"/>
          <w:kern w:val="0"/>
          <w:szCs w:val="32"/>
        </w:rPr>
      </w:pPr>
      <w:r>
        <w:rPr>
          <w:rFonts w:hint="eastAsia" w:ascii="仿宋" w:hAnsi="仿宋"/>
          <w:kern w:val="0"/>
          <w:szCs w:val="32"/>
        </w:rPr>
        <w:t>本所自受理申请文件之日起四十五个工作日内出具挂牌条件确认意见。</w:t>
      </w:r>
    </w:p>
    <w:p>
      <w:pPr>
        <w:spacing w:line="560" w:lineRule="exact"/>
        <w:ind w:firstLine="632" w:firstLineChars="200"/>
        <w:rPr>
          <w:rFonts w:ascii="仿宋" w:hAnsi="仿宋"/>
          <w:kern w:val="0"/>
          <w:szCs w:val="32"/>
        </w:rPr>
      </w:pPr>
      <w:r>
        <w:rPr>
          <w:rFonts w:hint="eastAsia" w:ascii="仿宋" w:hAnsi="仿宋"/>
          <w:kern w:val="0"/>
          <w:szCs w:val="32"/>
        </w:rPr>
        <w:t>发行人、主承销商和证券服务机构回复反馈意见、补充和修改申请文件，以及中止核对、请示有权机关、暂缓审议、处理会后事项、实施现场检查、要求进行专项核查等，不计算在前款规定的时限内。</w:t>
      </w:r>
    </w:p>
    <w:p>
      <w:pPr>
        <w:spacing w:line="560" w:lineRule="exact"/>
        <w:ind w:firstLine="632" w:firstLineChars="200"/>
        <w:rPr>
          <w:rFonts w:ascii="仿宋" w:hAnsi="仿宋"/>
          <w:kern w:val="0"/>
          <w:szCs w:val="32"/>
        </w:rPr>
      </w:pPr>
      <w:r>
        <w:rPr>
          <w:rFonts w:hint="eastAsia" w:ascii="仿宋" w:hAnsi="仿宋"/>
          <w:b/>
          <w:kern w:val="0"/>
          <w:szCs w:val="32"/>
        </w:rPr>
        <w:t xml:space="preserve">第六条 </w:t>
      </w:r>
      <w:r>
        <w:rPr>
          <w:rFonts w:hint="eastAsia" w:ascii="仿宋" w:hAnsi="仿宋"/>
          <w:kern w:val="0"/>
          <w:szCs w:val="32"/>
        </w:rPr>
        <w:t>本所核对人员与发行人、主承销商和证券服务机构存在利害关系，可能影响公正履行职责的，应当回避。</w:t>
      </w:r>
    </w:p>
    <w:p>
      <w:pPr>
        <w:spacing w:line="560" w:lineRule="exact"/>
        <w:ind w:firstLine="632" w:firstLineChars="200"/>
        <w:rPr>
          <w:rFonts w:ascii="仿宋" w:hAnsi="仿宋"/>
          <w:kern w:val="0"/>
          <w:szCs w:val="32"/>
        </w:rPr>
      </w:pPr>
      <w:r>
        <w:rPr>
          <w:rFonts w:hint="eastAsia" w:ascii="仿宋" w:hAnsi="仿宋"/>
          <w:kern w:val="0"/>
          <w:szCs w:val="32"/>
        </w:rPr>
        <w:t>核对人员就挂牌条件确认工作相关事项与发行人等相关主体沟通的，应当按照本指引规定的方式进行，不得与发行人等相关主体私下接触或者与其有不正当利益往来。</w:t>
      </w:r>
    </w:p>
    <w:p>
      <w:pPr>
        <w:spacing w:line="560" w:lineRule="exact"/>
        <w:ind w:firstLine="632" w:firstLineChars="200"/>
        <w:rPr>
          <w:rFonts w:ascii="仿宋" w:hAnsi="仿宋"/>
          <w:kern w:val="0"/>
          <w:szCs w:val="32"/>
        </w:rPr>
      </w:pPr>
      <w:r>
        <w:rPr>
          <w:rFonts w:hint="eastAsia" w:ascii="仿宋" w:hAnsi="仿宋"/>
          <w:b/>
          <w:kern w:val="0"/>
          <w:szCs w:val="32"/>
        </w:rPr>
        <w:t>第七条</w:t>
      </w:r>
      <w:r>
        <w:rPr>
          <w:rFonts w:hint="eastAsia" w:ascii="仿宋" w:hAnsi="仿宋"/>
          <w:kern w:val="0"/>
          <w:szCs w:val="32"/>
        </w:rPr>
        <w:tab/>
      </w:r>
      <w:r>
        <w:rPr>
          <w:rFonts w:hint="eastAsia" w:ascii="仿宋" w:hAnsi="仿宋"/>
          <w:kern w:val="0"/>
          <w:szCs w:val="32"/>
        </w:rPr>
        <w:t xml:space="preserve"> 自申请文件受理之日起，发行人及其控股股东、实际控制人、董事、监事、高级管理人员等相关人员，以及与本次债券挂牌相关的主承销商、证券服务机构、增信主体等及其相关人员，即承担相应法律责任，接受本所自律监管。</w:t>
      </w:r>
    </w:p>
    <w:p>
      <w:pPr>
        <w:spacing w:line="560" w:lineRule="exact"/>
        <w:ind w:firstLine="632" w:firstLineChars="200"/>
        <w:rPr>
          <w:rFonts w:ascii="仿宋" w:hAnsi="仿宋"/>
          <w:kern w:val="0"/>
          <w:szCs w:val="32"/>
        </w:rPr>
      </w:pPr>
      <w:r>
        <w:rPr>
          <w:rFonts w:hint="eastAsia" w:ascii="仿宋" w:hAnsi="仿宋"/>
          <w:b/>
          <w:kern w:val="0"/>
          <w:szCs w:val="32"/>
        </w:rPr>
        <w:t>第八条</w:t>
      </w:r>
      <w:r>
        <w:rPr>
          <w:rFonts w:hint="eastAsia" w:ascii="仿宋" w:hAnsi="仿宋"/>
          <w:kern w:val="0"/>
          <w:szCs w:val="32"/>
        </w:rPr>
        <w:tab/>
      </w:r>
      <w:r>
        <w:rPr>
          <w:rFonts w:hint="eastAsia" w:ascii="仿宋" w:hAnsi="仿宋"/>
          <w:kern w:val="0"/>
          <w:szCs w:val="32"/>
        </w:rPr>
        <w:t xml:space="preserve"> 本所出具的挂牌条件确认意见，不表明本所对申请文件以及所披露信息的真实性、准确性、完整性作出保证，也不表明本所对发行人的经营风险、偿债风险、诉讼风险以及公司债券的投资风险或者收益等作出判断或者保证。公司债券的投资风险，由投资者自行承担。</w:t>
      </w:r>
    </w:p>
    <w:p>
      <w:pPr>
        <w:pStyle w:val="30"/>
        <w:spacing w:line="560" w:lineRule="exact"/>
        <w:ind w:firstLine="634"/>
        <w:rPr>
          <w:rFonts w:ascii="仿宋" w:hAnsi="仿宋"/>
          <w:szCs w:val="32"/>
        </w:rPr>
      </w:pPr>
      <w:r>
        <w:rPr>
          <w:rFonts w:hint="eastAsia" w:ascii="仿宋" w:hAnsi="仿宋"/>
          <w:b/>
          <w:szCs w:val="32"/>
        </w:rPr>
        <w:t>第九条</w:t>
      </w:r>
      <w:r>
        <w:rPr>
          <w:rFonts w:hint="eastAsia" w:ascii="仿宋" w:hAnsi="仿宋"/>
          <w:szCs w:val="32"/>
        </w:rPr>
        <w:t xml:space="preserve"> 发行人、主承销商和证券服务机构应当按照相关法律、行政法规、部门规章、规范性文件（以下统称法律法规）和本所业务规则的要求履行职责，关注挂牌条件确认进展，及时回复反馈意见。</w:t>
      </w:r>
    </w:p>
    <w:p>
      <w:pPr>
        <w:spacing w:line="560" w:lineRule="exact"/>
        <w:ind w:firstLine="632" w:firstLineChars="200"/>
        <w:rPr>
          <w:rFonts w:ascii="仿宋" w:hAnsi="仿宋"/>
          <w:szCs w:val="32"/>
        </w:rPr>
      </w:pPr>
      <w:r>
        <w:rPr>
          <w:rFonts w:hint="eastAsia" w:ascii="仿宋" w:hAnsi="仿宋"/>
          <w:b/>
          <w:kern w:val="0"/>
          <w:szCs w:val="32"/>
        </w:rPr>
        <w:t>第十条</w:t>
      </w:r>
      <w:r>
        <w:rPr>
          <w:rFonts w:hint="eastAsia" w:ascii="仿宋" w:hAnsi="仿宋"/>
          <w:kern w:val="0"/>
          <w:szCs w:val="32"/>
        </w:rPr>
        <w:t xml:space="preserve"> 本所在挂牌条件确认过程中，对</w:t>
      </w:r>
      <w:r>
        <w:rPr>
          <w:rFonts w:hint="eastAsia" w:ascii="仿宋" w:hAnsi="仿宋"/>
          <w:color w:val="000000"/>
          <w:szCs w:val="32"/>
        </w:rPr>
        <w:t>中国证券监督管理委员会（以下简称</w:t>
      </w:r>
      <w:r>
        <w:rPr>
          <w:rFonts w:hint="eastAsia" w:ascii="仿宋" w:hAnsi="仿宋"/>
          <w:kern w:val="0"/>
          <w:szCs w:val="32"/>
        </w:rPr>
        <w:t>中国证监会）部门规章和规范性文件理解和适用的重大疑难问题、重大无先例情况以及其他需要中国证监会决定的事项，将及时请示中国证监会。</w:t>
      </w:r>
    </w:p>
    <w:p>
      <w:pPr>
        <w:pStyle w:val="30"/>
        <w:spacing w:line="560" w:lineRule="exact"/>
        <w:ind w:firstLine="634"/>
        <w:rPr>
          <w:rFonts w:ascii="仿宋" w:hAnsi="仿宋"/>
          <w:szCs w:val="32"/>
        </w:rPr>
      </w:pPr>
      <w:r>
        <w:rPr>
          <w:rFonts w:hint="eastAsia" w:ascii="仿宋" w:hAnsi="仿宋"/>
          <w:b/>
          <w:szCs w:val="32"/>
        </w:rPr>
        <w:t xml:space="preserve">第十一条 </w:t>
      </w:r>
      <w:r>
        <w:rPr>
          <w:rFonts w:hint="eastAsia" w:ascii="仿宋" w:hAnsi="仿宋" w:cs="黑体"/>
          <w:bCs/>
          <w:szCs w:val="32"/>
        </w:rPr>
        <w:t>市场认可度高、行业地位显著、公司治理完善、经营财务状况稳健且已在债券市场多次开展债券融资的知名成熟发行人申请非公开发行公司债券并挂牌的，本所实行优化审核安排。知名成熟发行人标准、确认方式以及具体优化安排适用《深圳证券交易所公司债券发行上市审核业务指引第3号——优化审核安排》的规定。</w:t>
      </w:r>
    </w:p>
    <w:p>
      <w:pPr>
        <w:pStyle w:val="2"/>
        <w:spacing w:before="0" w:after="0" w:line="560" w:lineRule="exact"/>
        <w:jc w:val="center"/>
        <w:rPr>
          <w:rFonts w:ascii="黑体" w:hAnsi="黑体" w:eastAsia="黑体"/>
          <w:b w:val="0"/>
          <w:sz w:val="32"/>
          <w:szCs w:val="32"/>
        </w:rPr>
      </w:pPr>
    </w:p>
    <w:p>
      <w:pPr>
        <w:pStyle w:val="2"/>
        <w:spacing w:before="0" w:after="0" w:line="560" w:lineRule="exact"/>
        <w:jc w:val="center"/>
        <w:rPr>
          <w:rFonts w:ascii="黑体" w:hAnsi="黑体" w:eastAsia="黑体"/>
          <w:b w:val="0"/>
          <w:sz w:val="32"/>
          <w:szCs w:val="32"/>
        </w:rPr>
      </w:pPr>
      <w:r>
        <w:rPr>
          <w:rFonts w:hint="eastAsia" w:ascii="黑体" w:hAnsi="黑体" w:eastAsia="黑体"/>
          <w:b w:val="0"/>
          <w:sz w:val="32"/>
          <w:szCs w:val="32"/>
        </w:rPr>
        <w:t>第二章</w:t>
      </w:r>
      <w:r>
        <w:rPr>
          <w:rFonts w:ascii="黑体" w:hAnsi="黑体" w:eastAsia="黑体"/>
          <w:b w:val="0"/>
          <w:sz w:val="32"/>
          <w:szCs w:val="32"/>
        </w:rPr>
        <w:t xml:space="preserve">  </w:t>
      </w:r>
      <w:r>
        <w:rPr>
          <w:rFonts w:hint="eastAsia" w:ascii="黑体" w:hAnsi="黑体" w:eastAsia="黑体"/>
          <w:b w:val="0"/>
          <w:sz w:val="32"/>
          <w:szCs w:val="32"/>
        </w:rPr>
        <w:t>受理、核对与反馈</w:t>
      </w:r>
    </w:p>
    <w:p>
      <w:pPr>
        <w:spacing w:line="560" w:lineRule="exact"/>
        <w:ind w:firstLine="632" w:firstLineChars="200"/>
        <w:rPr>
          <w:rFonts w:ascii="仿宋" w:hAnsi="仿宋"/>
          <w:kern w:val="0"/>
          <w:szCs w:val="32"/>
        </w:rPr>
      </w:pPr>
      <w:r>
        <w:rPr>
          <w:rFonts w:hint="eastAsia" w:ascii="仿宋" w:hAnsi="仿宋"/>
          <w:b/>
          <w:kern w:val="0"/>
          <w:szCs w:val="32"/>
        </w:rPr>
        <w:t>第十二条</w:t>
      </w:r>
      <w:r>
        <w:rPr>
          <w:rFonts w:ascii="仿宋" w:hAnsi="仿宋"/>
          <w:kern w:val="0"/>
          <w:szCs w:val="32"/>
        </w:rPr>
        <w:t xml:space="preserve"> </w:t>
      </w:r>
      <w:r>
        <w:rPr>
          <w:rFonts w:hint="eastAsia" w:ascii="仿宋" w:hAnsi="仿宋"/>
          <w:kern w:val="0"/>
          <w:szCs w:val="32"/>
        </w:rPr>
        <w:t>发行人申请非公开发行公司债券并在本所挂牌，应当符合《公司债券发行与交易管理办法》《挂牌规则》等相关规定，且不存在中国证券业协会《非公开发行公司债券项目承接负面清单》列示情形。</w:t>
      </w:r>
    </w:p>
    <w:p>
      <w:pPr>
        <w:spacing w:line="560" w:lineRule="exact"/>
        <w:ind w:firstLine="632" w:firstLineChars="200"/>
        <w:rPr>
          <w:rFonts w:ascii="仿宋" w:hAnsi="仿宋"/>
          <w:kern w:val="0"/>
          <w:szCs w:val="32"/>
        </w:rPr>
      </w:pPr>
      <w:r>
        <w:rPr>
          <w:rFonts w:hint="eastAsia" w:ascii="仿宋" w:hAnsi="仿宋"/>
          <w:b/>
          <w:kern w:val="0"/>
          <w:szCs w:val="32"/>
        </w:rPr>
        <w:t>第十三条</w:t>
      </w:r>
      <w:r>
        <w:rPr>
          <w:rFonts w:ascii="仿宋" w:hAnsi="仿宋"/>
          <w:kern w:val="0"/>
          <w:szCs w:val="32"/>
        </w:rPr>
        <w:t xml:space="preserve"> </w:t>
      </w:r>
      <w:r>
        <w:rPr>
          <w:rFonts w:hint="eastAsia" w:ascii="仿宋" w:hAnsi="仿宋"/>
          <w:kern w:val="0"/>
          <w:szCs w:val="32"/>
        </w:rPr>
        <w:t>发行人申请非公开发行公司债券并在本所挂牌，应当委托主承销商提交以下申请文件：</w:t>
      </w:r>
    </w:p>
    <w:p>
      <w:pPr>
        <w:spacing w:line="560" w:lineRule="exact"/>
        <w:ind w:firstLine="632" w:firstLineChars="200"/>
        <w:rPr>
          <w:rFonts w:ascii="仿宋" w:hAnsi="仿宋"/>
          <w:kern w:val="0"/>
          <w:szCs w:val="32"/>
        </w:rPr>
      </w:pPr>
      <w:r>
        <w:rPr>
          <w:rFonts w:hint="eastAsia" w:ascii="仿宋" w:hAnsi="仿宋"/>
          <w:kern w:val="0"/>
          <w:szCs w:val="32"/>
        </w:rPr>
        <w:t>（一）募集说明书；</w:t>
      </w:r>
    </w:p>
    <w:p>
      <w:pPr>
        <w:spacing w:line="560" w:lineRule="exact"/>
        <w:ind w:firstLine="632" w:firstLineChars="200"/>
        <w:rPr>
          <w:rFonts w:ascii="仿宋" w:hAnsi="仿宋"/>
          <w:kern w:val="0"/>
          <w:szCs w:val="32"/>
        </w:rPr>
      </w:pPr>
      <w:r>
        <w:rPr>
          <w:rFonts w:hint="eastAsia" w:ascii="仿宋" w:hAnsi="仿宋"/>
          <w:kern w:val="0"/>
          <w:szCs w:val="32"/>
        </w:rPr>
        <w:t>（二）发行人关于本次债券挂牌条件确认的申请书；</w:t>
      </w:r>
    </w:p>
    <w:p>
      <w:pPr>
        <w:spacing w:line="560" w:lineRule="exact"/>
        <w:ind w:firstLine="632" w:firstLineChars="200"/>
        <w:rPr>
          <w:rFonts w:ascii="仿宋" w:hAnsi="仿宋"/>
          <w:kern w:val="0"/>
          <w:szCs w:val="32"/>
        </w:rPr>
      </w:pPr>
      <w:r>
        <w:rPr>
          <w:rFonts w:hint="eastAsia" w:ascii="仿宋" w:hAnsi="仿宋"/>
          <w:kern w:val="0"/>
          <w:szCs w:val="32"/>
        </w:rPr>
        <w:t>（三）发行人董事会、股东会或者股东大会（或者法律法规和公司章程规定的有权机构）关于本次债券挂牌转让的决议；</w:t>
      </w:r>
    </w:p>
    <w:p>
      <w:pPr>
        <w:spacing w:line="560" w:lineRule="exact"/>
        <w:ind w:firstLine="632" w:firstLineChars="200"/>
        <w:rPr>
          <w:rFonts w:ascii="仿宋" w:hAnsi="仿宋"/>
          <w:kern w:val="0"/>
          <w:szCs w:val="32"/>
        </w:rPr>
      </w:pPr>
      <w:r>
        <w:rPr>
          <w:rFonts w:hint="eastAsia" w:ascii="仿宋" w:hAnsi="仿宋"/>
          <w:kern w:val="0"/>
          <w:szCs w:val="32"/>
        </w:rPr>
        <w:t>（四）主承销商核查意见（自行销售非必备）；</w:t>
      </w:r>
    </w:p>
    <w:p>
      <w:pPr>
        <w:spacing w:line="560" w:lineRule="exact"/>
        <w:ind w:firstLine="632" w:firstLineChars="200"/>
        <w:rPr>
          <w:rFonts w:ascii="仿宋" w:hAnsi="仿宋"/>
          <w:kern w:val="0"/>
          <w:szCs w:val="32"/>
        </w:rPr>
      </w:pPr>
      <w:r>
        <w:rPr>
          <w:rFonts w:hint="eastAsia" w:ascii="仿宋" w:hAnsi="仿宋"/>
          <w:kern w:val="0"/>
          <w:szCs w:val="32"/>
        </w:rPr>
        <w:t>（五）法律意见书；</w:t>
      </w:r>
    </w:p>
    <w:p>
      <w:pPr>
        <w:spacing w:line="560" w:lineRule="exact"/>
        <w:ind w:firstLine="632" w:firstLineChars="200"/>
        <w:rPr>
          <w:rFonts w:ascii="仿宋" w:hAnsi="仿宋"/>
          <w:kern w:val="0"/>
          <w:szCs w:val="32"/>
        </w:rPr>
      </w:pPr>
      <w:r>
        <w:rPr>
          <w:rFonts w:hint="eastAsia" w:ascii="仿宋" w:hAnsi="仿宋"/>
          <w:color w:val="000000"/>
          <w:szCs w:val="30"/>
        </w:rPr>
        <w:t>（六）律师关于申请电子文件与预留原件一致的鉴证意见；</w:t>
      </w:r>
    </w:p>
    <w:p>
      <w:pPr>
        <w:spacing w:line="560" w:lineRule="exact"/>
        <w:ind w:firstLine="632" w:firstLineChars="200"/>
        <w:rPr>
          <w:rFonts w:ascii="仿宋" w:hAnsi="仿宋"/>
          <w:kern w:val="0"/>
          <w:szCs w:val="32"/>
        </w:rPr>
      </w:pPr>
      <w:r>
        <w:rPr>
          <w:rFonts w:hint="eastAsia" w:ascii="仿宋" w:hAnsi="仿宋"/>
          <w:kern w:val="0"/>
          <w:szCs w:val="32"/>
        </w:rPr>
        <w:t>（七）发行人营业执照（副本）和公司章程复印件；</w:t>
      </w:r>
    </w:p>
    <w:p>
      <w:pPr>
        <w:spacing w:line="560" w:lineRule="exact"/>
        <w:ind w:firstLine="632" w:firstLineChars="200"/>
        <w:rPr>
          <w:rFonts w:ascii="仿宋" w:hAnsi="仿宋"/>
          <w:kern w:val="0"/>
          <w:szCs w:val="32"/>
        </w:rPr>
      </w:pPr>
      <w:r>
        <w:rPr>
          <w:rFonts w:hint="eastAsia" w:ascii="仿宋" w:hAnsi="仿宋"/>
          <w:kern w:val="0"/>
          <w:szCs w:val="32"/>
        </w:rPr>
        <w:t>（八）发行人最近二年的财务报告和审计报告、最近一期的财务报告或者财务报表（本所上市公司非必备）；</w:t>
      </w:r>
    </w:p>
    <w:p>
      <w:pPr>
        <w:spacing w:line="560" w:lineRule="exact"/>
        <w:ind w:firstLine="632" w:firstLineChars="200"/>
        <w:rPr>
          <w:rFonts w:ascii="仿宋" w:hAnsi="仿宋"/>
          <w:kern w:val="0"/>
          <w:szCs w:val="32"/>
        </w:rPr>
      </w:pPr>
      <w:r>
        <w:rPr>
          <w:rFonts w:hint="eastAsia" w:ascii="仿宋" w:hAnsi="仿宋"/>
          <w:kern w:val="0"/>
          <w:szCs w:val="32"/>
        </w:rPr>
        <w:t>（九）发行人董事会（或者法律法规和公司章程规定的有权机构）、会计师事务所以及注册会计师关于非标准意见审计报告的补充意见（如有）；</w:t>
      </w:r>
    </w:p>
    <w:p>
      <w:pPr>
        <w:adjustRightInd w:val="0"/>
        <w:snapToGrid w:val="0"/>
        <w:spacing w:line="560" w:lineRule="exact"/>
        <w:ind w:firstLine="632" w:firstLineChars="200"/>
        <w:rPr>
          <w:rFonts w:ascii="仿宋" w:hAnsi="仿宋"/>
          <w:color w:val="000000"/>
          <w:szCs w:val="32"/>
        </w:rPr>
      </w:pPr>
      <w:r>
        <w:rPr>
          <w:rFonts w:hint="eastAsia" w:ascii="仿宋" w:hAnsi="仿宋"/>
          <w:color w:val="000000"/>
          <w:szCs w:val="32"/>
        </w:rPr>
        <w:t>（十）</w:t>
      </w:r>
      <w:r>
        <w:rPr>
          <w:rFonts w:hint="eastAsia" w:ascii="仿宋" w:hAnsi="仿宋"/>
          <w:color w:val="000000"/>
          <w:szCs w:val="30"/>
        </w:rPr>
        <w:t>募集资金投向固定资产投资项目的原始合法性文件（如有）</w:t>
      </w:r>
      <w:r>
        <w:rPr>
          <w:rFonts w:hint="eastAsia" w:ascii="仿宋" w:hAnsi="仿宋"/>
          <w:color w:val="000000"/>
          <w:szCs w:val="32"/>
        </w:rPr>
        <w:t>；</w:t>
      </w:r>
    </w:p>
    <w:p>
      <w:pPr>
        <w:adjustRightInd w:val="0"/>
        <w:snapToGrid w:val="0"/>
        <w:spacing w:line="560" w:lineRule="exact"/>
        <w:ind w:firstLine="632" w:firstLineChars="200"/>
        <w:rPr>
          <w:rFonts w:ascii="仿宋" w:hAnsi="仿宋"/>
          <w:color w:val="000000"/>
          <w:szCs w:val="30"/>
        </w:rPr>
      </w:pPr>
      <w:r>
        <w:rPr>
          <w:rFonts w:hint="eastAsia" w:ascii="仿宋" w:hAnsi="仿宋"/>
          <w:color w:val="000000"/>
          <w:szCs w:val="30"/>
        </w:rPr>
        <w:t>（十一）由会计师出具的发行人最近一年资产清单和专项说明（如有）；</w:t>
      </w:r>
    </w:p>
    <w:p>
      <w:pPr>
        <w:adjustRightInd w:val="0"/>
        <w:snapToGrid w:val="0"/>
        <w:spacing w:line="560" w:lineRule="exact"/>
        <w:ind w:firstLine="632" w:firstLineChars="200"/>
        <w:rPr>
          <w:rFonts w:ascii="仿宋" w:hAnsi="仿宋"/>
          <w:color w:val="000000"/>
          <w:szCs w:val="32"/>
        </w:rPr>
      </w:pPr>
      <w:r>
        <w:rPr>
          <w:rFonts w:hint="eastAsia" w:ascii="仿宋" w:hAnsi="仿宋"/>
          <w:color w:val="000000"/>
          <w:szCs w:val="32"/>
        </w:rPr>
        <w:t>（十二）债券受托管理协议；</w:t>
      </w:r>
    </w:p>
    <w:p>
      <w:pPr>
        <w:adjustRightInd w:val="0"/>
        <w:snapToGrid w:val="0"/>
        <w:spacing w:line="560" w:lineRule="exact"/>
        <w:ind w:firstLine="632" w:firstLineChars="200"/>
        <w:rPr>
          <w:rFonts w:ascii="仿宋" w:hAnsi="仿宋"/>
          <w:color w:val="000000"/>
          <w:szCs w:val="32"/>
        </w:rPr>
      </w:pPr>
      <w:r>
        <w:rPr>
          <w:rFonts w:hint="eastAsia" w:ascii="仿宋" w:hAnsi="仿宋"/>
          <w:color w:val="000000"/>
          <w:szCs w:val="32"/>
        </w:rPr>
        <w:t>（十三）债券持有人会议规则；</w:t>
      </w:r>
    </w:p>
    <w:p>
      <w:pPr>
        <w:spacing w:line="560" w:lineRule="exact"/>
        <w:ind w:firstLine="632" w:firstLineChars="200"/>
        <w:rPr>
          <w:rFonts w:ascii="仿宋" w:hAnsi="仿宋"/>
          <w:kern w:val="0"/>
          <w:szCs w:val="32"/>
        </w:rPr>
      </w:pPr>
      <w:r>
        <w:rPr>
          <w:rFonts w:hint="eastAsia" w:ascii="仿宋" w:hAnsi="仿宋"/>
          <w:kern w:val="0"/>
          <w:szCs w:val="32"/>
        </w:rPr>
        <w:t>（十四）资信评级机构为本次发行公司债券出具的资信评级报告（如有）；</w:t>
      </w:r>
    </w:p>
    <w:p>
      <w:pPr>
        <w:spacing w:line="560" w:lineRule="exact"/>
        <w:ind w:firstLine="640"/>
        <w:rPr>
          <w:rFonts w:ascii="仿宋" w:hAnsi="仿宋"/>
          <w:szCs w:val="32"/>
        </w:rPr>
      </w:pPr>
      <w:r>
        <w:rPr>
          <w:rFonts w:hint="eastAsia" w:ascii="仿宋" w:hAnsi="仿宋"/>
          <w:kern w:val="0"/>
          <w:szCs w:val="32"/>
        </w:rPr>
        <w:t>（十五）</w:t>
      </w:r>
      <w:r>
        <w:rPr>
          <w:rFonts w:hint="eastAsia" w:ascii="仿宋" w:hAnsi="仿宋"/>
          <w:szCs w:val="32"/>
        </w:rPr>
        <w:t>本次发行公司债券的担保合同、担保函、担保人就提供担保获得的授权文件（如有）；担保人最近一年的财务报告（注明是否经审计）以及最近一期的财务报告或者财务报表（如有）</w:t>
      </w:r>
      <w:r>
        <w:rPr>
          <w:rFonts w:hint="eastAsia" w:ascii="仿宋" w:hAnsi="仿宋"/>
          <w:kern w:val="0"/>
          <w:szCs w:val="32"/>
        </w:rPr>
        <w:t>；</w:t>
      </w:r>
      <w:r>
        <w:rPr>
          <w:rFonts w:hint="eastAsia" w:ascii="仿宋" w:hAnsi="仿宋"/>
          <w:szCs w:val="32"/>
        </w:rPr>
        <w:t>担保财产的资产评估文件或者其他增信措施文件（如有）；</w:t>
      </w:r>
    </w:p>
    <w:p>
      <w:pPr>
        <w:spacing w:line="560" w:lineRule="exact"/>
        <w:ind w:firstLine="632" w:firstLineChars="200"/>
        <w:rPr>
          <w:rFonts w:ascii="仿宋" w:hAnsi="仿宋"/>
          <w:kern w:val="0"/>
          <w:szCs w:val="32"/>
        </w:rPr>
      </w:pPr>
      <w:r>
        <w:rPr>
          <w:rFonts w:hint="eastAsia" w:ascii="仿宋" w:hAnsi="仿宋"/>
          <w:kern w:val="0"/>
          <w:szCs w:val="32"/>
        </w:rPr>
        <w:t>（十六）</w:t>
      </w:r>
      <w:r>
        <w:rPr>
          <w:rFonts w:hint="eastAsia" w:ascii="仿宋" w:hAnsi="仿宋"/>
          <w:color w:val="000000"/>
          <w:szCs w:val="32"/>
        </w:rPr>
        <w:t>特定行业主管部门出具的监管意见书（如有）</w:t>
      </w:r>
      <w:r>
        <w:rPr>
          <w:rFonts w:hint="eastAsia" w:ascii="仿宋" w:hAnsi="仿宋"/>
          <w:kern w:val="0"/>
          <w:szCs w:val="32"/>
        </w:rPr>
        <w:t>；</w:t>
      </w:r>
    </w:p>
    <w:p>
      <w:pPr>
        <w:spacing w:line="560" w:lineRule="exact"/>
        <w:ind w:firstLine="632" w:firstLineChars="200"/>
        <w:rPr>
          <w:rFonts w:ascii="仿宋" w:hAnsi="仿宋"/>
          <w:kern w:val="0"/>
          <w:szCs w:val="32"/>
        </w:rPr>
      </w:pPr>
      <w:r>
        <w:rPr>
          <w:rFonts w:hint="eastAsia" w:ascii="仿宋" w:hAnsi="仿宋"/>
          <w:kern w:val="0"/>
          <w:szCs w:val="32"/>
        </w:rPr>
        <w:t>（十七）有关主管部门推荐意见（如有）；</w:t>
      </w:r>
    </w:p>
    <w:p>
      <w:pPr>
        <w:spacing w:line="560" w:lineRule="exact"/>
        <w:ind w:firstLine="632" w:firstLineChars="200"/>
        <w:rPr>
          <w:rFonts w:ascii="仿宋" w:hAnsi="仿宋"/>
          <w:kern w:val="0"/>
          <w:szCs w:val="32"/>
        </w:rPr>
      </w:pPr>
      <w:r>
        <w:rPr>
          <w:rFonts w:hint="eastAsia" w:ascii="仿宋" w:hAnsi="仿宋"/>
          <w:kern w:val="0"/>
          <w:szCs w:val="32"/>
        </w:rPr>
        <w:t>（十八）发行人董事、监事和高级管理人员对申请文件真实性、准确性和完整性的确认意见；</w:t>
      </w:r>
    </w:p>
    <w:p>
      <w:pPr>
        <w:spacing w:line="560" w:lineRule="exact"/>
        <w:ind w:firstLine="632" w:firstLineChars="200"/>
        <w:rPr>
          <w:rFonts w:ascii="仿宋" w:hAnsi="仿宋"/>
          <w:kern w:val="0"/>
          <w:szCs w:val="32"/>
        </w:rPr>
      </w:pPr>
      <w:r>
        <w:rPr>
          <w:rFonts w:hint="eastAsia" w:ascii="仿宋" w:hAnsi="仿宋"/>
          <w:kern w:val="0"/>
          <w:szCs w:val="32"/>
        </w:rPr>
        <w:t>（十九）发行人关于申请文件不适用情况的说明（如有）；</w:t>
      </w:r>
    </w:p>
    <w:p>
      <w:pPr>
        <w:spacing w:line="560" w:lineRule="exact"/>
        <w:ind w:firstLine="632" w:firstLineChars="200"/>
        <w:rPr>
          <w:rFonts w:ascii="仿宋" w:hAnsi="仿宋"/>
          <w:kern w:val="0"/>
          <w:szCs w:val="32"/>
        </w:rPr>
      </w:pPr>
      <w:r>
        <w:rPr>
          <w:rFonts w:hint="eastAsia" w:ascii="仿宋" w:hAnsi="仿宋"/>
          <w:kern w:val="0"/>
          <w:szCs w:val="32"/>
        </w:rPr>
        <w:t>（二十）发行人信息披露豁免申请（如有）；</w:t>
      </w:r>
    </w:p>
    <w:p>
      <w:pPr>
        <w:spacing w:line="560" w:lineRule="exact"/>
        <w:ind w:firstLine="632" w:firstLineChars="200"/>
        <w:rPr>
          <w:rFonts w:ascii="仿宋" w:hAnsi="仿宋"/>
          <w:kern w:val="0"/>
          <w:szCs w:val="32"/>
        </w:rPr>
      </w:pPr>
      <w:r>
        <w:rPr>
          <w:rFonts w:hint="eastAsia" w:ascii="仿宋" w:hAnsi="仿宋"/>
          <w:kern w:val="0"/>
          <w:szCs w:val="32"/>
        </w:rPr>
        <w:t>（二十一）发行人和主承销商关于申请电子文件与预留原件一致的承诺函；</w:t>
      </w:r>
    </w:p>
    <w:p>
      <w:pPr>
        <w:spacing w:line="560" w:lineRule="exact"/>
        <w:ind w:firstLine="632" w:firstLineChars="200"/>
        <w:rPr>
          <w:rFonts w:ascii="仿宋" w:hAnsi="仿宋"/>
          <w:kern w:val="0"/>
          <w:szCs w:val="32"/>
        </w:rPr>
      </w:pPr>
      <w:r>
        <w:rPr>
          <w:rFonts w:hint="eastAsia" w:ascii="仿宋" w:hAnsi="仿宋"/>
          <w:kern w:val="0"/>
          <w:szCs w:val="32"/>
        </w:rPr>
        <w:t>（二十二）主承销商关注事项核查对照表；</w:t>
      </w:r>
    </w:p>
    <w:p>
      <w:pPr>
        <w:spacing w:line="560" w:lineRule="exact"/>
        <w:ind w:firstLine="632" w:firstLineChars="200"/>
        <w:rPr>
          <w:rFonts w:ascii="仿宋" w:hAnsi="仿宋"/>
          <w:kern w:val="0"/>
          <w:szCs w:val="32"/>
        </w:rPr>
      </w:pPr>
      <w:r>
        <w:rPr>
          <w:rFonts w:hint="eastAsia" w:ascii="仿宋" w:hAnsi="仿宋"/>
          <w:kern w:val="0"/>
          <w:szCs w:val="32"/>
        </w:rPr>
        <w:t>（二十三）主承销商和项目负责人近两年内承销债券违约情况；</w:t>
      </w:r>
    </w:p>
    <w:p>
      <w:pPr>
        <w:spacing w:line="560" w:lineRule="exact"/>
        <w:ind w:firstLine="632" w:firstLineChars="200"/>
        <w:rPr>
          <w:rFonts w:ascii="仿宋" w:hAnsi="仿宋"/>
          <w:kern w:val="0"/>
          <w:szCs w:val="32"/>
        </w:rPr>
      </w:pPr>
      <w:r>
        <w:rPr>
          <w:rFonts w:hint="eastAsia" w:ascii="仿宋" w:hAnsi="仿宋"/>
          <w:kern w:val="0"/>
          <w:szCs w:val="32"/>
        </w:rPr>
        <w:t>（二十四）发行人、主承销商和证券服务机构联系表；</w:t>
      </w:r>
    </w:p>
    <w:p>
      <w:pPr>
        <w:spacing w:line="560" w:lineRule="exact"/>
        <w:ind w:firstLine="632" w:firstLineChars="200"/>
        <w:rPr>
          <w:rFonts w:ascii="仿宋" w:hAnsi="仿宋"/>
          <w:kern w:val="0"/>
          <w:szCs w:val="32"/>
        </w:rPr>
      </w:pPr>
      <w:r>
        <w:rPr>
          <w:rFonts w:hint="eastAsia" w:ascii="仿宋" w:hAnsi="仿宋"/>
          <w:kern w:val="0"/>
          <w:szCs w:val="32"/>
        </w:rPr>
        <w:t>（二十五）诚信信息查询情况表；</w:t>
      </w:r>
    </w:p>
    <w:p>
      <w:pPr>
        <w:adjustRightInd w:val="0"/>
        <w:snapToGrid w:val="0"/>
        <w:spacing w:line="560" w:lineRule="exact"/>
        <w:ind w:firstLine="632" w:firstLineChars="200"/>
        <w:rPr>
          <w:rFonts w:ascii="仿宋" w:hAnsi="仿宋"/>
          <w:color w:val="000000"/>
          <w:szCs w:val="30"/>
        </w:rPr>
      </w:pPr>
      <w:r>
        <w:rPr>
          <w:rFonts w:hint="eastAsia" w:ascii="仿宋" w:hAnsi="仿宋"/>
          <w:color w:val="000000"/>
          <w:szCs w:val="30"/>
        </w:rPr>
        <w:t>（二十六）本所要求的其他文件。</w:t>
      </w:r>
    </w:p>
    <w:p>
      <w:pPr>
        <w:adjustRightInd w:val="0"/>
        <w:snapToGrid w:val="0"/>
        <w:spacing w:line="560" w:lineRule="exact"/>
        <w:ind w:firstLine="632" w:firstLineChars="200"/>
        <w:rPr>
          <w:rFonts w:ascii="仿宋" w:hAnsi="仿宋"/>
          <w:color w:val="000000"/>
          <w:szCs w:val="30"/>
        </w:rPr>
      </w:pPr>
      <w:r>
        <w:rPr>
          <w:rFonts w:hint="eastAsia" w:ascii="仿宋" w:hAnsi="仿宋"/>
          <w:color w:val="000000"/>
          <w:szCs w:val="30"/>
        </w:rPr>
        <w:t>证券公司非公开发行短期公司债券或者次级公司债券的，无需提交本条第一款第五项、第七项、第八项、第十二项和第十三项文件。</w:t>
      </w:r>
    </w:p>
    <w:p>
      <w:pPr>
        <w:spacing w:line="560" w:lineRule="exact"/>
        <w:ind w:firstLine="641"/>
        <w:rPr>
          <w:rFonts w:ascii="仿宋" w:hAnsi="仿宋"/>
          <w:szCs w:val="32"/>
        </w:rPr>
      </w:pPr>
      <w:r>
        <w:rPr>
          <w:rFonts w:hint="eastAsia" w:ascii="仿宋" w:hAnsi="仿宋"/>
          <w:b/>
          <w:kern w:val="0"/>
          <w:szCs w:val="32"/>
        </w:rPr>
        <w:t>第十四条</w:t>
      </w:r>
      <w:r>
        <w:rPr>
          <w:rFonts w:ascii="仿宋" w:hAnsi="仿宋"/>
          <w:kern w:val="0"/>
          <w:szCs w:val="32"/>
        </w:rPr>
        <w:t xml:space="preserve"> </w:t>
      </w:r>
      <w:r>
        <w:rPr>
          <w:rFonts w:hint="eastAsia" w:ascii="仿宋" w:hAnsi="仿宋"/>
          <w:szCs w:val="32"/>
        </w:rPr>
        <w:t>本所收到申请文件后，在</w:t>
      </w:r>
      <w:r>
        <w:rPr>
          <w:rFonts w:hint="eastAsia" w:ascii="仿宋" w:hAnsi="仿宋"/>
          <w:kern w:val="0"/>
          <w:szCs w:val="32"/>
        </w:rPr>
        <w:t>二</w:t>
      </w:r>
      <w:r>
        <w:rPr>
          <w:rFonts w:hint="eastAsia" w:ascii="仿宋" w:hAnsi="仿宋"/>
          <w:szCs w:val="32"/>
        </w:rPr>
        <w:t>个工作日内对申请文件是否齐备和是否符合规定形式要求进行核对。</w:t>
      </w:r>
    </w:p>
    <w:p>
      <w:pPr>
        <w:spacing w:line="560" w:lineRule="exact"/>
        <w:ind w:firstLine="632" w:firstLineChars="200"/>
        <w:rPr>
          <w:rFonts w:ascii="仿宋" w:hAnsi="仿宋"/>
          <w:kern w:val="0"/>
          <w:szCs w:val="32"/>
        </w:rPr>
      </w:pPr>
      <w:r>
        <w:rPr>
          <w:rFonts w:hint="eastAsia" w:ascii="仿宋" w:hAnsi="仿宋"/>
          <w:kern w:val="0"/>
          <w:szCs w:val="32"/>
        </w:rPr>
        <w:t>申请文件齐备且符合要求的，本所予以受理，并及时告知发行人和主承销商；申请文件不齐备或者不符合要求的，本所一次性告知需补正的事项,发行人、主承销商应当及时予以补正，补正时间最长不得超过三十个工作日。</w:t>
      </w:r>
    </w:p>
    <w:p>
      <w:pPr>
        <w:spacing w:line="560" w:lineRule="exact"/>
        <w:ind w:firstLine="632" w:firstLineChars="200"/>
        <w:rPr>
          <w:rFonts w:ascii="仿宋" w:hAnsi="仿宋"/>
          <w:kern w:val="0"/>
          <w:szCs w:val="32"/>
        </w:rPr>
      </w:pPr>
      <w:r>
        <w:rPr>
          <w:rFonts w:hint="eastAsia" w:ascii="仿宋" w:hAnsi="仿宋"/>
          <w:kern w:val="0"/>
          <w:szCs w:val="32"/>
        </w:rPr>
        <w:t>发行人、主承销商在三十个工作日内提交补正申请材料确有困难的，可以提交延期补正的书面申请，</w:t>
      </w:r>
      <w:r>
        <w:rPr>
          <w:rFonts w:hint="eastAsia" w:ascii="仿宋" w:hAnsi="仿宋"/>
          <w:szCs w:val="32"/>
        </w:rPr>
        <w:t>并说明理由；经本所认可后，可以延长补正时间，但延长时间最长不超过三十个工作日。</w:t>
      </w:r>
    </w:p>
    <w:p>
      <w:pPr>
        <w:spacing w:line="560" w:lineRule="exact"/>
        <w:ind w:firstLine="632" w:firstLineChars="200"/>
        <w:rPr>
          <w:rFonts w:ascii="仿宋" w:hAnsi="仿宋"/>
          <w:kern w:val="0"/>
          <w:szCs w:val="32"/>
        </w:rPr>
      </w:pPr>
      <w:r>
        <w:rPr>
          <w:rFonts w:hint="eastAsia" w:ascii="仿宋" w:hAnsi="仿宋"/>
          <w:kern w:val="0"/>
          <w:szCs w:val="32"/>
        </w:rPr>
        <w:t>发行人补正申请文件的，本所收到申请文件的时间以最终提交补正的时间为准。</w:t>
      </w:r>
    </w:p>
    <w:p>
      <w:pPr>
        <w:spacing w:line="560" w:lineRule="exact"/>
        <w:ind w:firstLine="632" w:firstLineChars="200"/>
        <w:rPr>
          <w:rFonts w:ascii="仿宋" w:hAnsi="仿宋"/>
          <w:kern w:val="0"/>
          <w:szCs w:val="32"/>
        </w:rPr>
      </w:pPr>
      <w:r>
        <w:rPr>
          <w:rFonts w:hint="eastAsia" w:ascii="仿宋" w:hAnsi="仿宋"/>
          <w:b/>
          <w:kern w:val="0"/>
          <w:szCs w:val="32"/>
        </w:rPr>
        <w:t xml:space="preserve">第十五条 </w:t>
      </w:r>
      <w:r>
        <w:rPr>
          <w:rFonts w:hint="eastAsia" w:ascii="仿宋" w:hAnsi="仿宋"/>
          <w:kern w:val="0"/>
          <w:szCs w:val="32"/>
        </w:rPr>
        <w:t>存在下列情形之一的，本所不予受理，并书面告知发行人和主承销商理由：</w:t>
      </w:r>
    </w:p>
    <w:p>
      <w:pPr>
        <w:spacing w:line="560" w:lineRule="exact"/>
        <w:ind w:firstLine="632" w:firstLineChars="200"/>
        <w:rPr>
          <w:rFonts w:ascii="仿宋" w:hAnsi="仿宋"/>
          <w:kern w:val="0"/>
          <w:szCs w:val="32"/>
        </w:rPr>
      </w:pPr>
      <w:r>
        <w:rPr>
          <w:rFonts w:hint="eastAsia" w:ascii="仿宋" w:hAnsi="仿宋"/>
          <w:kern w:val="0"/>
          <w:szCs w:val="32"/>
        </w:rPr>
        <w:t>（一）申请文件不齐备且未按要求补正；</w:t>
      </w:r>
    </w:p>
    <w:p>
      <w:pPr>
        <w:spacing w:line="560" w:lineRule="exact"/>
        <w:ind w:firstLine="632" w:firstLineChars="200"/>
        <w:rPr>
          <w:rFonts w:ascii="仿宋" w:hAnsi="仿宋"/>
          <w:kern w:val="0"/>
          <w:szCs w:val="32"/>
        </w:rPr>
      </w:pPr>
      <w:r>
        <w:rPr>
          <w:rFonts w:hint="eastAsia" w:ascii="仿宋" w:hAnsi="仿宋"/>
          <w:kern w:val="0"/>
          <w:szCs w:val="32"/>
        </w:rPr>
        <w:t>（二）法律法规和本所业务规则规定的其他情形。</w:t>
      </w:r>
    </w:p>
    <w:p>
      <w:pPr>
        <w:spacing w:line="560" w:lineRule="exact"/>
        <w:ind w:firstLine="632" w:firstLineChars="200"/>
        <w:rPr>
          <w:rFonts w:ascii="仿宋" w:hAnsi="仿宋"/>
          <w:kern w:val="0"/>
          <w:szCs w:val="32"/>
        </w:rPr>
      </w:pPr>
      <w:r>
        <w:rPr>
          <w:rFonts w:hint="eastAsia" w:ascii="仿宋" w:hAnsi="仿宋"/>
          <w:b/>
          <w:kern w:val="0"/>
          <w:szCs w:val="32"/>
        </w:rPr>
        <w:t>第十六条</w:t>
      </w:r>
      <w:r>
        <w:rPr>
          <w:rFonts w:ascii="仿宋" w:hAnsi="仿宋"/>
          <w:kern w:val="0"/>
          <w:szCs w:val="32"/>
        </w:rPr>
        <w:t xml:space="preserve"> </w:t>
      </w:r>
      <w:r>
        <w:rPr>
          <w:rFonts w:hint="eastAsia" w:ascii="仿宋" w:hAnsi="仿宋"/>
          <w:kern w:val="0"/>
          <w:szCs w:val="32"/>
        </w:rPr>
        <w:t>本所受理申请文件后，确定两名核对人员，核对人员的确定应当符合本所回避制度规定。核对人员独立核对申请文件，提出关注的主要问题并提交反馈会集体讨论。</w:t>
      </w:r>
    </w:p>
    <w:p>
      <w:pPr>
        <w:spacing w:line="560" w:lineRule="exact"/>
        <w:ind w:firstLine="632" w:firstLineChars="200"/>
        <w:rPr>
          <w:rFonts w:ascii="仿宋" w:hAnsi="仿宋"/>
          <w:kern w:val="0"/>
          <w:szCs w:val="32"/>
        </w:rPr>
      </w:pPr>
      <w:r>
        <w:rPr>
          <w:rFonts w:hint="eastAsia" w:ascii="仿宋" w:hAnsi="仿宋"/>
          <w:b/>
          <w:kern w:val="0"/>
          <w:szCs w:val="32"/>
        </w:rPr>
        <w:t>第十七条</w:t>
      </w:r>
      <w:r>
        <w:rPr>
          <w:rFonts w:ascii="仿宋" w:hAnsi="仿宋"/>
          <w:kern w:val="0"/>
          <w:szCs w:val="32"/>
        </w:rPr>
        <w:t xml:space="preserve"> </w:t>
      </w:r>
      <w:r>
        <w:rPr>
          <w:rFonts w:hint="eastAsia" w:ascii="仿宋" w:hAnsi="仿宋"/>
          <w:kern w:val="0"/>
          <w:szCs w:val="32"/>
        </w:rPr>
        <w:t>反馈会讨论核对过程中关注的主要问题等事项，确定需要发行人、主承销商和证券服务机构补充披露、解释说明和进一步核查落实的问题</w:t>
      </w:r>
      <w:r>
        <w:rPr>
          <w:rFonts w:hint="eastAsia" w:ascii="仿宋" w:hAnsi="仿宋"/>
          <w:szCs w:val="32"/>
        </w:rPr>
        <w:t>，并通过合议方式确定反馈意见</w:t>
      </w:r>
      <w:r>
        <w:rPr>
          <w:rFonts w:hint="eastAsia" w:ascii="仿宋" w:hAnsi="仿宋"/>
          <w:kern w:val="0"/>
          <w:szCs w:val="32"/>
        </w:rPr>
        <w:t>。</w:t>
      </w:r>
    </w:p>
    <w:p>
      <w:pPr>
        <w:spacing w:line="560" w:lineRule="exact"/>
        <w:ind w:firstLine="632" w:firstLineChars="200"/>
        <w:rPr>
          <w:rFonts w:ascii="仿宋" w:hAnsi="仿宋"/>
          <w:kern w:val="0"/>
          <w:sz w:val="36"/>
          <w:szCs w:val="32"/>
        </w:rPr>
      </w:pPr>
      <w:r>
        <w:rPr>
          <w:rFonts w:hint="eastAsia" w:ascii="仿宋" w:hAnsi="仿宋"/>
          <w:kern w:val="0"/>
          <w:szCs w:val="30"/>
        </w:rPr>
        <w:t>反馈会由本所相关人员参加，可以采取现场会议、通讯会议等方式召开。</w:t>
      </w:r>
    </w:p>
    <w:p>
      <w:pPr>
        <w:spacing w:line="560" w:lineRule="exact"/>
        <w:ind w:firstLine="632" w:firstLineChars="200"/>
        <w:rPr>
          <w:rFonts w:ascii="仿宋" w:hAnsi="仿宋"/>
          <w:kern w:val="0"/>
          <w:szCs w:val="32"/>
        </w:rPr>
      </w:pPr>
      <w:r>
        <w:rPr>
          <w:rFonts w:hint="eastAsia" w:ascii="仿宋" w:hAnsi="仿宋"/>
          <w:b/>
          <w:kern w:val="0"/>
          <w:szCs w:val="32"/>
        </w:rPr>
        <w:t>第十八条</w:t>
      </w:r>
      <w:r>
        <w:rPr>
          <w:rFonts w:ascii="仿宋" w:hAnsi="仿宋"/>
          <w:kern w:val="0"/>
          <w:szCs w:val="32"/>
        </w:rPr>
        <w:t xml:space="preserve"> </w:t>
      </w:r>
      <w:r>
        <w:rPr>
          <w:rFonts w:hint="eastAsia" w:ascii="仿宋" w:hAnsi="仿宋"/>
          <w:kern w:val="0"/>
          <w:szCs w:val="32"/>
        </w:rPr>
        <w:t>反馈会讨论认为需要出具反馈意见的，本所</w:t>
      </w:r>
      <w:r>
        <w:rPr>
          <w:rFonts w:hint="eastAsia" w:ascii="仿宋" w:hAnsi="仿宋"/>
          <w:szCs w:val="32"/>
        </w:rPr>
        <w:t>应当自受理申请文件之日起十个工作日内</w:t>
      </w:r>
      <w:r>
        <w:rPr>
          <w:rFonts w:hint="eastAsia" w:ascii="仿宋" w:hAnsi="仿宋"/>
          <w:kern w:val="0"/>
          <w:szCs w:val="32"/>
        </w:rPr>
        <w:t xml:space="preserve">出具反馈意见。 </w:t>
      </w:r>
    </w:p>
    <w:p>
      <w:pPr>
        <w:spacing w:line="560" w:lineRule="exact"/>
        <w:ind w:firstLine="632" w:firstLineChars="200"/>
        <w:rPr>
          <w:rFonts w:ascii="仿宋" w:hAnsi="仿宋"/>
          <w:kern w:val="0"/>
          <w:szCs w:val="32"/>
        </w:rPr>
      </w:pPr>
      <w:r>
        <w:rPr>
          <w:rFonts w:hint="eastAsia" w:ascii="仿宋" w:hAnsi="仿宋"/>
          <w:kern w:val="0"/>
          <w:szCs w:val="32"/>
        </w:rPr>
        <w:t>反馈会讨论认为不需要出具反馈意见的，本所</w:t>
      </w:r>
      <w:r>
        <w:rPr>
          <w:rFonts w:hint="eastAsia" w:ascii="仿宋" w:hAnsi="仿宋"/>
          <w:szCs w:val="32"/>
        </w:rPr>
        <w:t>应当自受理申请文件之日起十个工作日内</w:t>
      </w:r>
      <w:r>
        <w:rPr>
          <w:rFonts w:hint="eastAsia" w:ascii="仿宋" w:hAnsi="仿宋"/>
          <w:kern w:val="0"/>
          <w:szCs w:val="32"/>
        </w:rPr>
        <w:t>通知发行人和主承销商，并自通知之日起五个工作日内召开挂牌工作小组会议进行审议。</w:t>
      </w:r>
    </w:p>
    <w:p>
      <w:pPr>
        <w:spacing w:line="560" w:lineRule="exact"/>
        <w:ind w:firstLine="632" w:firstLineChars="200"/>
        <w:rPr>
          <w:rFonts w:ascii="仿宋" w:hAnsi="仿宋"/>
          <w:kern w:val="0"/>
          <w:szCs w:val="32"/>
        </w:rPr>
      </w:pPr>
      <w:r>
        <w:rPr>
          <w:rFonts w:hint="eastAsia" w:ascii="仿宋" w:hAnsi="仿宋"/>
          <w:b/>
          <w:kern w:val="0"/>
          <w:szCs w:val="32"/>
        </w:rPr>
        <w:t>第十九条</w:t>
      </w:r>
      <w:r>
        <w:rPr>
          <w:rFonts w:ascii="仿宋" w:hAnsi="仿宋"/>
          <w:kern w:val="0"/>
          <w:szCs w:val="32"/>
        </w:rPr>
        <w:t xml:space="preserve"> </w:t>
      </w:r>
      <w:r>
        <w:rPr>
          <w:rFonts w:hint="eastAsia" w:ascii="仿宋" w:hAnsi="仿宋"/>
          <w:kern w:val="0"/>
          <w:szCs w:val="32"/>
        </w:rPr>
        <w:t>自申请文件受理至首次出具反馈意见或者通知无反馈意见期间为静默期，核对人员不得接受发行人、主承销商和证券服务机构等就本次债券挂牌条件确认事宜的来访或者其他形式的沟通。</w:t>
      </w:r>
    </w:p>
    <w:p>
      <w:pPr>
        <w:spacing w:line="560" w:lineRule="exact"/>
        <w:ind w:firstLine="632" w:firstLineChars="200"/>
        <w:rPr>
          <w:rFonts w:ascii="仿宋" w:hAnsi="仿宋"/>
          <w:kern w:val="0"/>
          <w:szCs w:val="32"/>
        </w:rPr>
      </w:pPr>
      <w:r>
        <w:rPr>
          <w:rFonts w:hint="eastAsia" w:ascii="仿宋" w:hAnsi="仿宋"/>
          <w:b/>
          <w:kern w:val="0"/>
          <w:szCs w:val="32"/>
        </w:rPr>
        <w:t>第二十条</w:t>
      </w:r>
      <w:r>
        <w:rPr>
          <w:rFonts w:hint="eastAsia" w:ascii="仿宋" w:hAnsi="仿宋"/>
          <w:kern w:val="0"/>
          <w:szCs w:val="32"/>
        </w:rPr>
        <w:t xml:space="preserve"> 发行人、主承销商和证券服务机构应当按照反馈意见要求进行必要的补充调查或者核查，逐项解释说明相关情况，补充或者修改申请文件，并对回复内容的真实性、准确性、完整性负责。</w:t>
      </w:r>
    </w:p>
    <w:p>
      <w:pPr>
        <w:spacing w:line="560" w:lineRule="exact"/>
        <w:ind w:firstLine="632" w:firstLineChars="200"/>
        <w:rPr>
          <w:rFonts w:ascii="仿宋" w:hAnsi="仿宋"/>
          <w:kern w:val="0"/>
          <w:szCs w:val="32"/>
        </w:rPr>
      </w:pPr>
      <w:r>
        <w:rPr>
          <w:rFonts w:hint="eastAsia" w:ascii="仿宋" w:hAnsi="仿宋"/>
          <w:b/>
          <w:kern w:val="0"/>
          <w:szCs w:val="32"/>
        </w:rPr>
        <w:t xml:space="preserve">第二十一条 </w:t>
      </w:r>
      <w:r>
        <w:rPr>
          <w:rFonts w:hint="eastAsia" w:ascii="仿宋" w:hAnsi="仿宋"/>
          <w:kern w:val="0"/>
          <w:szCs w:val="32"/>
        </w:rPr>
        <w:t>首次反馈意见发出后，发行人、主承销商和证券服务机构对反馈意见和其他相关事项存在疑问的，可以与核对人员在工作时间内通过电话、邮件、传真、会谈等方式进行沟通。以会谈方式进行沟通的，由本所两名以上工作人员在办公场所与来访人员进行现场沟通。</w:t>
      </w:r>
    </w:p>
    <w:p>
      <w:pPr>
        <w:spacing w:line="560" w:lineRule="exact"/>
        <w:ind w:firstLine="632" w:firstLineChars="200"/>
        <w:rPr>
          <w:rFonts w:ascii="仿宋" w:hAnsi="仿宋"/>
          <w:kern w:val="0"/>
          <w:szCs w:val="32"/>
        </w:rPr>
      </w:pPr>
      <w:r>
        <w:rPr>
          <w:rFonts w:hint="eastAsia" w:ascii="仿宋" w:hAnsi="仿宋"/>
          <w:b/>
          <w:kern w:val="0"/>
          <w:szCs w:val="32"/>
        </w:rPr>
        <w:t xml:space="preserve">第二十二条 </w:t>
      </w:r>
      <w:r>
        <w:rPr>
          <w:rFonts w:hint="eastAsia" w:ascii="仿宋" w:hAnsi="仿宋"/>
          <w:kern w:val="0"/>
          <w:szCs w:val="32"/>
        </w:rPr>
        <w:t>发行人和主承销商应当自收到反馈意见之日起三十个工作日内提交反馈意见回复，</w:t>
      </w:r>
      <w:r>
        <w:rPr>
          <w:rFonts w:hint="eastAsia" w:ascii="仿宋" w:hAnsi="仿宋" w:cs="黑体"/>
          <w:bCs/>
          <w:szCs w:val="32"/>
        </w:rPr>
        <w:t>本所另有规定的除外，</w:t>
      </w:r>
      <w:r>
        <w:rPr>
          <w:rFonts w:hint="eastAsia" w:ascii="仿宋" w:hAnsi="仿宋"/>
          <w:kern w:val="0"/>
          <w:szCs w:val="32"/>
        </w:rPr>
        <w:t>并由发行人和主承销商加盖公章；反馈意见回复涉及修改申请文件的，应当同时提交修改后的申请文件和修改说明。</w:t>
      </w:r>
    </w:p>
    <w:p>
      <w:pPr>
        <w:spacing w:line="560" w:lineRule="exact"/>
        <w:ind w:firstLine="632" w:firstLineChars="200"/>
        <w:rPr>
          <w:rFonts w:ascii="仿宋" w:hAnsi="仿宋"/>
          <w:kern w:val="0"/>
          <w:szCs w:val="32"/>
        </w:rPr>
      </w:pPr>
      <w:r>
        <w:rPr>
          <w:rFonts w:hint="eastAsia" w:ascii="仿宋" w:hAnsi="仿宋"/>
          <w:kern w:val="0"/>
          <w:szCs w:val="32"/>
        </w:rPr>
        <w:t>不能在规定时间内提交反馈意见回复的，发行人和主承销商应当在回复期限届满前向本所提交延期回复申请，说明理由。延期回复时间最长不超过三十个工作日。</w:t>
      </w:r>
    </w:p>
    <w:p>
      <w:pPr>
        <w:spacing w:line="560" w:lineRule="exact"/>
        <w:ind w:firstLine="632" w:firstLineChars="200"/>
        <w:rPr>
          <w:rFonts w:ascii="仿宋" w:hAnsi="仿宋"/>
          <w:kern w:val="0"/>
          <w:szCs w:val="32"/>
        </w:rPr>
      </w:pPr>
      <w:r>
        <w:rPr>
          <w:rFonts w:hint="eastAsia" w:ascii="仿宋" w:hAnsi="仿宋"/>
          <w:b/>
          <w:kern w:val="0"/>
          <w:szCs w:val="32"/>
        </w:rPr>
        <w:t>第二十三条</w:t>
      </w:r>
      <w:r>
        <w:rPr>
          <w:rFonts w:hint="eastAsia" w:ascii="仿宋" w:hAnsi="仿宋"/>
          <w:kern w:val="0"/>
          <w:szCs w:val="32"/>
        </w:rPr>
        <w:t xml:space="preserve"> 本所收到发行人、主承销商和证券服务机构提交的反馈意见回复和经修改的申请文件，认为需要继续出具反馈意见的，自收到反馈意见回复之日起十个工作日内再次出具反馈意见；认为反馈意见回复符合要求的，本所自确认反馈意见回复符合要求之日起五个工作日内召开挂牌工作小组会议进行审议。</w:t>
      </w:r>
    </w:p>
    <w:p>
      <w:pPr>
        <w:spacing w:line="560" w:lineRule="exact"/>
        <w:ind w:firstLine="632" w:firstLineChars="200"/>
        <w:rPr>
          <w:rFonts w:ascii="仿宋" w:hAnsi="仿宋"/>
          <w:kern w:val="0"/>
          <w:szCs w:val="32"/>
        </w:rPr>
      </w:pPr>
      <w:r>
        <w:rPr>
          <w:rFonts w:hint="eastAsia" w:ascii="仿宋" w:hAnsi="仿宋"/>
          <w:b/>
          <w:kern w:val="0"/>
          <w:szCs w:val="32"/>
        </w:rPr>
        <w:t>第二十四条</w:t>
      </w:r>
      <w:r>
        <w:rPr>
          <w:rFonts w:hint="eastAsia" w:ascii="仿宋" w:hAnsi="仿宋"/>
          <w:kern w:val="0"/>
          <w:szCs w:val="32"/>
        </w:rPr>
        <w:t xml:space="preserve"> 存在下列情形之一的，本所可以继续出具反馈意见：</w:t>
      </w:r>
    </w:p>
    <w:p>
      <w:pPr>
        <w:spacing w:line="560" w:lineRule="exact"/>
        <w:ind w:firstLine="632" w:firstLineChars="200"/>
        <w:rPr>
          <w:rFonts w:ascii="仿宋" w:hAnsi="仿宋"/>
          <w:kern w:val="0"/>
          <w:szCs w:val="32"/>
        </w:rPr>
      </w:pPr>
      <w:r>
        <w:rPr>
          <w:rFonts w:hint="eastAsia" w:ascii="仿宋" w:hAnsi="仿宋"/>
          <w:kern w:val="0"/>
          <w:szCs w:val="32"/>
        </w:rPr>
        <w:t>（一）反馈意见回复未能针对性地回答反馈意见，或者需要就反馈意见回复继续出具反馈意见的；</w:t>
      </w:r>
    </w:p>
    <w:p>
      <w:pPr>
        <w:spacing w:line="560" w:lineRule="exact"/>
        <w:ind w:firstLine="632" w:firstLineChars="200"/>
        <w:rPr>
          <w:rFonts w:ascii="仿宋" w:hAnsi="仿宋"/>
          <w:kern w:val="0"/>
          <w:szCs w:val="32"/>
        </w:rPr>
      </w:pPr>
      <w:r>
        <w:rPr>
          <w:rFonts w:hint="eastAsia" w:ascii="仿宋" w:hAnsi="仿宋"/>
          <w:kern w:val="0"/>
          <w:szCs w:val="32"/>
        </w:rPr>
        <w:t>（二）挂牌条件确认过程中发生可能对公司债券挂牌条件或者对投资者作出价值判断和投资决策有重大影响的事项；</w:t>
      </w:r>
    </w:p>
    <w:p>
      <w:pPr>
        <w:spacing w:line="560" w:lineRule="exact"/>
        <w:ind w:firstLine="632" w:firstLineChars="200"/>
        <w:rPr>
          <w:rFonts w:ascii="仿宋" w:hAnsi="仿宋"/>
          <w:kern w:val="0"/>
          <w:szCs w:val="32"/>
        </w:rPr>
      </w:pPr>
      <w:r>
        <w:rPr>
          <w:rFonts w:hint="eastAsia" w:ascii="仿宋" w:hAnsi="仿宋"/>
          <w:kern w:val="0"/>
          <w:szCs w:val="32"/>
        </w:rPr>
        <w:t>（三）确需继续出具反馈意见的其他情形。</w:t>
      </w:r>
    </w:p>
    <w:p>
      <w:pPr>
        <w:spacing w:line="560" w:lineRule="exact"/>
        <w:ind w:firstLine="632" w:firstLineChars="200"/>
        <w:rPr>
          <w:rFonts w:ascii="仿宋" w:hAnsi="仿宋"/>
          <w:kern w:val="0"/>
          <w:szCs w:val="32"/>
        </w:rPr>
      </w:pPr>
      <w:r>
        <w:rPr>
          <w:rFonts w:hint="eastAsia" w:ascii="仿宋" w:hAnsi="仿宋"/>
          <w:b/>
          <w:kern w:val="0"/>
          <w:szCs w:val="32"/>
        </w:rPr>
        <w:t xml:space="preserve">第二十五条 </w:t>
      </w:r>
      <w:r>
        <w:rPr>
          <w:rFonts w:hint="eastAsia" w:ascii="仿宋" w:hAnsi="仿宋"/>
          <w:kern w:val="0"/>
          <w:szCs w:val="32"/>
        </w:rPr>
        <w:t>本所可以根据需要，约见问询发行人、主承销商、证券服务机构、增信主体等及其相关人员，调阅与发行和挂牌相关的工作底稿等资料。</w:t>
      </w:r>
    </w:p>
    <w:p>
      <w:pPr>
        <w:spacing w:line="560" w:lineRule="exact"/>
        <w:ind w:firstLine="632" w:firstLineChars="200"/>
        <w:rPr>
          <w:rFonts w:ascii="仿宋" w:hAnsi="仿宋"/>
          <w:kern w:val="0"/>
          <w:szCs w:val="32"/>
        </w:rPr>
      </w:pPr>
    </w:p>
    <w:p>
      <w:pPr>
        <w:pStyle w:val="2"/>
        <w:spacing w:before="0" w:after="0" w:line="560" w:lineRule="exact"/>
        <w:ind w:firstLine="643"/>
        <w:jc w:val="center"/>
        <w:rPr>
          <w:rFonts w:ascii="黑体" w:hAnsi="黑体" w:eastAsia="黑体"/>
          <w:sz w:val="32"/>
        </w:rPr>
      </w:pPr>
      <w:r>
        <w:rPr>
          <w:rFonts w:hint="eastAsia" w:ascii="黑体" w:hAnsi="黑体" w:eastAsia="黑体"/>
          <w:b w:val="0"/>
          <w:sz w:val="32"/>
        </w:rPr>
        <w:t>第三章 挂牌工作小组会议</w:t>
      </w:r>
    </w:p>
    <w:p>
      <w:pPr>
        <w:spacing w:line="560" w:lineRule="exact"/>
        <w:ind w:firstLine="632" w:firstLineChars="200"/>
        <w:rPr>
          <w:rFonts w:ascii="仿宋" w:hAnsi="仿宋"/>
          <w:color w:val="000000"/>
          <w:szCs w:val="32"/>
        </w:rPr>
      </w:pPr>
      <w:r>
        <w:rPr>
          <w:rFonts w:hint="eastAsia" w:ascii="仿宋" w:hAnsi="仿宋"/>
          <w:b/>
          <w:kern w:val="0"/>
          <w:szCs w:val="32"/>
        </w:rPr>
        <w:t xml:space="preserve">第二十六条 </w:t>
      </w:r>
      <w:r>
        <w:rPr>
          <w:rFonts w:hint="eastAsia" w:ascii="仿宋" w:hAnsi="仿宋"/>
          <w:kern w:val="0"/>
          <w:szCs w:val="32"/>
        </w:rPr>
        <w:t>挂牌工作小组由本所相关部门业务人员组成。</w:t>
      </w:r>
      <w:r>
        <w:rPr>
          <w:rFonts w:hint="eastAsia" w:ascii="仿宋" w:hAnsi="仿宋"/>
          <w:color w:val="000000"/>
          <w:szCs w:val="32"/>
        </w:rPr>
        <w:t>挂牌工作小组成员应当具备以下条件：</w:t>
      </w:r>
    </w:p>
    <w:p>
      <w:pPr>
        <w:spacing w:line="560" w:lineRule="exact"/>
        <w:ind w:firstLine="632" w:firstLineChars="200"/>
        <w:rPr>
          <w:rFonts w:ascii="仿宋" w:hAnsi="仿宋"/>
          <w:color w:val="000000"/>
          <w:szCs w:val="32"/>
        </w:rPr>
      </w:pPr>
      <w:r>
        <w:rPr>
          <w:rFonts w:hint="eastAsia" w:ascii="仿宋" w:hAnsi="仿宋"/>
          <w:color w:val="000000"/>
          <w:szCs w:val="32"/>
        </w:rPr>
        <w:t>（一）具有良好的政治思想素质、理论水平和道德修养；</w:t>
      </w:r>
    </w:p>
    <w:p>
      <w:pPr>
        <w:spacing w:line="560" w:lineRule="exact"/>
        <w:ind w:firstLine="632" w:firstLineChars="200"/>
        <w:rPr>
          <w:rFonts w:ascii="仿宋" w:hAnsi="仿宋"/>
          <w:color w:val="000000"/>
          <w:szCs w:val="32"/>
        </w:rPr>
      </w:pPr>
      <w:r>
        <w:rPr>
          <w:rFonts w:hint="eastAsia" w:ascii="仿宋" w:hAnsi="仿宋"/>
          <w:color w:val="000000"/>
          <w:szCs w:val="32"/>
        </w:rPr>
        <w:t>（二）坚持</w:t>
      </w:r>
      <w:r>
        <w:rPr>
          <w:rFonts w:hint="eastAsia" w:ascii="仿宋" w:hAnsi="仿宋"/>
          <w:kern w:val="0"/>
          <w:szCs w:val="32"/>
        </w:rPr>
        <w:t>原则</w:t>
      </w:r>
      <w:r>
        <w:rPr>
          <w:rFonts w:hint="eastAsia" w:ascii="仿宋" w:hAnsi="仿宋"/>
          <w:color w:val="000000"/>
          <w:szCs w:val="32"/>
        </w:rPr>
        <w:t>，公正廉洁</w:t>
      </w:r>
      <w:r>
        <w:rPr>
          <w:rFonts w:hint="eastAsia" w:ascii="仿宋" w:hAnsi="仿宋"/>
          <w:szCs w:val="32"/>
        </w:rPr>
        <w:t>，忠于职守，严格遵守法律法规，以及本所和相关自律组织的业务规则</w:t>
      </w:r>
      <w:r>
        <w:rPr>
          <w:rFonts w:hint="eastAsia" w:ascii="仿宋" w:hAnsi="仿宋"/>
          <w:color w:val="000000"/>
          <w:szCs w:val="32"/>
        </w:rPr>
        <w:t>；</w:t>
      </w:r>
    </w:p>
    <w:p>
      <w:pPr>
        <w:spacing w:line="560" w:lineRule="exact"/>
        <w:ind w:firstLine="632" w:firstLineChars="200"/>
        <w:rPr>
          <w:rFonts w:ascii="仿宋" w:hAnsi="仿宋"/>
          <w:color w:val="000000"/>
          <w:szCs w:val="32"/>
        </w:rPr>
      </w:pPr>
      <w:r>
        <w:rPr>
          <w:rFonts w:hint="eastAsia" w:ascii="仿宋" w:hAnsi="仿宋"/>
          <w:color w:val="000000"/>
          <w:szCs w:val="32"/>
        </w:rPr>
        <w:t>（三）熟悉</w:t>
      </w:r>
      <w:r>
        <w:rPr>
          <w:rFonts w:hint="eastAsia" w:ascii="仿宋" w:hAnsi="仿宋"/>
          <w:kern w:val="0"/>
          <w:szCs w:val="32"/>
        </w:rPr>
        <w:t>公司债券</w:t>
      </w:r>
      <w:r>
        <w:rPr>
          <w:rFonts w:hint="eastAsia" w:ascii="仿宋" w:hAnsi="仿宋"/>
          <w:color w:val="000000"/>
          <w:szCs w:val="32"/>
        </w:rPr>
        <w:t>相关法律法规和本所业务规则；</w:t>
      </w:r>
    </w:p>
    <w:p>
      <w:pPr>
        <w:spacing w:line="560" w:lineRule="exact"/>
        <w:ind w:firstLine="632" w:firstLineChars="200"/>
        <w:rPr>
          <w:rFonts w:ascii="仿宋" w:hAnsi="仿宋"/>
          <w:color w:val="000000"/>
          <w:szCs w:val="32"/>
        </w:rPr>
      </w:pPr>
      <w:r>
        <w:rPr>
          <w:rFonts w:hint="eastAsia" w:ascii="仿宋" w:hAnsi="仿宋"/>
          <w:color w:val="000000"/>
          <w:szCs w:val="32"/>
        </w:rPr>
        <w:t>（四）熟悉</w:t>
      </w:r>
      <w:r>
        <w:rPr>
          <w:rFonts w:hint="eastAsia" w:ascii="仿宋" w:hAnsi="仿宋"/>
          <w:szCs w:val="32"/>
        </w:rPr>
        <w:t>会计、经济、金融、法律等专业知识和公司债券业务实务</w:t>
      </w:r>
      <w:r>
        <w:rPr>
          <w:rFonts w:hint="eastAsia" w:ascii="仿宋" w:hAnsi="仿宋"/>
          <w:color w:val="000000"/>
          <w:szCs w:val="32"/>
        </w:rPr>
        <w:t>；</w:t>
      </w:r>
    </w:p>
    <w:p>
      <w:pPr>
        <w:spacing w:line="560" w:lineRule="exact"/>
        <w:ind w:firstLine="632" w:firstLineChars="200"/>
        <w:rPr>
          <w:rFonts w:ascii="仿宋" w:hAnsi="仿宋"/>
          <w:color w:val="000000"/>
          <w:szCs w:val="32"/>
        </w:rPr>
      </w:pPr>
      <w:r>
        <w:rPr>
          <w:rFonts w:hint="eastAsia" w:ascii="仿宋" w:hAnsi="仿宋"/>
          <w:color w:val="000000"/>
          <w:szCs w:val="32"/>
        </w:rPr>
        <w:t>（五）未</w:t>
      </w:r>
      <w:r>
        <w:rPr>
          <w:rFonts w:hint="eastAsia" w:ascii="仿宋" w:hAnsi="仿宋"/>
          <w:kern w:val="0"/>
          <w:szCs w:val="32"/>
        </w:rPr>
        <w:t>受到影响履行职责的</w:t>
      </w:r>
      <w:r>
        <w:rPr>
          <w:rFonts w:hint="eastAsia" w:ascii="仿宋" w:hAnsi="仿宋"/>
          <w:color w:val="000000"/>
          <w:szCs w:val="32"/>
        </w:rPr>
        <w:t>刑事、行政处罚和相关自律组织的纪律处分；</w:t>
      </w:r>
    </w:p>
    <w:p>
      <w:pPr>
        <w:spacing w:line="560" w:lineRule="exact"/>
        <w:ind w:firstLine="632" w:firstLineChars="200"/>
        <w:rPr>
          <w:rFonts w:ascii="仿宋" w:hAnsi="仿宋"/>
          <w:color w:val="000000"/>
          <w:szCs w:val="32"/>
        </w:rPr>
      </w:pPr>
      <w:r>
        <w:rPr>
          <w:rFonts w:hint="eastAsia" w:ascii="仿宋" w:hAnsi="仿宋"/>
          <w:color w:val="000000"/>
          <w:szCs w:val="32"/>
        </w:rPr>
        <w:t>（六）有二年以上相关工作经验；</w:t>
      </w:r>
    </w:p>
    <w:p>
      <w:pPr>
        <w:spacing w:line="560" w:lineRule="exact"/>
        <w:ind w:firstLine="632" w:firstLineChars="200"/>
        <w:rPr>
          <w:rFonts w:ascii="仿宋" w:hAnsi="仿宋"/>
          <w:color w:val="000000"/>
          <w:szCs w:val="32"/>
        </w:rPr>
      </w:pPr>
      <w:r>
        <w:rPr>
          <w:rFonts w:hint="eastAsia" w:ascii="仿宋" w:hAnsi="仿宋"/>
          <w:color w:val="000000"/>
          <w:szCs w:val="32"/>
        </w:rPr>
        <w:t>（七）本所要求的其他条件。</w:t>
      </w:r>
    </w:p>
    <w:p>
      <w:pPr>
        <w:spacing w:line="560" w:lineRule="exact"/>
        <w:ind w:firstLine="632" w:firstLineChars="200"/>
        <w:rPr>
          <w:rFonts w:ascii="仿宋" w:hAnsi="仿宋"/>
          <w:color w:val="000000"/>
          <w:szCs w:val="32"/>
        </w:rPr>
      </w:pPr>
      <w:r>
        <w:rPr>
          <w:rFonts w:hint="eastAsia" w:ascii="仿宋" w:hAnsi="仿宋"/>
          <w:b/>
          <w:kern w:val="0"/>
          <w:szCs w:val="32"/>
        </w:rPr>
        <w:t xml:space="preserve">第二十七条 </w:t>
      </w:r>
      <w:r>
        <w:rPr>
          <w:rFonts w:hint="eastAsia" w:ascii="仿宋" w:hAnsi="仿宋"/>
          <w:color w:val="000000"/>
          <w:szCs w:val="32"/>
        </w:rPr>
        <w:t>挂牌工作小组成员存在下列情形之一的，不得再担任挂牌工作小组成员：</w:t>
      </w:r>
    </w:p>
    <w:p>
      <w:pPr>
        <w:spacing w:line="560" w:lineRule="exact"/>
        <w:ind w:firstLine="632" w:firstLineChars="200"/>
        <w:rPr>
          <w:rFonts w:ascii="仿宋" w:hAnsi="仿宋"/>
          <w:color w:val="000000"/>
          <w:szCs w:val="32"/>
        </w:rPr>
      </w:pPr>
      <w:r>
        <w:rPr>
          <w:rFonts w:hint="eastAsia" w:ascii="仿宋" w:hAnsi="仿宋"/>
          <w:color w:val="000000"/>
          <w:szCs w:val="32"/>
        </w:rPr>
        <w:t>（一）不</w:t>
      </w:r>
      <w:r>
        <w:rPr>
          <w:rFonts w:hint="eastAsia" w:ascii="仿宋" w:hAnsi="仿宋"/>
          <w:kern w:val="0"/>
          <w:szCs w:val="32"/>
        </w:rPr>
        <w:t>符合</w:t>
      </w:r>
      <w:r>
        <w:rPr>
          <w:rFonts w:hint="eastAsia" w:ascii="仿宋" w:hAnsi="仿宋"/>
          <w:color w:val="000000"/>
          <w:szCs w:val="32"/>
        </w:rPr>
        <w:t>本指引规定的条件；</w:t>
      </w:r>
    </w:p>
    <w:p>
      <w:pPr>
        <w:spacing w:line="560" w:lineRule="exact"/>
        <w:ind w:firstLine="632" w:firstLineChars="200"/>
        <w:rPr>
          <w:rFonts w:ascii="仿宋" w:hAnsi="仿宋"/>
          <w:color w:val="000000"/>
          <w:szCs w:val="32"/>
        </w:rPr>
      </w:pPr>
      <w:r>
        <w:rPr>
          <w:rFonts w:hint="eastAsia" w:ascii="仿宋" w:hAnsi="仿宋"/>
          <w:szCs w:val="32"/>
        </w:rPr>
        <w:t>（二）严重违反本指引相关规定</w:t>
      </w:r>
      <w:r>
        <w:rPr>
          <w:rFonts w:hint="eastAsia" w:ascii="仿宋" w:hAnsi="仿宋"/>
          <w:color w:val="000000"/>
          <w:szCs w:val="32"/>
        </w:rPr>
        <w:t>；</w:t>
      </w:r>
    </w:p>
    <w:p>
      <w:pPr>
        <w:spacing w:line="560" w:lineRule="exact"/>
        <w:ind w:firstLine="632" w:firstLineChars="200"/>
        <w:rPr>
          <w:rFonts w:ascii="仿宋" w:hAnsi="仿宋"/>
          <w:color w:val="000000"/>
          <w:szCs w:val="32"/>
        </w:rPr>
      </w:pPr>
      <w:r>
        <w:rPr>
          <w:rFonts w:hint="eastAsia" w:ascii="仿宋" w:hAnsi="仿宋"/>
          <w:color w:val="000000"/>
          <w:szCs w:val="32"/>
        </w:rPr>
        <w:t>（三）二次无故不参加挂牌工作小组会议；</w:t>
      </w:r>
    </w:p>
    <w:p>
      <w:pPr>
        <w:spacing w:line="560" w:lineRule="exact"/>
        <w:ind w:firstLine="632" w:firstLineChars="200"/>
        <w:rPr>
          <w:rFonts w:ascii="仿宋" w:hAnsi="仿宋"/>
          <w:color w:val="000000"/>
          <w:szCs w:val="32"/>
        </w:rPr>
      </w:pPr>
      <w:r>
        <w:rPr>
          <w:rFonts w:hint="eastAsia" w:ascii="仿宋" w:hAnsi="仿宋"/>
          <w:color w:val="000000"/>
          <w:szCs w:val="32"/>
        </w:rPr>
        <w:t>（四）本人提出书面辞职申请；</w:t>
      </w:r>
    </w:p>
    <w:p>
      <w:pPr>
        <w:spacing w:line="560" w:lineRule="exact"/>
        <w:ind w:firstLine="632" w:firstLineChars="200"/>
        <w:rPr>
          <w:rFonts w:ascii="仿宋" w:hAnsi="仿宋"/>
          <w:color w:val="000000"/>
          <w:szCs w:val="32"/>
        </w:rPr>
      </w:pPr>
      <w:r>
        <w:rPr>
          <w:rFonts w:hint="eastAsia" w:ascii="仿宋" w:hAnsi="仿宋"/>
          <w:color w:val="000000"/>
          <w:szCs w:val="32"/>
        </w:rPr>
        <w:t>（五）因</w:t>
      </w:r>
      <w:r>
        <w:rPr>
          <w:rFonts w:hint="eastAsia" w:ascii="仿宋" w:hAnsi="仿宋"/>
          <w:kern w:val="0"/>
          <w:szCs w:val="32"/>
        </w:rPr>
        <w:t>工作</w:t>
      </w:r>
      <w:r>
        <w:rPr>
          <w:rFonts w:hint="eastAsia" w:ascii="仿宋" w:hAnsi="仿宋"/>
          <w:color w:val="000000"/>
          <w:szCs w:val="32"/>
        </w:rPr>
        <w:t>变动等原因不宜继续担任挂牌工作小组成员；</w:t>
      </w:r>
    </w:p>
    <w:p>
      <w:pPr>
        <w:spacing w:line="560" w:lineRule="exact"/>
        <w:ind w:firstLine="632" w:firstLineChars="200"/>
        <w:rPr>
          <w:rFonts w:ascii="仿宋" w:hAnsi="仿宋"/>
          <w:color w:val="000000"/>
          <w:szCs w:val="32"/>
        </w:rPr>
      </w:pPr>
      <w:r>
        <w:rPr>
          <w:rFonts w:hint="eastAsia" w:ascii="仿宋" w:hAnsi="仿宋"/>
          <w:color w:val="000000"/>
          <w:szCs w:val="32"/>
        </w:rPr>
        <w:t>（六）本所认为不适合担任挂牌工作小组成员的其他情形。</w:t>
      </w:r>
    </w:p>
    <w:p>
      <w:pPr>
        <w:spacing w:line="560" w:lineRule="exact"/>
        <w:ind w:firstLine="632" w:firstLineChars="200"/>
        <w:rPr>
          <w:rFonts w:ascii="仿宋" w:hAnsi="仿宋"/>
          <w:szCs w:val="32"/>
        </w:rPr>
      </w:pPr>
      <w:r>
        <w:rPr>
          <w:rFonts w:hint="eastAsia" w:ascii="仿宋" w:hAnsi="仿宋"/>
          <w:szCs w:val="32"/>
        </w:rPr>
        <w:t>挂牌工作小组成员涉嫌违反法律法规等受到调查的，调查期间本所可以暂停其参加挂牌工作小组会议。</w:t>
      </w:r>
    </w:p>
    <w:p>
      <w:pPr>
        <w:pStyle w:val="30"/>
        <w:spacing w:line="560" w:lineRule="exact"/>
        <w:ind w:firstLine="634"/>
        <w:jc w:val="left"/>
        <w:rPr>
          <w:rFonts w:ascii="仿宋" w:hAnsi="仿宋"/>
          <w:szCs w:val="32"/>
        </w:rPr>
      </w:pPr>
      <w:r>
        <w:rPr>
          <w:rFonts w:hint="eastAsia" w:ascii="仿宋" w:hAnsi="仿宋"/>
          <w:b/>
          <w:kern w:val="0"/>
          <w:szCs w:val="32"/>
        </w:rPr>
        <w:t xml:space="preserve">第二十八条 </w:t>
      </w:r>
      <w:r>
        <w:rPr>
          <w:rFonts w:hint="eastAsia" w:ascii="仿宋" w:hAnsi="仿宋"/>
          <w:szCs w:val="32"/>
        </w:rPr>
        <w:t>挂牌工作小组会议履行下列职责：</w:t>
      </w:r>
    </w:p>
    <w:p>
      <w:pPr>
        <w:pStyle w:val="28"/>
        <w:spacing w:line="560" w:lineRule="exact"/>
        <w:ind w:firstLine="632"/>
        <w:rPr>
          <w:rFonts w:ascii="仿宋" w:hAnsi="仿宋" w:eastAsia="仿宋"/>
          <w:sz w:val="32"/>
          <w:szCs w:val="32"/>
        </w:rPr>
      </w:pPr>
      <w:r>
        <w:rPr>
          <w:rFonts w:hint="eastAsia" w:ascii="仿宋" w:hAnsi="仿宋" w:eastAsia="仿宋"/>
          <w:sz w:val="32"/>
          <w:szCs w:val="32"/>
        </w:rPr>
        <w:t xml:space="preserve">（一）对申请文件和核对报告进行审议，重点关注反馈意见及其回复和其他重大问题，以合议的方式对公司债券是否符合挂牌条件等事宜作出决定，形成审议意见； </w:t>
      </w:r>
    </w:p>
    <w:p>
      <w:pPr>
        <w:pStyle w:val="28"/>
        <w:spacing w:line="560" w:lineRule="exact"/>
        <w:ind w:firstLine="632"/>
        <w:rPr>
          <w:rFonts w:ascii="仿宋" w:hAnsi="仿宋" w:eastAsia="仿宋"/>
          <w:sz w:val="32"/>
          <w:szCs w:val="32"/>
        </w:rPr>
      </w:pPr>
      <w:r>
        <w:rPr>
          <w:rFonts w:hint="eastAsia" w:ascii="仿宋" w:hAnsi="仿宋" w:eastAsia="仿宋"/>
          <w:sz w:val="32"/>
          <w:szCs w:val="32"/>
        </w:rPr>
        <w:t>（二）本所规定的其他职责。</w:t>
      </w:r>
    </w:p>
    <w:p>
      <w:pPr>
        <w:spacing w:line="560" w:lineRule="exact"/>
        <w:ind w:firstLine="632" w:firstLineChars="200"/>
        <w:rPr>
          <w:rFonts w:ascii="仿宋" w:hAnsi="仿宋"/>
          <w:color w:val="000000"/>
          <w:szCs w:val="32"/>
        </w:rPr>
      </w:pPr>
      <w:r>
        <w:rPr>
          <w:rFonts w:hint="eastAsia" w:ascii="仿宋" w:hAnsi="仿宋"/>
          <w:b/>
          <w:kern w:val="0"/>
          <w:szCs w:val="32"/>
        </w:rPr>
        <w:t xml:space="preserve">第二十九条 </w:t>
      </w:r>
      <w:r>
        <w:rPr>
          <w:rFonts w:hint="eastAsia" w:ascii="仿宋" w:hAnsi="仿宋"/>
          <w:color w:val="000000"/>
          <w:szCs w:val="32"/>
        </w:rPr>
        <w:t>挂牌工作小组成员</w:t>
      </w:r>
      <w:r>
        <w:rPr>
          <w:rFonts w:hint="eastAsia" w:ascii="仿宋" w:hAnsi="仿宋"/>
          <w:szCs w:val="32"/>
        </w:rPr>
        <w:t>在履职过程中，应当遵守下列规定：</w:t>
      </w:r>
    </w:p>
    <w:p>
      <w:pPr>
        <w:spacing w:line="560" w:lineRule="exact"/>
        <w:ind w:firstLine="632" w:firstLineChars="200"/>
        <w:rPr>
          <w:rFonts w:ascii="仿宋" w:hAnsi="仿宋"/>
          <w:color w:val="000000"/>
          <w:szCs w:val="32"/>
        </w:rPr>
      </w:pPr>
      <w:r>
        <w:rPr>
          <w:rFonts w:hint="eastAsia" w:ascii="仿宋" w:hAnsi="仿宋"/>
          <w:color w:val="000000"/>
          <w:szCs w:val="32"/>
        </w:rPr>
        <w:t>（一）</w:t>
      </w:r>
      <w:r>
        <w:rPr>
          <w:rFonts w:hint="eastAsia" w:ascii="仿宋" w:hAnsi="仿宋"/>
          <w:szCs w:val="32"/>
        </w:rPr>
        <w:t>保证足够的时间和精力参与挂牌工作小组会议</w:t>
      </w:r>
      <w:r>
        <w:rPr>
          <w:rFonts w:hint="eastAsia" w:ascii="仿宋" w:hAnsi="仿宋"/>
          <w:color w:val="000000"/>
          <w:szCs w:val="32"/>
        </w:rPr>
        <w:t>；</w:t>
      </w:r>
    </w:p>
    <w:p>
      <w:pPr>
        <w:spacing w:line="560" w:lineRule="exact"/>
        <w:ind w:firstLine="632" w:firstLineChars="200"/>
        <w:rPr>
          <w:rFonts w:ascii="仿宋" w:hAnsi="仿宋"/>
          <w:color w:val="000000"/>
          <w:szCs w:val="32"/>
        </w:rPr>
      </w:pPr>
      <w:r>
        <w:rPr>
          <w:rFonts w:hint="eastAsia" w:ascii="仿宋" w:hAnsi="仿宋"/>
          <w:color w:val="000000"/>
          <w:szCs w:val="32"/>
        </w:rPr>
        <w:t>（二）按时参加挂牌工作小组会议，</w:t>
      </w:r>
      <w:r>
        <w:rPr>
          <w:rFonts w:hint="eastAsia" w:ascii="仿宋" w:hAnsi="仿宋"/>
          <w:szCs w:val="32"/>
        </w:rPr>
        <w:t>依法依规、独立、客观、</w:t>
      </w:r>
      <w:r>
        <w:rPr>
          <w:rFonts w:hint="eastAsia" w:ascii="仿宋" w:hAnsi="仿宋"/>
          <w:color w:val="000000"/>
          <w:szCs w:val="32"/>
        </w:rPr>
        <w:t>公正地发表意见；</w:t>
      </w:r>
    </w:p>
    <w:p>
      <w:pPr>
        <w:spacing w:line="560" w:lineRule="exact"/>
        <w:ind w:firstLine="632" w:firstLineChars="200"/>
        <w:rPr>
          <w:rFonts w:ascii="仿宋" w:hAnsi="仿宋"/>
          <w:color w:val="000000"/>
          <w:szCs w:val="32"/>
        </w:rPr>
      </w:pPr>
      <w:r>
        <w:rPr>
          <w:rFonts w:hint="eastAsia" w:ascii="仿宋" w:hAnsi="仿宋"/>
          <w:color w:val="000000"/>
          <w:szCs w:val="32"/>
        </w:rPr>
        <w:t>（三）不得与其他挂牌工作小组成员串通发表意见，不得诱导或者影响其他挂牌工作小组成员独立判断;</w:t>
      </w:r>
    </w:p>
    <w:p>
      <w:pPr>
        <w:spacing w:line="560" w:lineRule="exact"/>
        <w:ind w:firstLine="632" w:firstLineChars="200"/>
        <w:rPr>
          <w:rFonts w:ascii="仿宋" w:hAnsi="仿宋"/>
          <w:color w:val="000000"/>
          <w:szCs w:val="32"/>
        </w:rPr>
      </w:pPr>
      <w:r>
        <w:rPr>
          <w:rFonts w:hint="eastAsia" w:ascii="仿宋" w:hAnsi="仿宋"/>
          <w:kern w:val="0"/>
          <w:szCs w:val="32"/>
        </w:rPr>
        <w:t>（四）保守国家秘密和发行人的商业秘密，不得将挂牌工作小组会议讨论内容、合议情况和其他有关信息泄露或者透露给任何第三方</w:t>
      </w:r>
      <w:r>
        <w:rPr>
          <w:rFonts w:hint="eastAsia" w:ascii="仿宋" w:hAnsi="仿宋"/>
          <w:color w:val="000000"/>
          <w:szCs w:val="32"/>
        </w:rPr>
        <w:t>；</w:t>
      </w:r>
      <w:r>
        <w:rPr>
          <w:rFonts w:ascii="仿宋" w:hAnsi="仿宋"/>
          <w:color w:val="000000"/>
          <w:szCs w:val="32"/>
        </w:rPr>
        <w:t xml:space="preserve"> </w:t>
      </w:r>
    </w:p>
    <w:p>
      <w:pPr>
        <w:spacing w:line="560" w:lineRule="exact"/>
        <w:ind w:firstLine="632" w:firstLineChars="200"/>
        <w:rPr>
          <w:rFonts w:ascii="仿宋" w:hAnsi="仿宋"/>
          <w:color w:val="000000"/>
          <w:szCs w:val="32"/>
        </w:rPr>
      </w:pPr>
      <w:r>
        <w:rPr>
          <w:rFonts w:hint="eastAsia" w:ascii="仿宋" w:hAnsi="仿宋"/>
          <w:color w:val="000000"/>
          <w:szCs w:val="32"/>
        </w:rPr>
        <w:t>（五）不得利用挂牌工作小组成员身份或者在履行职责时获取的未公开信息，为本人、他人直接或者间接谋取利益；</w:t>
      </w:r>
    </w:p>
    <w:p>
      <w:pPr>
        <w:spacing w:line="560" w:lineRule="exact"/>
        <w:ind w:firstLine="632" w:firstLineChars="200"/>
        <w:rPr>
          <w:rFonts w:ascii="仿宋" w:hAnsi="仿宋"/>
          <w:color w:val="000000"/>
          <w:szCs w:val="32"/>
        </w:rPr>
      </w:pPr>
      <w:r>
        <w:rPr>
          <w:rFonts w:hint="eastAsia" w:ascii="仿宋" w:hAnsi="仿宋"/>
          <w:color w:val="000000"/>
          <w:szCs w:val="32"/>
        </w:rPr>
        <w:t>（六）不得私下接触发行人及其董事、监事、高级管理人员，以及主承销商、证券服务机构等</w:t>
      </w:r>
      <w:r>
        <w:rPr>
          <w:rFonts w:hint="eastAsia" w:ascii="仿宋" w:hAnsi="仿宋"/>
          <w:szCs w:val="32"/>
        </w:rPr>
        <w:t>与本次挂牌工作有关的主体</w:t>
      </w:r>
      <w:r>
        <w:rPr>
          <w:rFonts w:hint="eastAsia" w:ascii="仿宋" w:hAnsi="仿宋"/>
          <w:color w:val="000000"/>
          <w:szCs w:val="32"/>
        </w:rPr>
        <w:t>及其相关人员，也不得直接或者间接接受前述单位、个人提供的资金、礼品和其他利益；</w:t>
      </w:r>
      <w:r>
        <w:rPr>
          <w:rFonts w:ascii="仿宋" w:hAnsi="仿宋"/>
          <w:color w:val="000000"/>
          <w:szCs w:val="32"/>
        </w:rPr>
        <w:t xml:space="preserve"> </w:t>
      </w:r>
    </w:p>
    <w:p>
      <w:pPr>
        <w:spacing w:line="560" w:lineRule="exact"/>
        <w:ind w:firstLine="632" w:firstLineChars="200"/>
        <w:rPr>
          <w:rFonts w:ascii="仿宋" w:hAnsi="仿宋"/>
          <w:szCs w:val="32"/>
        </w:rPr>
      </w:pPr>
      <w:r>
        <w:rPr>
          <w:rFonts w:hint="eastAsia" w:ascii="仿宋" w:hAnsi="仿宋"/>
          <w:szCs w:val="32"/>
        </w:rPr>
        <w:t>（七）及时向本所报告影响或者可能影响其公正履职、干扰其正常履职的事项；</w:t>
      </w:r>
    </w:p>
    <w:p>
      <w:pPr>
        <w:spacing w:line="560" w:lineRule="exact"/>
        <w:ind w:firstLine="632" w:firstLineChars="200"/>
        <w:rPr>
          <w:rFonts w:ascii="仿宋" w:hAnsi="仿宋"/>
          <w:color w:val="000000"/>
          <w:szCs w:val="32"/>
        </w:rPr>
      </w:pPr>
      <w:r>
        <w:rPr>
          <w:rFonts w:hint="eastAsia" w:ascii="仿宋" w:hAnsi="仿宋"/>
          <w:szCs w:val="32"/>
        </w:rPr>
        <w:t>（八）及时向本所报告不符合本指引第二十六条第五项规定的情形，以及其他可能对其职业声誉造成重大影响的事项；</w:t>
      </w:r>
    </w:p>
    <w:p>
      <w:pPr>
        <w:spacing w:line="560" w:lineRule="exact"/>
        <w:ind w:firstLine="632" w:firstLineChars="200"/>
        <w:rPr>
          <w:rFonts w:ascii="仿宋" w:hAnsi="仿宋"/>
          <w:b/>
          <w:kern w:val="0"/>
          <w:szCs w:val="32"/>
        </w:rPr>
      </w:pPr>
      <w:r>
        <w:rPr>
          <w:rFonts w:hint="eastAsia" w:ascii="仿宋" w:hAnsi="仿宋"/>
          <w:color w:val="000000"/>
          <w:szCs w:val="32"/>
        </w:rPr>
        <w:t>（九）本所规定的其他要求。</w:t>
      </w:r>
    </w:p>
    <w:p>
      <w:pPr>
        <w:pStyle w:val="4"/>
        <w:spacing w:line="560" w:lineRule="exact"/>
        <w:ind w:firstLine="632" w:firstLineChars="200"/>
        <w:rPr>
          <w:rFonts w:ascii="仿宋" w:hAnsi="仿宋"/>
          <w:kern w:val="0"/>
          <w:szCs w:val="32"/>
        </w:rPr>
      </w:pPr>
      <w:r>
        <w:rPr>
          <w:rFonts w:hint="eastAsia" w:ascii="仿宋" w:hAnsi="仿宋"/>
          <w:b/>
          <w:kern w:val="0"/>
          <w:szCs w:val="32"/>
        </w:rPr>
        <w:t xml:space="preserve">第三十条 </w:t>
      </w:r>
      <w:r>
        <w:rPr>
          <w:rFonts w:hint="eastAsia" w:ascii="仿宋" w:hAnsi="仿宋"/>
          <w:kern w:val="0"/>
          <w:szCs w:val="32"/>
        </w:rPr>
        <w:t>挂牌工作小组会议可以采取现场会议、通讯会议等方式进行。</w:t>
      </w:r>
    </w:p>
    <w:p>
      <w:pPr>
        <w:spacing w:line="560" w:lineRule="exact"/>
        <w:ind w:firstLine="632" w:firstLineChars="200"/>
        <w:rPr>
          <w:rFonts w:ascii="仿宋" w:hAnsi="仿宋"/>
          <w:szCs w:val="32"/>
          <w:lang w:bidi="en-US"/>
        </w:rPr>
      </w:pPr>
      <w:r>
        <w:rPr>
          <w:rFonts w:hint="eastAsia" w:ascii="仿宋" w:hAnsi="仿宋"/>
          <w:b/>
          <w:kern w:val="0"/>
          <w:szCs w:val="32"/>
        </w:rPr>
        <w:t xml:space="preserve">第三十一条 </w:t>
      </w:r>
      <w:r>
        <w:rPr>
          <w:rFonts w:hint="eastAsia" w:ascii="仿宋" w:hAnsi="仿宋"/>
          <w:kern w:val="0"/>
          <w:szCs w:val="32"/>
        </w:rPr>
        <w:t>挂牌工作小组会议由五名挂牌工作小组成员参加。</w:t>
      </w:r>
      <w:r>
        <w:rPr>
          <w:rFonts w:hint="eastAsia" w:ascii="仿宋" w:hAnsi="仿宋"/>
          <w:szCs w:val="32"/>
          <w:lang w:bidi="en-US"/>
        </w:rPr>
        <w:t>本所依照公平公正的原则抽选参会挂牌工作小组成员。</w:t>
      </w:r>
    </w:p>
    <w:p>
      <w:pPr>
        <w:spacing w:line="560" w:lineRule="exact"/>
        <w:ind w:firstLine="632" w:firstLineChars="200"/>
        <w:rPr>
          <w:rFonts w:ascii="仿宋" w:hAnsi="仿宋"/>
          <w:kern w:val="0"/>
          <w:szCs w:val="32"/>
        </w:rPr>
      </w:pPr>
      <w:r>
        <w:rPr>
          <w:rFonts w:hint="eastAsia" w:ascii="仿宋" w:hAnsi="仿宋"/>
          <w:szCs w:val="32"/>
          <w:lang w:bidi="en-US"/>
        </w:rPr>
        <w:t>参会的挂牌工作小组成员应当签署承诺书，确认遵守相关要求。</w:t>
      </w:r>
    </w:p>
    <w:p>
      <w:pPr>
        <w:spacing w:line="560" w:lineRule="exact"/>
        <w:ind w:firstLine="632" w:firstLineChars="200"/>
        <w:rPr>
          <w:rFonts w:ascii="仿宋" w:hAnsi="仿宋"/>
          <w:kern w:val="0"/>
          <w:szCs w:val="32"/>
        </w:rPr>
      </w:pPr>
      <w:r>
        <w:rPr>
          <w:rFonts w:hint="eastAsia" w:ascii="仿宋" w:hAnsi="仿宋"/>
          <w:b/>
          <w:kern w:val="0"/>
          <w:szCs w:val="32"/>
        </w:rPr>
        <w:t xml:space="preserve">第三十二条 </w:t>
      </w:r>
      <w:r>
        <w:rPr>
          <w:rFonts w:hint="eastAsia" w:ascii="仿宋" w:hAnsi="仿宋"/>
          <w:kern w:val="0"/>
          <w:szCs w:val="32"/>
        </w:rPr>
        <w:t>发行人</w:t>
      </w:r>
      <w:r>
        <w:rPr>
          <w:rFonts w:hint="eastAsia" w:ascii="仿宋" w:hAnsi="仿宋"/>
          <w:szCs w:val="32"/>
        </w:rPr>
        <w:t>及其董事、监事、高级管理人员，以及</w:t>
      </w:r>
      <w:r>
        <w:rPr>
          <w:rFonts w:hint="eastAsia" w:ascii="仿宋" w:hAnsi="仿宋"/>
          <w:kern w:val="0"/>
          <w:szCs w:val="32"/>
        </w:rPr>
        <w:t>主承销商、证券服务机构等</w:t>
      </w:r>
      <w:r>
        <w:rPr>
          <w:rFonts w:hint="eastAsia" w:ascii="仿宋" w:hAnsi="仿宋"/>
          <w:szCs w:val="32"/>
        </w:rPr>
        <w:t>与本次挂牌工作有关的主体</w:t>
      </w:r>
      <w:r>
        <w:rPr>
          <w:rFonts w:hint="eastAsia" w:ascii="仿宋" w:hAnsi="仿宋"/>
          <w:kern w:val="0"/>
          <w:szCs w:val="32"/>
        </w:rPr>
        <w:t>及其相关人员，不得直接或者间接以不正当手段影响挂牌工作小组成员的专业判断，或者以其他方式干扰挂牌工作小组成员审议。</w:t>
      </w:r>
    </w:p>
    <w:p>
      <w:pPr>
        <w:spacing w:line="560" w:lineRule="exact"/>
        <w:ind w:firstLine="632" w:firstLineChars="200"/>
        <w:rPr>
          <w:rFonts w:ascii="仿宋" w:hAnsi="仿宋"/>
          <w:kern w:val="0"/>
          <w:szCs w:val="32"/>
        </w:rPr>
      </w:pPr>
      <w:r>
        <w:rPr>
          <w:rFonts w:hint="eastAsia" w:ascii="仿宋" w:hAnsi="仿宋"/>
          <w:b/>
          <w:kern w:val="0"/>
          <w:szCs w:val="32"/>
        </w:rPr>
        <w:t>第三十三条</w:t>
      </w:r>
      <w:r>
        <w:rPr>
          <w:rFonts w:ascii="仿宋" w:hAnsi="仿宋"/>
          <w:kern w:val="0"/>
          <w:szCs w:val="32"/>
        </w:rPr>
        <w:t xml:space="preserve"> </w:t>
      </w:r>
      <w:r>
        <w:rPr>
          <w:rFonts w:hint="eastAsia" w:ascii="仿宋" w:hAnsi="仿宋"/>
          <w:kern w:val="0"/>
          <w:szCs w:val="32"/>
        </w:rPr>
        <w:t>挂牌工作小组会议参会成员认为需要就申请文件中的特定事项问询发行人、主承销商、证券服务机构、增信主体等的，本所提前通知被问询单位安排人员参会，并告知拟问询事项。被问询单位应当针对拟问询事项进行充分准备。</w:t>
      </w:r>
    </w:p>
    <w:p>
      <w:pPr>
        <w:spacing w:line="560" w:lineRule="exact"/>
        <w:ind w:firstLine="632" w:firstLineChars="200"/>
        <w:rPr>
          <w:rFonts w:ascii="仿宋" w:hAnsi="仿宋"/>
          <w:kern w:val="0"/>
          <w:szCs w:val="32"/>
        </w:rPr>
      </w:pPr>
      <w:r>
        <w:rPr>
          <w:rFonts w:hint="eastAsia" w:ascii="仿宋" w:hAnsi="仿宋"/>
          <w:b/>
          <w:kern w:val="0"/>
          <w:szCs w:val="32"/>
        </w:rPr>
        <w:t>第三十四条</w:t>
      </w:r>
      <w:r>
        <w:rPr>
          <w:rFonts w:hint="eastAsia" w:ascii="仿宋" w:hAnsi="仿宋"/>
          <w:kern w:val="0"/>
          <w:szCs w:val="32"/>
        </w:rPr>
        <w:tab/>
      </w:r>
      <w:r>
        <w:rPr>
          <w:rFonts w:hint="eastAsia" w:ascii="仿宋" w:hAnsi="仿宋"/>
          <w:kern w:val="0"/>
          <w:szCs w:val="32"/>
        </w:rPr>
        <w:t>挂牌工作小组会议按照下列议程召开：</w:t>
      </w:r>
    </w:p>
    <w:p>
      <w:pPr>
        <w:spacing w:line="560" w:lineRule="exact"/>
        <w:ind w:firstLine="632" w:firstLineChars="200"/>
        <w:rPr>
          <w:rFonts w:ascii="仿宋" w:hAnsi="仿宋"/>
          <w:kern w:val="0"/>
          <w:szCs w:val="32"/>
        </w:rPr>
      </w:pPr>
      <w:r>
        <w:rPr>
          <w:rFonts w:hint="eastAsia" w:ascii="仿宋" w:hAnsi="仿宋"/>
          <w:kern w:val="0"/>
          <w:szCs w:val="32"/>
        </w:rPr>
        <w:t xml:space="preserve">（一）会议召集人宣布会议开始； </w:t>
      </w:r>
    </w:p>
    <w:p>
      <w:pPr>
        <w:spacing w:line="560" w:lineRule="exact"/>
        <w:ind w:firstLine="632" w:firstLineChars="200"/>
        <w:rPr>
          <w:rFonts w:ascii="仿宋" w:hAnsi="仿宋"/>
          <w:kern w:val="0"/>
          <w:szCs w:val="32"/>
        </w:rPr>
      </w:pPr>
      <w:r>
        <w:rPr>
          <w:rFonts w:hint="eastAsia" w:ascii="仿宋" w:hAnsi="仿宋"/>
          <w:kern w:val="0"/>
          <w:szCs w:val="32"/>
        </w:rPr>
        <w:t>（二）核对人员汇报项目情况、反馈意见、回复和落实情况；</w:t>
      </w:r>
    </w:p>
    <w:p>
      <w:pPr>
        <w:spacing w:line="560" w:lineRule="exact"/>
        <w:ind w:firstLine="632" w:firstLineChars="200"/>
        <w:rPr>
          <w:rFonts w:ascii="仿宋" w:hAnsi="仿宋"/>
          <w:kern w:val="0"/>
          <w:szCs w:val="32"/>
        </w:rPr>
      </w:pPr>
      <w:r>
        <w:rPr>
          <w:rFonts w:hint="eastAsia" w:ascii="仿宋" w:hAnsi="仿宋"/>
          <w:kern w:val="0"/>
          <w:szCs w:val="32"/>
        </w:rPr>
        <w:t>（三）核对人员接受参会挂牌工作小组成员询问，答复相关问题；</w:t>
      </w:r>
    </w:p>
    <w:p>
      <w:pPr>
        <w:spacing w:line="560" w:lineRule="exact"/>
        <w:ind w:firstLine="632" w:firstLineChars="200"/>
        <w:rPr>
          <w:rFonts w:ascii="仿宋" w:hAnsi="仿宋" w:cs="黑体"/>
          <w:bCs/>
          <w:szCs w:val="32"/>
        </w:rPr>
      </w:pPr>
      <w:r>
        <w:rPr>
          <w:rFonts w:hint="eastAsia" w:ascii="仿宋" w:hAnsi="仿宋"/>
          <w:kern w:val="0"/>
          <w:szCs w:val="32"/>
        </w:rPr>
        <w:t>（四）</w:t>
      </w:r>
      <w:r>
        <w:rPr>
          <w:rFonts w:hint="eastAsia" w:ascii="仿宋" w:hAnsi="仿宋" w:cs="黑体"/>
          <w:bCs/>
          <w:szCs w:val="32"/>
        </w:rPr>
        <w:t>就特定事项询问发行人、主承销商、证券服务机构、增信主体等（如适用）；</w:t>
      </w:r>
    </w:p>
    <w:p>
      <w:pPr>
        <w:spacing w:line="560" w:lineRule="exact"/>
        <w:ind w:firstLine="632" w:firstLineChars="200"/>
        <w:rPr>
          <w:rFonts w:ascii="仿宋" w:hAnsi="仿宋"/>
          <w:kern w:val="0"/>
          <w:szCs w:val="32"/>
        </w:rPr>
      </w:pPr>
      <w:r>
        <w:rPr>
          <w:rFonts w:hint="eastAsia" w:ascii="仿宋" w:hAnsi="仿宋"/>
          <w:kern w:val="0"/>
          <w:szCs w:val="32"/>
        </w:rPr>
        <w:t>（五）参会挂牌工作小组成员独立发表审议意见；</w:t>
      </w:r>
    </w:p>
    <w:p>
      <w:pPr>
        <w:spacing w:line="560" w:lineRule="exact"/>
        <w:ind w:firstLine="632" w:firstLineChars="200"/>
        <w:rPr>
          <w:rFonts w:ascii="仿宋" w:hAnsi="仿宋" w:cs="黑体"/>
          <w:bCs/>
          <w:szCs w:val="32"/>
        </w:rPr>
      </w:pPr>
      <w:r>
        <w:rPr>
          <w:rFonts w:hint="eastAsia" w:ascii="仿宋" w:hAnsi="仿宋"/>
          <w:kern w:val="0"/>
          <w:szCs w:val="32"/>
        </w:rPr>
        <w:t>（六）</w:t>
      </w:r>
      <w:r>
        <w:rPr>
          <w:rFonts w:hint="eastAsia" w:ascii="仿宋" w:hAnsi="仿宋"/>
          <w:szCs w:val="32"/>
          <w:lang w:bidi="en-US"/>
        </w:rPr>
        <w:t>挂牌工作小组成员</w:t>
      </w:r>
      <w:r>
        <w:rPr>
          <w:rFonts w:hint="eastAsia" w:ascii="仿宋" w:hAnsi="仿宋" w:cs="黑体"/>
          <w:bCs/>
          <w:szCs w:val="32"/>
        </w:rPr>
        <w:t>讨论并以合议方式，按照少数服从多数原则形成审议意见。</w:t>
      </w:r>
    </w:p>
    <w:p>
      <w:pPr>
        <w:spacing w:line="560" w:lineRule="exact"/>
        <w:ind w:firstLine="632" w:firstLineChars="200"/>
        <w:rPr>
          <w:rFonts w:ascii="仿宋" w:hAnsi="仿宋"/>
          <w:kern w:val="0"/>
          <w:szCs w:val="32"/>
        </w:rPr>
      </w:pPr>
      <w:r>
        <w:rPr>
          <w:rFonts w:hint="eastAsia" w:ascii="仿宋" w:hAnsi="仿宋"/>
          <w:szCs w:val="32"/>
        </w:rPr>
        <w:t>本所对</w:t>
      </w:r>
      <w:r>
        <w:rPr>
          <w:rFonts w:hint="eastAsia" w:ascii="仿宋" w:hAnsi="仿宋"/>
          <w:kern w:val="0"/>
          <w:szCs w:val="32"/>
        </w:rPr>
        <w:t>挂牌工作小组会议</w:t>
      </w:r>
      <w:r>
        <w:rPr>
          <w:rFonts w:hint="eastAsia" w:ascii="仿宋" w:hAnsi="仿宋"/>
          <w:szCs w:val="32"/>
        </w:rPr>
        <w:t>重点讨论情况以及形成的审议意见进行记录，由参会</w:t>
      </w:r>
      <w:r>
        <w:rPr>
          <w:rFonts w:hint="eastAsia" w:ascii="仿宋" w:hAnsi="仿宋"/>
          <w:szCs w:val="32"/>
          <w:lang w:bidi="en-US"/>
        </w:rPr>
        <w:t>挂牌工作小组成员</w:t>
      </w:r>
      <w:r>
        <w:rPr>
          <w:rFonts w:hint="eastAsia" w:ascii="仿宋" w:hAnsi="仿宋"/>
          <w:szCs w:val="32"/>
        </w:rPr>
        <w:t>签字确认。</w:t>
      </w:r>
    </w:p>
    <w:p>
      <w:pPr>
        <w:spacing w:line="560" w:lineRule="exact"/>
        <w:ind w:firstLine="632" w:firstLineChars="200"/>
        <w:rPr>
          <w:rStyle w:val="17"/>
        </w:rPr>
      </w:pPr>
      <w:r>
        <w:rPr>
          <w:rFonts w:hint="eastAsia" w:ascii="仿宋" w:hAnsi="仿宋"/>
          <w:b/>
          <w:kern w:val="0"/>
          <w:szCs w:val="32"/>
        </w:rPr>
        <w:t>第三十五条</w:t>
      </w:r>
      <w:r>
        <w:rPr>
          <w:rFonts w:hint="eastAsia" w:ascii="仿宋" w:hAnsi="仿宋"/>
          <w:kern w:val="0"/>
          <w:szCs w:val="32"/>
        </w:rPr>
        <w:t xml:space="preserve"> 挂牌工作小组会议通过合议形成通过或者不通过的审议意见。</w:t>
      </w:r>
    </w:p>
    <w:p>
      <w:pPr>
        <w:spacing w:line="560" w:lineRule="exact"/>
        <w:ind w:firstLine="632" w:firstLineChars="200"/>
        <w:rPr>
          <w:rFonts w:ascii="仿宋" w:hAnsi="仿宋"/>
          <w:kern w:val="0"/>
          <w:szCs w:val="32"/>
        </w:rPr>
      </w:pPr>
      <w:r>
        <w:rPr>
          <w:rFonts w:hint="eastAsia" w:ascii="仿宋" w:hAnsi="仿宋"/>
          <w:b/>
          <w:kern w:val="0"/>
          <w:szCs w:val="32"/>
        </w:rPr>
        <w:t xml:space="preserve">第三十六条 </w:t>
      </w:r>
      <w:r>
        <w:rPr>
          <w:rFonts w:hint="eastAsia" w:ascii="仿宋" w:hAnsi="仿宋"/>
          <w:kern w:val="0"/>
          <w:szCs w:val="32"/>
        </w:rPr>
        <w:t>挂牌工作小组会议审议意见为通过且不存在需要补充披露或者完善事项的，本所自挂牌工作小组会议形成审议意见之日起一个工作日内通知发行人和主承销商。</w:t>
      </w:r>
    </w:p>
    <w:p>
      <w:pPr>
        <w:spacing w:line="560" w:lineRule="exact"/>
        <w:ind w:firstLine="632" w:firstLineChars="200"/>
        <w:rPr>
          <w:rFonts w:ascii="仿宋" w:hAnsi="仿宋"/>
          <w:kern w:val="0"/>
          <w:szCs w:val="32"/>
        </w:rPr>
      </w:pPr>
      <w:r>
        <w:rPr>
          <w:rFonts w:hint="eastAsia" w:ascii="仿宋" w:hAnsi="仿宋"/>
          <w:b/>
          <w:kern w:val="0"/>
          <w:szCs w:val="32"/>
        </w:rPr>
        <w:t xml:space="preserve">第三十七条 </w:t>
      </w:r>
      <w:r>
        <w:rPr>
          <w:rFonts w:hint="eastAsia" w:ascii="仿宋" w:hAnsi="仿宋"/>
          <w:kern w:val="0"/>
          <w:szCs w:val="32"/>
        </w:rPr>
        <w:t>挂牌工作小组会议审议意见为通过但要求发行人、主承销商和证券服务机构补充披露或者完善相关事项的，本所自挂牌工作小组会议形成审议意见之日起一个工作日内告知相关事项。</w:t>
      </w:r>
    </w:p>
    <w:p>
      <w:pPr>
        <w:spacing w:line="560" w:lineRule="exact"/>
        <w:ind w:firstLine="632" w:firstLineChars="200"/>
        <w:rPr>
          <w:rFonts w:ascii="仿宋" w:hAnsi="仿宋"/>
          <w:kern w:val="0"/>
          <w:szCs w:val="32"/>
        </w:rPr>
      </w:pPr>
      <w:r>
        <w:rPr>
          <w:rFonts w:hint="eastAsia" w:ascii="仿宋" w:hAnsi="仿宋"/>
          <w:kern w:val="0"/>
          <w:szCs w:val="32"/>
        </w:rPr>
        <w:t>发行人、主承销商和证券服务机构应当落实相关事项并及时更新申请文件。</w:t>
      </w:r>
      <w:r>
        <w:rPr>
          <w:rFonts w:hint="eastAsia" w:ascii="仿宋" w:hAnsi="仿宋" w:cs="黑体"/>
          <w:bCs/>
          <w:szCs w:val="32"/>
        </w:rPr>
        <w:t>本所对补充披露或者完善事项的落实情况予以核对，并由参会</w:t>
      </w:r>
      <w:r>
        <w:rPr>
          <w:rFonts w:hint="eastAsia" w:ascii="仿宋" w:hAnsi="仿宋"/>
          <w:szCs w:val="32"/>
          <w:lang w:bidi="en-US"/>
        </w:rPr>
        <w:t>挂牌工作小组成员</w:t>
      </w:r>
      <w:r>
        <w:rPr>
          <w:rFonts w:hint="eastAsia" w:ascii="仿宋" w:hAnsi="仿宋" w:cs="黑体"/>
          <w:bCs/>
          <w:szCs w:val="32"/>
        </w:rPr>
        <w:t>予以确认，不再另行召开挂牌工作小组会议审议。</w:t>
      </w:r>
      <w:r>
        <w:rPr>
          <w:rFonts w:hint="eastAsia" w:ascii="仿宋" w:hAnsi="仿宋"/>
          <w:kern w:val="0"/>
          <w:szCs w:val="32"/>
        </w:rPr>
        <w:t>本所自确认补充披露或者完善的事项落实之日起一个工作日内通知发行人和主承销商。</w:t>
      </w:r>
    </w:p>
    <w:p>
      <w:pPr>
        <w:spacing w:line="560" w:lineRule="exact"/>
        <w:ind w:firstLine="632" w:firstLineChars="200"/>
        <w:rPr>
          <w:rFonts w:ascii="仿宋" w:hAnsi="仿宋"/>
          <w:kern w:val="0"/>
          <w:szCs w:val="32"/>
        </w:rPr>
      </w:pPr>
      <w:r>
        <w:rPr>
          <w:rFonts w:hint="eastAsia" w:ascii="仿宋" w:hAnsi="仿宋"/>
          <w:b/>
          <w:kern w:val="0"/>
          <w:szCs w:val="32"/>
        </w:rPr>
        <w:t xml:space="preserve">第三十八条 </w:t>
      </w:r>
      <w:r>
        <w:rPr>
          <w:rFonts w:hint="eastAsia" w:ascii="仿宋" w:hAnsi="仿宋"/>
          <w:kern w:val="0"/>
          <w:szCs w:val="32"/>
        </w:rPr>
        <w:t>挂牌工作小组会议审议意见为不通过的，本所向发行人出具终止挂牌条件确认文件并告知理由。</w:t>
      </w:r>
    </w:p>
    <w:p>
      <w:pPr>
        <w:spacing w:line="560" w:lineRule="exact"/>
        <w:ind w:firstLine="632" w:firstLineChars="200"/>
        <w:rPr>
          <w:rFonts w:ascii="仿宋" w:hAnsi="仿宋"/>
          <w:kern w:val="0"/>
          <w:szCs w:val="32"/>
        </w:rPr>
      </w:pPr>
      <w:r>
        <w:rPr>
          <w:rFonts w:hint="eastAsia" w:ascii="仿宋" w:hAnsi="仿宋"/>
          <w:b/>
          <w:kern w:val="0"/>
          <w:szCs w:val="32"/>
        </w:rPr>
        <w:t>第三十九条</w:t>
      </w:r>
      <w:r>
        <w:rPr>
          <w:rFonts w:hint="eastAsia" w:ascii="仿宋" w:hAnsi="仿宋"/>
          <w:kern w:val="0"/>
          <w:szCs w:val="32"/>
        </w:rPr>
        <w:t xml:space="preserve"> 因存在尚待核实的重大问题，无法形成审议意见的，挂牌工作小组会议可以暂缓审议。</w:t>
      </w:r>
    </w:p>
    <w:p>
      <w:pPr>
        <w:pStyle w:val="28"/>
        <w:tabs>
          <w:tab w:val="left" w:pos="1701"/>
        </w:tabs>
        <w:spacing w:line="560" w:lineRule="exact"/>
        <w:ind w:firstLine="632"/>
        <w:rPr>
          <w:rFonts w:ascii="仿宋" w:hAnsi="仿宋" w:eastAsia="仿宋"/>
          <w:kern w:val="0"/>
          <w:sz w:val="32"/>
          <w:szCs w:val="32"/>
        </w:rPr>
      </w:pPr>
      <w:r>
        <w:rPr>
          <w:rFonts w:hint="eastAsia" w:ascii="仿宋" w:hAnsi="仿宋" w:eastAsia="仿宋"/>
          <w:kern w:val="0"/>
          <w:sz w:val="32"/>
          <w:szCs w:val="32"/>
        </w:rPr>
        <w:t>暂缓审议的，本所自挂牌工作小组会议召开之日起五个工作日内向发行人和主承销商出具落实意见。落实意见回复程序，参照本指引反馈意见回复程序执行。本所自收到符合要求的落实意见回复文件之日起五个工作日内再次召开挂牌工作小组会议进行审议。</w:t>
      </w:r>
    </w:p>
    <w:p>
      <w:pPr>
        <w:pStyle w:val="28"/>
        <w:tabs>
          <w:tab w:val="left" w:pos="1701"/>
        </w:tabs>
        <w:spacing w:line="560" w:lineRule="exact"/>
        <w:ind w:firstLine="634"/>
        <w:rPr>
          <w:rFonts w:ascii="仿宋" w:hAnsi="仿宋" w:eastAsia="仿宋"/>
          <w:kern w:val="0"/>
          <w:sz w:val="32"/>
          <w:szCs w:val="32"/>
        </w:rPr>
      </w:pPr>
      <w:r>
        <w:rPr>
          <w:rFonts w:hint="eastAsia" w:ascii="仿宋" w:hAnsi="仿宋" w:eastAsia="仿宋"/>
          <w:b/>
          <w:kern w:val="0"/>
          <w:sz w:val="32"/>
          <w:szCs w:val="32"/>
        </w:rPr>
        <w:t>第四十</w:t>
      </w:r>
      <w:r>
        <w:rPr>
          <w:rFonts w:ascii="仿宋" w:hAnsi="仿宋" w:eastAsia="仿宋"/>
          <w:b/>
          <w:kern w:val="0"/>
          <w:sz w:val="32"/>
          <w:szCs w:val="32"/>
        </w:rPr>
        <w:t>条</w:t>
      </w:r>
      <w:r>
        <w:rPr>
          <w:rFonts w:ascii="仿宋" w:hAnsi="仿宋" w:eastAsia="仿宋"/>
          <w:kern w:val="0"/>
          <w:sz w:val="32"/>
          <w:szCs w:val="32"/>
        </w:rPr>
        <w:t xml:space="preserve"> 挂牌工作小组会议</w:t>
      </w:r>
      <w:r>
        <w:rPr>
          <w:rFonts w:hint="eastAsia" w:ascii="仿宋" w:hAnsi="仿宋" w:eastAsia="仿宋"/>
          <w:kern w:val="0"/>
          <w:sz w:val="32"/>
          <w:szCs w:val="32"/>
        </w:rPr>
        <w:t>形成通过的审议意见，且补充披露、完善相关事项（如有）已按本所要求落实的，核对人员于一个工作日内通知发行人及主承销商提交申请文件，发行人和主承销商应当自收到通知之日起一个月内提交符合要求的申请文件。确有困难的，发行人和主承销商可以提交书面延期申请，并说明理由；经本所认可后，可以延长申请文件提交时间，但延长时间最长不超过二个月。</w:t>
      </w:r>
    </w:p>
    <w:p>
      <w:pPr>
        <w:spacing w:line="560" w:lineRule="exact"/>
        <w:ind w:firstLine="632" w:firstLineChars="200"/>
        <w:rPr>
          <w:rFonts w:ascii="仿宋" w:hAnsi="仿宋"/>
          <w:kern w:val="0"/>
          <w:szCs w:val="32"/>
        </w:rPr>
      </w:pPr>
      <w:r>
        <w:rPr>
          <w:rFonts w:hint="eastAsia" w:ascii="仿宋" w:hAnsi="仿宋"/>
          <w:b/>
          <w:kern w:val="0"/>
          <w:szCs w:val="32"/>
        </w:rPr>
        <w:t xml:space="preserve">第四十一条 </w:t>
      </w:r>
      <w:r>
        <w:rPr>
          <w:rFonts w:hint="eastAsia" w:ascii="仿宋" w:hAnsi="仿宋"/>
          <w:kern w:val="0"/>
          <w:szCs w:val="32"/>
        </w:rPr>
        <w:t>本所认为公司债券符合挂牌条件且信息披露符合要求的，原则上自挂牌工作小组会议形成通过的审议意见且相关要求（如有）落实之日起五个工作日内，向发行人出具挂牌条件确认文件。</w:t>
      </w:r>
    </w:p>
    <w:p>
      <w:pPr>
        <w:spacing w:line="560" w:lineRule="exact"/>
        <w:ind w:firstLine="632" w:firstLineChars="200"/>
        <w:rPr>
          <w:rFonts w:ascii="仿宋" w:hAnsi="仿宋"/>
          <w:kern w:val="0"/>
          <w:szCs w:val="32"/>
        </w:rPr>
      </w:pPr>
    </w:p>
    <w:p>
      <w:pPr>
        <w:pStyle w:val="2"/>
        <w:spacing w:before="0" w:after="0" w:line="560" w:lineRule="exact"/>
        <w:jc w:val="center"/>
        <w:rPr>
          <w:rFonts w:ascii="黑体" w:hAnsi="黑体" w:eastAsia="黑体"/>
          <w:b w:val="0"/>
          <w:sz w:val="32"/>
          <w:szCs w:val="32"/>
        </w:rPr>
      </w:pPr>
      <w:r>
        <w:rPr>
          <w:rFonts w:hint="eastAsia" w:ascii="黑体" w:hAnsi="黑体" w:eastAsia="黑体"/>
          <w:b w:val="0"/>
          <w:sz w:val="32"/>
          <w:szCs w:val="32"/>
        </w:rPr>
        <w:t>第四章</w:t>
      </w:r>
      <w:r>
        <w:rPr>
          <w:rFonts w:ascii="黑体" w:hAnsi="黑体" w:eastAsia="黑体"/>
          <w:b w:val="0"/>
          <w:sz w:val="32"/>
          <w:szCs w:val="32"/>
        </w:rPr>
        <w:t xml:space="preserve">  </w:t>
      </w:r>
      <w:r>
        <w:rPr>
          <w:rFonts w:hint="eastAsia" w:ascii="黑体" w:hAnsi="黑体" w:eastAsia="黑体"/>
          <w:b w:val="0"/>
          <w:sz w:val="32"/>
          <w:szCs w:val="32"/>
        </w:rPr>
        <w:t>特殊事项</w:t>
      </w:r>
    </w:p>
    <w:p>
      <w:pPr>
        <w:spacing w:line="560" w:lineRule="exact"/>
        <w:ind w:firstLine="632" w:firstLineChars="200"/>
        <w:rPr>
          <w:rFonts w:ascii="仿宋" w:hAnsi="仿宋"/>
          <w:kern w:val="0"/>
          <w:szCs w:val="32"/>
        </w:rPr>
      </w:pPr>
      <w:r>
        <w:rPr>
          <w:rFonts w:hint="eastAsia" w:ascii="仿宋" w:hAnsi="仿宋"/>
          <w:b/>
          <w:kern w:val="0"/>
          <w:szCs w:val="32"/>
        </w:rPr>
        <w:t>第四十二条</w:t>
      </w:r>
      <w:r>
        <w:rPr>
          <w:rFonts w:ascii="仿宋" w:hAnsi="仿宋"/>
          <w:kern w:val="0"/>
          <w:szCs w:val="32"/>
        </w:rPr>
        <w:t xml:space="preserve"> </w:t>
      </w:r>
      <w:r>
        <w:rPr>
          <w:rFonts w:hint="eastAsia" w:ascii="仿宋" w:hAnsi="仿宋"/>
          <w:kern w:val="0"/>
          <w:szCs w:val="32"/>
        </w:rPr>
        <w:tab/>
      </w:r>
      <w:r>
        <w:rPr>
          <w:rFonts w:hint="eastAsia" w:ascii="仿宋" w:hAnsi="仿宋"/>
          <w:kern w:val="0"/>
          <w:szCs w:val="32"/>
        </w:rPr>
        <w:t>本所受理申请文件后至出具挂牌条件确认文件前，发生下列情形之一的，发行人、主承销商和证券服务机构应当及时书面报告本所，本所可以中止核对：</w:t>
      </w:r>
    </w:p>
    <w:p>
      <w:pPr>
        <w:spacing w:line="560" w:lineRule="exact"/>
        <w:ind w:firstLine="632" w:firstLineChars="200"/>
        <w:rPr>
          <w:rFonts w:ascii="仿宋" w:hAnsi="仿宋"/>
          <w:kern w:val="0"/>
          <w:szCs w:val="32"/>
        </w:rPr>
      </w:pPr>
      <w:r>
        <w:rPr>
          <w:rFonts w:hint="eastAsia" w:ascii="仿宋" w:hAnsi="仿宋"/>
          <w:kern w:val="0"/>
          <w:szCs w:val="32"/>
        </w:rPr>
        <w:t>（一）发行人因涉嫌违法违规被行政机关调查，或者被司法机关侦查，尚未结案，预计对其公司债券发行、挂牌影响重大；</w:t>
      </w:r>
    </w:p>
    <w:p>
      <w:pPr>
        <w:spacing w:line="560" w:lineRule="exact"/>
        <w:ind w:firstLine="632" w:firstLineChars="200"/>
        <w:rPr>
          <w:rFonts w:ascii="仿宋" w:hAnsi="仿宋"/>
          <w:kern w:val="0"/>
          <w:szCs w:val="32"/>
        </w:rPr>
      </w:pPr>
      <w:r>
        <w:rPr>
          <w:rFonts w:hint="eastAsia" w:ascii="仿宋" w:hAnsi="仿宋"/>
          <w:kern w:val="0"/>
          <w:szCs w:val="32"/>
        </w:rPr>
        <w:t>（二）主承销商、证券服务机构被中国证监会依法采取限制业务活动、责令停业整顿、指定其他机构托管、接管等监管措施，或者被本所实施一定期限内不接受其出具相关文件的纪律处分，尚未解除；</w:t>
      </w:r>
    </w:p>
    <w:p>
      <w:pPr>
        <w:spacing w:line="560" w:lineRule="exact"/>
        <w:ind w:firstLine="632" w:firstLineChars="200"/>
        <w:rPr>
          <w:rFonts w:ascii="仿宋" w:hAnsi="仿宋"/>
          <w:kern w:val="0"/>
          <w:szCs w:val="32"/>
        </w:rPr>
      </w:pPr>
      <w:r>
        <w:rPr>
          <w:rFonts w:hint="eastAsia" w:ascii="仿宋" w:hAnsi="仿宋"/>
          <w:kern w:val="0"/>
          <w:szCs w:val="32"/>
        </w:rPr>
        <w:t>（三）主承销商、证券服务机构签字人员被中国证监会依法采取限制从事证券服务业务等监管措施或者证券市场禁入的措施，或者被本所实施一定期限内不接受其出具的相关文件的纪律处分，尚未解除；</w:t>
      </w:r>
    </w:p>
    <w:p>
      <w:pPr>
        <w:spacing w:line="560" w:lineRule="exact"/>
        <w:ind w:firstLine="632" w:firstLineChars="200"/>
        <w:rPr>
          <w:rFonts w:ascii="仿宋" w:hAnsi="仿宋"/>
          <w:kern w:val="0"/>
          <w:szCs w:val="32"/>
        </w:rPr>
      </w:pPr>
      <w:r>
        <w:rPr>
          <w:rFonts w:hint="eastAsia" w:ascii="仿宋" w:hAnsi="仿宋"/>
          <w:kern w:val="0"/>
          <w:szCs w:val="32"/>
        </w:rPr>
        <w:t>（四）发行人未在要求的期限内对申请文件作出解释说明或者补充、修改；</w:t>
      </w:r>
    </w:p>
    <w:p>
      <w:pPr>
        <w:spacing w:line="560" w:lineRule="exact"/>
        <w:ind w:firstLine="632" w:firstLineChars="200"/>
        <w:rPr>
          <w:rFonts w:ascii="仿宋" w:hAnsi="仿宋"/>
          <w:kern w:val="0"/>
          <w:szCs w:val="32"/>
        </w:rPr>
      </w:pPr>
      <w:r>
        <w:rPr>
          <w:rFonts w:hint="eastAsia" w:ascii="仿宋" w:hAnsi="仿宋"/>
          <w:kern w:val="0"/>
          <w:szCs w:val="32"/>
        </w:rPr>
        <w:t>（五）未在本指引第四十条规定的时限内提交符合要求的申请文件；</w:t>
      </w:r>
    </w:p>
    <w:p>
      <w:pPr>
        <w:spacing w:line="560" w:lineRule="exact"/>
        <w:ind w:firstLine="632" w:firstLineChars="200"/>
        <w:rPr>
          <w:rFonts w:ascii="仿宋" w:hAnsi="仿宋"/>
          <w:kern w:val="0"/>
          <w:szCs w:val="32"/>
        </w:rPr>
      </w:pPr>
      <w:r>
        <w:rPr>
          <w:rFonts w:hint="eastAsia" w:ascii="仿宋" w:hAnsi="仿宋"/>
          <w:kern w:val="0"/>
          <w:szCs w:val="32"/>
        </w:rPr>
        <w:t>（六）发行人或者主承销商主动要求中止核对且理由正当；</w:t>
      </w:r>
    </w:p>
    <w:p>
      <w:pPr>
        <w:spacing w:line="560" w:lineRule="exact"/>
        <w:ind w:firstLine="632" w:firstLineChars="200"/>
        <w:rPr>
          <w:rFonts w:ascii="仿宋" w:hAnsi="仿宋"/>
          <w:kern w:val="0"/>
          <w:szCs w:val="32"/>
        </w:rPr>
      </w:pPr>
      <w:r>
        <w:rPr>
          <w:rFonts w:hint="eastAsia" w:ascii="仿宋" w:hAnsi="仿宋"/>
          <w:kern w:val="0"/>
          <w:szCs w:val="32"/>
        </w:rPr>
        <w:t>（七）本所规定的其他情形。</w:t>
      </w:r>
    </w:p>
    <w:p>
      <w:pPr>
        <w:spacing w:line="560" w:lineRule="exact"/>
        <w:ind w:firstLine="632" w:firstLineChars="200"/>
        <w:jc w:val="left"/>
        <w:rPr>
          <w:rFonts w:ascii="仿宋" w:hAnsi="仿宋" w:cs="黑体"/>
          <w:bCs/>
          <w:szCs w:val="32"/>
        </w:rPr>
      </w:pPr>
      <w:r>
        <w:rPr>
          <w:rFonts w:hint="eastAsia" w:ascii="仿宋" w:hAnsi="仿宋" w:cs="黑体"/>
          <w:bCs/>
          <w:szCs w:val="32"/>
        </w:rPr>
        <w:t>本所中止核对的期限不超过三</w:t>
      </w:r>
      <w:r>
        <w:rPr>
          <w:rFonts w:ascii="仿宋" w:hAnsi="仿宋" w:cs="黑体"/>
          <w:bCs/>
          <w:szCs w:val="32"/>
        </w:rPr>
        <w:t>个月。</w:t>
      </w:r>
    </w:p>
    <w:p>
      <w:pPr>
        <w:spacing w:line="560" w:lineRule="exact"/>
        <w:ind w:firstLine="632" w:firstLineChars="200"/>
        <w:rPr>
          <w:rFonts w:ascii="仿宋" w:hAnsi="仿宋"/>
          <w:kern w:val="0"/>
          <w:szCs w:val="32"/>
        </w:rPr>
      </w:pPr>
      <w:r>
        <w:rPr>
          <w:rFonts w:hint="eastAsia" w:ascii="仿宋" w:hAnsi="仿宋"/>
          <w:b/>
          <w:kern w:val="0"/>
          <w:szCs w:val="32"/>
        </w:rPr>
        <w:t>第四十三条</w:t>
      </w:r>
      <w:r>
        <w:rPr>
          <w:rFonts w:hint="eastAsia" w:ascii="仿宋" w:hAnsi="仿宋"/>
          <w:kern w:val="0"/>
          <w:szCs w:val="32"/>
        </w:rPr>
        <w:t xml:space="preserve"> 发行人或者主承销商主动要求中止核对的，应当向本所提交中止核对申请，说明相关情况、理由。本所应当于收到申请之日起二个工作日内确认是否同意中止核对并通知发行人和主承销商。</w:t>
      </w:r>
    </w:p>
    <w:p>
      <w:pPr>
        <w:spacing w:line="560" w:lineRule="exact"/>
        <w:ind w:firstLine="632" w:firstLineChars="200"/>
        <w:rPr>
          <w:rFonts w:ascii="仿宋" w:hAnsi="仿宋"/>
          <w:kern w:val="0"/>
          <w:szCs w:val="32"/>
        </w:rPr>
      </w:pPr>
      <w:r>
        <w:rPr>
          <w:rFonts w:hint="eastAsia" w:ascii="仿宋" w:hAnsi="仿宋"/>
          <w:b/>
          <w:kern w:val="0"/>
          <w:szCs w:val="32"/>
        </w:rPr>
        <w:t>第四十四条</w:t>
      </w:r>
      <w:r>
        <w:rPr>
          <w:rFonts w:hint="eastAsia" w:ascii="仿宋" w:hAnsi="仿宋"/>
          <w:kern w:val="0"/>
          <w:szCs w:val="32"/>
        </w:rPr>
        <w:t xml:space="preserve"> 本所根据发行人、主承销商申请，决定中止核对的，待相关情形消失后，发行人、主承销商可以向本所申请恢复核对</w:t>
      </w:r>
      <w:r>
        <w:rPr>
          <w:rFonts w:hint="eastAsia" w:ascii="仿宋" w:hAnsi="仿宋" w:cs="黑体"/>
          <w:szCs w:val="32"/>
        </w:rPr>
        <w:t>，并说明理由</w:t>
      </w:r>
      <w:r>
        <w:rPr>
          <w:rFonts w:hint="eastAsia" w:ascii="仿宋" w:hAnsi="仿宋"/>
          <w:kern w:val="0"/>
          <w:szCs w:val="32"/>
        </w:rPr>
        <w:t>。本所应当于收到申请之日起二个工作日内确认是否同意恢复核对并通知发行人和主承销商。</w:t>
      </w:r>
    </w:p>
    <w:p>
      <w:pPr>
        <w:spacing w:line="560" w:lineRule="exact"/>
        <w:ind w:firstLine="632" w:firstLineChars="200"/>
        <w:rPr>
          <w:rFonts w:ascii="仿宋" w:hAnsi="仿宋"/>
          <w:kern w:val="0"/>
          <w:szCs w:val="32"/>
        </w:rPr>
      </w:pPr>
      <w:r>
        <w:rPr>
          <w:rFonts w:hint="eastAsia" w:ascii="仿宋" w:hAnsi="仿宋"/>
          <w:kern w:val="0"/>
          <w:szCs w:val="32"/>
        </w:rPr>
        <w:t>本所依据相关规定中止核对的，待相关情形消失后，本所按规定恢复核对，并通知发行人和主承销商。</w:t>
      </w:r>
    </w:p>
    <w:p>
      <w:pPr>
        <w:spacing w:line="560" w:lineRule="exact"/>
        <w:ind w:firstLine="632" w:firstLineChars="200"/>
        <w:rPr>
          <w:rFonts w:ascii="仿宋" w:hAnsi="仿宋"/>
          <w:kern w:val="0"/>
          <w:szCs w:val="32"/>
        </w:rPr>
      </w:pPr>
      <w:r>
        <w:rPr>
          <w:rFonts w:hint="eastAsia" w:ascii="仿宋" w:hAnsi="仿宋"/>
          <w:kern w:val="0"/>
          <w:szCs w:val="32"/>
        </w:rPr>
        <w:t>自恢复核对之日起，发行人、主承销商应当于十五个工作日内更新申请文件。</w:t>
      </w:r>
    </w:p>
    <w:p>
      <w:pPr>
        <w:spacing w:line="560" w:lineRule="exact"/>
        <w:ind w:firstLine="632" w:firstLineChars="200"/>
        <w:rPr>
          <w:rFonts w:ascii="仿宋" w:hAnsi="仿宋"/>
          <w:kern w:val="0"/>
          <w:szCs w:val="32"/>
        </w:rPr>
      </w:pPr>
      <w:r>
        <w:rPr>
          <w:rFonts w:hint="eastAsia" w:ascii="仿宋" w:hAnsi="仿宋"/>
          <w:b/>
          <w:kern w:val="0"/>
          <w:szCs w:val="32"/>
        </w:rPr>
        <w:t>第四十五条</w:t>
      </w:r>
      <w:r>
        <w:rPr>
          <w:rFonts w:ascii="仿宋" w:hAnsi="仿宋"/>
          <w:kern w:val="0"/>
          <w:szCs w:val="32"/>
        </w:rPr>
        <w:t xml:space="preserve"> </w:t>
      </w:r>
      <w:r>
        <w:rPr>
          <w:rFonts w:hint="eastAsia" w:ascii="仿宋" w:hAnsi="仿宋"/>
          <w:kern w:val="0"/>
          <w:szCs w:val="32"/>
        </w:rPr>
        <w:t>本所受理申请文件后至出具挂牌条件确认文件前，发生下列情形之一的，本所可以终止核对：</w:t>
      </w:r>
    </w:p>
    <w:p>
      <w:pPr>
        <w:pStyle w:val="30"/>
        <w:spacing w:line="560" w:lineRule="exact"/>
        <w:ind w:firstLine="632"/>
        <w:rPr>
          <w:rFonts w:ascii="仿宋" w:hAnsi="仿宋"/>
          <w:strike/>
          <w:kern w:val="0"/>
          <w:szCs w:val="32"/>
        </w:rPr>
      </w:pPr>
      <w:r>
        <w:rPr>
          <w:rFonts w:hint="eastAsia" w:ascii="仿宋" w:hAnsi="仿宋"/>
          <w:kern w:val="0"/>
          <w:szCs w:val="32"/>
        </w:rPr>
        <w:t>（一）发行人主动撤回申请或者主承销商申请撤回所出具的核查意见；</w:t>
      </w:r>
    </w:p>
    <w:p>
      <w:pPr>
        <w:spacing w:line="560" w:lineRule="exact"/>
        <w:ind w:firstLine="632" w:firstLineChars="200"/>
        <w:rPr>
          <w:rFonts w:ascii="仿宋" w:hAnsi="仿宋"/>
          <w:kern w:val="0"/>
          <w:szCs w:val="32"/>
        </w:rPr>
      </w:pPr>
      <w:r>
        <w:rPr>
          <w:rFonts w:hint="eastAsia" w:ascii="仿宋" w:hAnsi="仿宋"/>
          <w:kern w:val="0"/>
          <w:szCs w:val="32"/>
        </w:rPr>
        <w:t>（二）发行人法人资格终止；</w:t>
      </w:r>
    </w:p>
    <w:p>
      <w:pPr>
        <w:spacing w:line="560" w:lineRule="exact"/>
        <w:ind w:firstLine="632" w:firstLineChars="200"/>
        <w:rPr>
          <w:rFonts w:ascii="仿宋" w:hAnsi="仿宋"/>
          <w:kern w:val="0"/>
          <w:szCs w:val="32"/>
        </w:rPr>
      </w:pPr>
      <w:r>
        <w:rPr>
          <w:rFonts w:hint="eastAsia" w:ascii="仿宋" w:hAnsi="仿宋"/>
          <w:kern w:val="0"/>
          <w:szCs w:val="32"/>
        </w:rPr>
        <w:t>（三）发行人阻碍或者拒绝中国证监会、本所依法对发行人实施检查、核查；</w:t>
      </w:r>
    </w:p>
    <w:p>
      <w:pPr>
        <w:spacing w:line="560" w:lineRule="exact"/>
        <w:ind w:firstLine="632" w:firstLineChars="200"/>
        <w:rPr>
          <w:rFonts w:ascii="仿宋" w:hAnsi="仿宋"/>
          <w:kern w:val="0"/>
          <w:szCs w:val="32"/>
        </w:rPr>
      </w:pPr>
      <w:r>
        <w:rPr>
          <w:rFonts w:hint="eastAsia" w:ascii="仿宋" w:hAnsi="仿宋"/>
          <w:kern w:val="0"/>
          <w:szCs w:val="32"/>
        </w:rPr>
        <w:t>（四）发行人及其关联方以不正当手段严重干扰挂牌条件确认工作；</w:t>
      </w:r>
    </w:p>
    <w:p>
      <w:pPr>
        <w:spacing w:line="560" w:lineRule="exact"/>
        <w:ind w:firstLine="632" w:firstLineChars="200"/>
        <w:rPr>
          <w:rFonts w:ascii="仿宋" w:hAnsi="仿宋"/>
          <w:kern w:val="0"/>
          <w:szCs w:val="32"/>
        </w:rPr>
      </w:pPr>
      <w:r>
        <w:rPr>
          <w:rFonts w:hint="eastAsia" w:ascii="仿宋" w:hAnsi="仿宋"/>
          <w:kern w:val="0"/>
          <w:szCs w:val="32"/>
        </w:rPr>
        <w:t>（五）申请文件存在虚假记载、误导性陈述或者重大遗漏；</w:t>
      </w:r>
    </w:p>
    <w:p>
      <w:pPr>
        <w:spacing w:line="560" w:lineRule="exact"/>
        <w:ind w:firstLine="632" w:firstLineChars="200"/>
        <w:rPr>
          <w:rFonts w:ascii="仿宋" w:hAnsi="仿宋"/>
          <w:kern w:val="0"/>
          <w:szCs w:val="32"/>
        </w:rPr>
      </w:pPr>
      <w:r>
        <w:rPr>
          <w:rFonts w:hint="eastAsia" w:ascii="仿宋" w:hAnsi="仿宋"/>
          <w:kern w:val="0"/>
          <w:szCs w:val="32"/>
        </w:rPr>
        <w:t>（六）申请文件内容存在重大缺陷，严重影响挂牌条件确认工作和投资者理解；</w:t>
      </w:r>
    </w:p>
    <w:p>
      <w:pPr>
        <w:spacing w:line="560" w:lineRule="exact"/>
        <w:ind w:firstLine="632" w:firstLineChars="200"/>
        <w:rPr>
          <w:rFonts w:ascii="仿宋" w:hAnsi="仿宋"/>
          <w:kern w:val="0"/>
          <w:szCs w:val="32"/>
        </w:rPr>
      </w:pPr>
      <w:r>
        <w:rPr>
          <w:rFonts w:hint="eastAsia" w:ascii="仿宋" w:hAnsi="仿宋"/>
          <w:kern w:val="0"/>
          <w:szCs w:val="32"/>
        </w:rPr>
        <w:t>（七）中止核对超过三个月；</w:t>
      </w:r>
    </w:p>
    <w:p>
      <w:pPr>
        <w:spacing w:line="560" w:lineRule="exact"/>
        <w:ind w:firstLine="632" w:firstLineChars="200"/>
        <w:rPr>
          <w:rFonts w:ascii="仿宋" w:hAnsi="仿宋"/>
          <w:kern w:val="0"/>
          <w:szCs w:val="32"/>
        </w:rPr>
      </w:pPr>
      <w:r>
        <w:rPr>
          <w:rFonts w:hint="eastAsia" w:ascii="仿宋" w:hAnsi="仿宋"/>
          <w:kern w:val="0"/>
          <w:szCs w:val="32"/>
        </w:rPr>
        <w:t>（八）本所认为公司债券不符合挂牌条件或者信息披露要求；</w:t>
      </w:r>
    </w:p>
    <w:p>
      <w:pPr>
        <w:spacing w:line="560" w:lineRule="exact"/>
        <w:ind w:firstLine="632" w:firstLineChars="200"/>
        <w:rPr>
          <w:rFonts w:ascii="仿宋" w:hAnsi="仿宋"/>
          <w:kern w:val="0"/>
          <w:szCs w:val="32"/>
        </w:rPr>
      </w:pPr>
      <w:r>
        <w:rPr>
          <w:rFonts w:hint="eastAsia" w:ascii="仿宋" w:hAnsi="仿宋"/>
          <w:kern w:val="0"/>
          <w:szCs w:val="32"/>
        </w:rPr>
        <w:t>（九）本所认为需要终止核对的其他情形。</w:t>
      </w:r>
    </w:p>
    <w:p>
      <w:pPr>
        <w:spacing w:line="560" w:lineRule="exact"/>
        <w:ind w:firstLine="632" w:firstLineChars="200"/>
        <w:rPr>
          <w:rFonts w:ascii="仿宋" w:hAnsi="仿宋"/>
          <w:kern w:val="0"/>
          <w:szCs w:val="32"/>
        </w:rPr>
      </w:pPr>
      <w:r>
        <w:rPr>
          <w:rFonts w:hint="eastAsia" w:ascii="仿宋" w:hAnsi="仿宋"/>
          <w:kern w:val="0"/>
          <w:szCs w:val="32"/>
        </w:rPr>
        <w:t>发生前款第二项情形的，发行人、主承销商和证券服务机构应当及时书面报告本所。</w:t>
      </w:r>
    </w:p>
    <w:p>
      <w:pPr>
        <w:pStyle w:val="30"/>
        <w:spacing w:line="560" w:lineRule="exact"/>
        <w:ind w:firstLine="632"/>
        <w:rPr>
          <w:rFonts w:ascii="仿宋" w:hAnsi="仿宋"/>
          <w:szCs w:val="32"/>
        </w:rPr>
      </w:pPr>
      <w:r>
        <w:rPr>
          <w:rFonts w:hint="eastAsia" w:ascii="仿宋" w:hAnsi="仿宋"/>
          <w:bCs/>
          <w:szCs w:val="32"/>
        </w:rPr>
        <w:t>发行人或者主承销商主动要求终止核对的，</w:t>
      </w:r>
      <w:r>
        <w:rPr>
          <w:rFonts w:hint="eastAsia" w:ascii="仿宋" w:hAnsi="仿宋"/>
          <w:szCs w:val="32"/>
        </w:rPr>
        <w:t>应当向本所提交终止核对申请，说明相关情况、理由。</w:t>
      </w:r>
    </w:p>
    <w:p>
      <w:pPr>
        <w:spacing w:line="560" w:lineRule="exact"/>
        <w:ind w:firstLine="632" w:firstLineChars="200"/>
        <w:rPr>
          <w:rFonts w:ascii="仿宋" w:hAnsi="仿宋"/>
          <w:kern w:val="0"/>
          <w:szCs w:val="32"/>
        </w:rPr>
      </w:pPr>
      <w:r>
        <w:rPr>
          <w:rFonts w:hint="eastAsia" w:ascii="仿宋" w:hAnsi="仿宋"/>
          <w:b/>
          <w:kern w:val="0"/>
          <w:szCs w:val="32"/>
        </w:rPr>
        <w:t>第四十六条</w:t>
      </w:r>
      <w:r>
        <w:rPr>
          <w:rFonts w:ascii="仿宋" w:hAnsi="仿宋"/>
          <w:kern w:val="0"/>
          <w:szCs w:val="32"/>
        </w:rPr>
        <w:tab/>
      </w:r>
      <w:r>
        <w:rPr>
          <w:rFonts w:hint="eastAsia" w:ascii="仿宋" w:hAnsi="仿宋"/>
          <w:kern w:val="0"/>
          <w:szCs w:val="32"/>
        </w:rPr>
        <w:t>本所受理申请文件后至公司债券挂牌前，发生下列可能影响投资者作出价值判断和投资决策的重大事项的，发行人、主承销商、证券服务机构应当及时向本所报告，并按要求更新申请文件；主承销商、证券服务机构应当持续履行尽职调查职责，并向本所提交专项核查意见说明公司债券是否仍然符合挂牌条件和信息披露要求：</w:t>
      </w:r>
    </w:p>
    <w:p>
      <w:pPr>
        <w:spacing w:line="560" w:lineRule="exact"/>
        <w:ind w:firstLine="632" w:firstLineChars="200"/>
        <w:rPr>
          <w:rFonts w:ascii="仿宋" w:hAnsi="仿宋"/>
          <w:kern w:val="0"/>
          <w:szCs w:val="32"/>
        </w:rPr>
      </w:pPr>
      <w:r>
        <w:rPr>
          <w:rFonts w:hint="eastAsia" w:ascii="仿宋" w:hAnsi="仿宋"/>
          <w:kern w:val="0"/>
          <w:szCs w:val="32"/>
        </w:rPr>
        <w:t>（一）发行人名称变更、股权结构或者生产经营状况发生重大变化；</w:t>
      </w:r>
    </w:p>
    <w:p>
      <w:pPr>
        <w:spacing w:line="560" w:lineRule="exact"/>
        <w:ind w:firstLine="632" w:firstLineChars="200"/>
        <w:rPr>
          <w:rFonts w:ascii="仿宋" w:hAnsi="仿宋"/>
          <w:kern w:val="0"/>
          <w:szCs w:val="32"/>
        </w:rPr>
      </w:pPr>
      <w:r>
        <w:rPr>
          <w:rFonts w:hint="eastAsia" w:ascii="仿宋" w:hAnsi="仿宋"/>
          <w:kern w:val="0"/>
          <w:szCs w:val="32"/>
        </w:rPr>
        <w:t>（二）发行人变更财务报告审计机构、债券受托管理人或者具有同等职责的机构、资信评级机构；</w:t>
      </w:r>
    </w:p>
    <w:p>
      <w:pPr>
        <w:spacing w:line="560" w:lineRule="exact"/>
        <w:ind w:firstLine="632" w:firstLineChars="200"/>
        <w:rPr>
          <w:rFonts w:ascii="仿宋" w:hAnsi="仿宋"/>
          <w:kern w:val="0"/>
          <w:szCs w:val="32"/>
        </w:rPr>
      </w:pPr>
      <w:r>
        <w:rPr>
          <w:rFonts w:hint="eastAsia" w:ascii="仿宋" w:hAnsi="仿宋"/>
          <w:kern w:val="0"/>
          <w:szCs w:val="32"/>
        </w:rPr>
        <w:t>（三）发行人三分之一以上董事、三分之二以上监事、董事长、总经理或者具有同等职责的人员发生变动；</w:t>
      </w:r>
    </w:p>
    <w:p>
      <w:pPr>
        <w:spacing w:line="560" w:lineRule="exact"/>
        <w:ind w:firstLine="632" w:firstLineChars="200"/>
        <w:rPr>
          <w:rFonts w:ascii="仿宋" w:hAnsi="仿宋"/>
          <w:kern w:val="0"/>
          <w:szCs w:val="32"/>
        </w:rPr>
      </w:pPr>
      <w:r>
        <w:rPr>
          <w:rFonts w:hint="eastAsia" w:ascii="仿宋" w:hAnsi="仿宋"/>
          <w:kern w:val="0"/>
          <w:szCs w:val="32"/>
        </w:rPr>
        <w:t>（四）发行人法定代表人、董事长、总经理或者具有同等职责的人员无法履行职责；</w:t>
      </w:r>
    </w:p>
    <w:p>
      <w:pPr>
        <w:spacing w:line="560" w:lineRule="exact"/>
        <w:ind w:firstLine="632" w:firstLineChars="200"/>
        <w:rPr>
          <w:rFonts w:ascii="仿宋" w:hAnsi="仿宋"/>
          <w:kern w:val="0"/>
          <w:szCs w:val="32"/>
        </w:rPr>
      </w:pPr>
      <w:r>
        <w:rPr>
          <w:rFonts w:hint="eastAsia" w:ascii="仿宋" w:hAnsi="仿宋"/>
          <w:kern w:val="0"/>
          <w:szCs w:val="32"/>
        </w:rPr>
        <w:t>（五）发行人控股股东或者实际控制人变更；</w:t>
      </w:r>
    </w:p>
    <w:p>
      <w:pPr>
        <w:spacing w:line="560" w:lineRule="exact"/>
        <w:ind w:firstLine="632" w:firstLineChars="200"/>
        <w:rPr>
          <w:rFonts w:ascii="仿宋" w:hAnsi="仿宋"/>
          <w:kern w:val="0"/>
          <w:szCs w:val="32"/>
        </w:rPr>
      </w:pPr>
      <w:r>
        <w:rPr>
          <w:rFonts w:hint="eastAsia" w:ascii="仿宋" w:hAnsi="仿宋"/>
          <w:kern w:val="0"/>
          <w:szCs w:val="32"/>
        </w:rPr>
        <w:t>（六）发行人发生重大资产抵押、质押、出售、转让、报废、无偿划转以及重大投资行为或者重大资产重组；</w:t>
      </w:r>
    </w:p>
    <w:p>
      <w:pPr>
        <w:spacing w:line="560" w:lineRule="exact"/>
        <w:ind w:firstLine="632" w:firstLineChars="200"/>
        <w:rPr>
          <w:rFonts w:ascii="仿宋" w:hAnsi="仿宋"/>
          <w:kern w:val="0"/>
          <w:szCs w:val="32"/>
        </w:rPr>
      </w:pPr>
      <w:r>
        <w:rPr>
          <w:rFonts w:hint="eastAsia" w:ascii="仿宋" w:hAnsi="仿宋"/>
          <w:kern w:val="0"/>
          <w:szCs w:val="32"/>
        </w:rPr>
        <w:t>（七）发行人发生超过上年末净资产百分之十的重大损失；</w:t>
      </w:r>
    </w:p>
    <w:p>
      <w:pPr>
        <w:spacing w:line="560" w:lineRule="exact"/>
        <w:ind w:firstLine="632" w:firstLineChars="200"/>
        <w:rPr>
          <w:rFonts w:ascii="仿宋" w:hAnsi="仿宋"/>
          <w:kern w:val="0"/>
          <w:szCs w:val="32"/>
        </w:rPr>
      </w:pPr>
      <w:r>
        <w:rPr>
          <w:rFonts w:hint="eastAsia" w:ascii="仿宋" w:hAnsi="仿宋"/>
          <w:kern w:val="0"/>
          <w:szCs w:val="32"/>
        </w:rPr>
        <w:t>（八）发行人放弃债权或者财产超过上年末净资产的百分之十；</w:t>
      </w:r>
    </w:p>
    <w:p>
      <w:pPr>
        <w:spacing w:line="560" w:lineRule="exact"/>
        <w:ind w:firstLine="632" w:firstLineChars="200"/>
        <w:rPr>
          <w:rFonts w:ascii="仿宋" w:hAnsi="仿宋"/>
          <w:kern w:val="0"/>
          <w:szCs w:val="32"/>
        </w:rPr>
      </w:pPr>
      <w:r>
        <w:rPr>
          <w:rFonts w:hint="eastAsia" w:ascii="仿宋" w:hAnsi="仿宋"/>
          <w:kern w:val="0"/>
          <w:szCs w:val="32"/>
        </w:rPr>
        <w:t>（九）发行人股权、经营权涉及被委托管理；</w:t>
      </w:r>
    </w:p>
    <w:p>
      <w:pPr>
        <w:spacing w:line="560" w:lineRule="exact"/>
        <w:ind w:firstLine="632" w:firstLineChars="200"/>
        <w:rPr>
          <w:rFonts w:ascii="仿宋" w:hAnsi="仿宋"/>
          <w:kern w:val="0"/>
          <w:szCs w:val="32"/>
        </w:rPr>
      </w:pPr>
      <w:r>
        <w:rPr>
          <w:rFonts w:hint="eastAsia" w:ascii="仿宋" w:hAnsi="仿宋"/>
          <w:kern w:val="0"/>
          <w:szCs w:val="32"/>
        </w:rPr>
        <w:t>（十）发行人丧失对重要子公司的实际控制权；</w:t>
      </w:r>
    </w:p>
    <w:p>
      <w:pPr>
        <w:spacing w:line="560" w:lineRule="exact"/>
        <w:ind w:firstLine="632" w:firstLineChars="200"/>
        <w:rPr>
          <w:rFonts w:ascii="仿宋" w:hAnsi="仿宋"/>
          <w:kern w:val="0"/>
          <w:szCs w:val="32"/>
        </w:rPr>
      </w:pPr>
      <w:r>
        <w:rPr>
          <w:rFonts w:hint="eastAsia" w:ascii="仿宋" w:hAnsi="仿宋"/>
          <w:kern w:val="0"/>
          <w:szCs w:val="32"/>
        </w:rPr>
        <w:t>（十一）债券担保情况发生变更，或者债券信用评级发生变化；</w:t>
      </w:r>
    </w:p>
    <w:p>
      <w:pPr>
        <w:spacing w:line="560" w:lineRule="exact"/>
        <w:ind w:firstLine="632" w:firstLineChars="200"/>
        <w:rPr>
          <w:rFonts w:ascii="仿宋" w:hAnsi="仿宋"/>
          <w:kern w:val="0"/>
          <w:szCs w:val="32"/>
        </w:rPr>
      </w:pPr>
      <w:r>
        <w:rPr>
          <w:rFonts w:hint="eastAsia" w:ascii="仿宋" w:hAnsi="仿宋"/>
          <w:kern w:val="0"/>
          <w:szCs w:val="32"/>
        </w:rPr>
        <w:t>（十二）发行人转移债券清偿义务；</w:t>
      </w:r>
    </w:p>
    <w:p>
      <w:pPr>
        <w:spacing w:line="560" w:lineRule="exact"/>
        <w:ind w:firstLine="632" w:firstLineChars="200"/>
        <w:rPr>
          <w:rFonts w:ascii="仿宋" w:hAnsi="仿宋"/>
          <w:kern w:val="0"/>
          <w:szCs w:val="32"/>
        </w:rPr>
      </w:pPr>
      <w:r>
        <w:rPr>
          <w:rFonts w:hint="eastAsia" w:ascii="仿宋" w:hAnsi="仿宋"/>
          <w:kern w:val="0"/>
          <w:szCs w:val="32"/>
        </w:rPr>
        <w:t>（十三）发行人一次承担他人债务超过上年末净资产百分之十，或者新增借款、对外提供担保超过上年末净资产的百分之二十；</w:t>
      </w:r>
    </w:p>
    <w:p>
      <w:pPr>
        <w:spacing w:line="560" w:lineRule="exact"/>
        <w:ind w:firstLine="632" w:firstLineChars="200"/>
        <w:rPr>
          <w:rFonts w:ascii="仿宋" w:hAnsi="仿宋"/>
          <w:kern w:val="0"/>
          <w:szCs w:val="32"/>
        </w:rPr>
      </w:pPr>
      <w:r>
        <w:rPr>
          <w:rFonts w:hint="eastAsia" w:ascii="仿宋" w:hAnsi="仿宋"/>
          <w:kern w:val="0"/>
          <w:szCs w:val="32"/>
        </w:rPr>
        <w:t>（十四）发行人未能清偿到期债务或者进行债务重组；</w:t>
      </w:r>
    </w:p>
    <w:p>
      <w:pPr>
        <w:spacing w:line="560" w:lineRule="exact"/>
        <w:ind w:firstLine="632" w:firstLineChars="200"/>
        <w:rPr>
          <w:rFonts w:ascii="仿宋" w:hAnsi="仿宋"/>
          <w:kern w:val="0"/>
          <w:szCs w:val="32"/>
        </w:rPr>
      </w:pPr>
      <w:r>
        <w:rPr>
          <w:rFonts w:hint="eastAsia" w:ascii="仿宋" w:hAnsi="仿宋"/>
          <w:kern w:val="0"/>
          <w:szCs w:val="32"/>
        </w:rPr>
        <w:t>（十五）发行人涉嫌违法违规被有权机关调查，受到刑事处罚、重大行政处罚或者行政监管措施、市场自律组织作出债券业务相关的处分，或者存在严重失信行为；</w:t>
      </w:r>
    </w:p>
    <w:p>
      <w:pPr>
        <w:spacing w:line="560" w:lineRule="exact"/>
        <w:ind w:firstLine="632" w:firstLineChars="200"/>
        <w:rPr>
          <w:rFonts w:ascii="仿宋" w:hAnsi="仿宋"/>
          <w:kern w:val="0"/>
          <w:szCs w:val="32"/>
        </w:rPr>
      </w:pPr>
      <w:r>
        <w:rPr>
          <w:rFonts w:hint="eastAsia" w:ascii="仿宋" w:hAnsi="仿宋"/>
          <w:kern w:val="0"/>
          <w:szCs w:val="32"/>
        </w:rPr>
        <w:t>（十六）发行人法定代表人、控股股东、实际控制人、董事、监事、高级管理人员涉嫌违法违规被有权机关调查、采取强制措施，或者存在严重失信行为；</w:t>
      </w:r>
    </w:p>
    <w:p>
      <w:pPr>
        <w:spacing w:line="560" w:lineRule="exact"/>
        <w:ind w:firstLine="632" w:firstLineChars="200"/>
        <w:rPr>
          <w:rFonts w:ascii="仿宋" w:hAnsi="仿宋"/>
          <w:kern w:val="0"/>
          <w:szCs w:val="32"/>
        </w:rPr>
      </w:pPr>
      <w:r>
        <w:rPr>
          <w:rFonts w:hint="eastAsia" w:ascii="仿宋" w:hAnsi="仿宋"/>
          <w:kern w:val="0"/>
          <w:szCs w:val="32"/>
        </w:rPr>
        <w:t>（十七）发行人涉及重大诉讼、仲裁事项；</w:t>
      </w:r>
    </w:p>
    <w:p>
      <w:pPr>
        <w:spacing w:line="560" w:lineRule="exact"/>
        <w:ind w:firstLine="632" w:firstLineChars="200"/>
        <w:rPr>
          <w:rFonts w:ascii="仿宋" w:hAnsi="仿宋"/>
          <w:kern w:val="0"/>
          <w:szCs w:val="32"/>
        </w:rPr>
      </w:pPr>
      <w:r>
        <w:rPr>
          <w:rFonts w:hint="eastAsia" w:ascii="仿宋" w:hAnsi="仿宋"/>
          <w:kern w:val="0"/>
          <w:szCs w:val="32"/>
        </w:rPr>
        <w:t>（十八）发行人出现可能影响其偿债能力的资产被查封、扣押或者冻结的情况；</w:t>
      </w:r>
    </w:p>
    <w:p>
      <w:pPr>
        <w:spacing w:line="560" w:lineRule="exact"/>
        <w:ind w:firstLine="632" w:firstLineChars="200"/>
        <w:rPr>
          <w:rFonts w:ascii="仿宋" w:hAnsi="仿宋"/>
          <w:kern w:val="0"/>
          <w:szCs w:val="32"/>
        </w:rPr>
      </w:pPr>
      <w:r>
        <w:rPr>
          <w:rFonts w:hint="eastAsia" w:ascii="仿宋" w:hAnsi="仿宋"/>
          <w:kern w:val="0"/>
          <w:szCs w:val="32"/>
        </w:rPr>
        <w:t>（十九）发行人分配股利，作出减资、合并、分立、解散以及申请破产的决定，或者依法进入破产程序、被责令关闭；</w:t>
      </w:r>
    </w:p>
    <w:p>
      <w:pPr>
        <w:spacing w:line="560" w:lineRule="exact"/>
        <w:ind w:firstLine="632" w:firstLineChars="200"/>
        <w:rPr>
          <w:rFonts w:ascii="仿宋" w:hAnsi="仿宋"/>
          <w:kern w:val="0"/>
          <w:szCs w:val="32"/>
        </w:rPr>
      </w:pPr>
      <w:r>
        <w:rPr>
          <w:rFonts w:hint="eastAsia" w:ascii="仿宋" w:hAnsi="仿宋"/>
          <w:kern w:val="0"/>
          <w:szCs w:val="32"/>
        </w:rPr>
        <w:t>（二十）发行人涉及需要说明的市场传闻；</w:t>
      </w:r>
    </w:p>
    <w:p>
      <w:pPr>
        <w:spacing w:line="560" w:lineRule="exact"/>
        <w:ind w:firstLine="632" w:firstLineChars="200"/>
        <w:rPr>
          <w:rFonts w:ascii="仿宋" w:hAnsi="仿宋"/>
          <w:kern w:val="0"/>
          <w:szCs w:val="32"/>
        </w:rPr>
      </w:pPr>
      <w:r>
        <w:rPr>
          <w:rFonts w:hint="eastAsia" w:ascii="仿宋" w:hAnsi="仿宋"/>
          <w:kern w:val="0"/>
          <w:szCs w:val="32"/>
        </w:rPr>
        <w:t>（二十一）募集说明书约定或者发行人承诺的其他应当披露的事项；</w:t>
      </w:r>
    </w:p>
    <w:p>
      <w:pPr>
        <w:spacing w:line="560" w:lineRule="exact"/>
        <w:ind w:firstLine="632" w:firstLineChars="200"/>
        <w:rPr>
          <w:rFonts w:ascii="仿宋" w:hAnsi="仿宋"/>
          <w:kern w:val="0"/>
          <w:szCs w:val="32"/>
        </w:rPr>
      </w:pPr>
      <w:r>
        <w:rPr>
          <w:rFonts w:hint="eastAsia" w:ascii="仿宋" w:hAnsi="仿宋"/>
          <w:kern w:val="0"/>
          <w:szCs w:val="32"/>
        </w:rPr>
        <w:t>（二十二）其他可能影响发行人偿债能力或者投资者权益的事项。</w:t>
      </w:r>
    </w:p>
    <w:p>
      <w:pPr>
        <w:spacing w:line="560" w:lineRule="exact"/>
        <w:ind w:firstLine="632" w:firstLineChars="200"/>
        <w:rPr>
          <w:rFonts w:ascii="仿宋" w:hAnsi="仿宋"/>
          <w:kern w:val="0"/>
          <w:szCs w:val="32"/>
        </w:rPr>
      </w:pPr>
      <w:r>
        <w:rPr>
          <w:rFonts w:hint="eastAsia" w:ascii="仿宋" w:hAnsi="仿宋"/>
          <w:kern w:val="0"/>
          <w:szCs w:val="32"/>
        </w:rPr>
        <w:t>发行人披露重大事项后，相关事项出现重大进展或者变化的，发行人也应当及时履行信息披露义务。</w:t>
      </w:r>
    </w:p>
    <w:p>
      <w:pPr>
        <w:pStyle w:val="30"/>
        <w:spacing w:line="560" w:lineRule="exact"/>
        <w:ind w:firstLine="634"/>
        <w:rPr>
          <w:rFonts w:ascii="仿宋" w:hAnsi="仿宋"/>
          <w:bCs/>
          <w:strike/>
          <w:szCs w:val="32"/>
        </w:rPr>
      </w:pPr>
      <w:r>
        <w:rPr>
          <w:rFonts w:hint="eastAsia" w:ascii="仿宋" w:hAnsi="仿宋"/>
          <w:b/>
          <w:bCs/>
          <w:szCs w:val="32"/>
        </w:rPr>
        <w:t>第四十七条</w:t>
      </w:r>
      <w:r>
        <w:rPr>
          <w:rFonts w:hint="eastAsia" w:ascii="仿宋" w:hAnsi="仿宋"/>
          <w:bCs/>
          <w:szCs w:val="32"/>
        </w:rPr>
        <w:tab/>
      </w:r>
      <w:r>
        <w:rPr>
          <w:rFonts w:hint="eastAsia" w:ascii="仿宋" w:hAnsi="仿宋"/>
          <w:bCs/>
          <w:szCs w:val="32"/>
        </w:rPr>
        <w:t>本所受理</w:t>
      </w:r>
      <w:r>
        <w:rPr>
          <w:rFonts w:hint="eastAsia" w:ascii="仿宋" w:hAnsi="仿宋"/>
          <w:kern w:val="0"/>
          <w:szCs w:val="32"/>
        </w:rPr>
        <w:t>申请文件后至公司债券挂牌前</w:t>
      </w:r>
      <w:r>
        <w:rPr>
          <w:rFonts w:hint="eastAsia" w:ascii="仿宋" w:hAnsi="仿宋"/>
          <w:bCs/>
          <w:szCs w:val="32"/>
        </w:rPr>
        <w:t>，收到与本次挂牌条件确认相关且内容明确具体的举报的，可以就举报涉及的事项向发行人、主承销商、证券服务机构、增信主体进行问询，要求作出解释说明，并根据需要披露相关信息；也可以要求发行人、主承销商、证券服务机构、增信主体进行必要的专项核查并将核查结果报告本所。</w:t>
      </w:r>
    </w:p>
    <w:p>
      <w:pPr>
        <w:spacing w:line="560" w:lineRule="exact"/>
        <w:ind w:firstLine="632" w:firstLineChars="200"/>
        <w:rPr>
          <w:rFonts w:ascii="仿宋" w:hAnsi="仿宋"/>
          <w:kern w:val="0"/>
          <w:szCs w:val="32"/>
        </w:rPr>
      </w:pPr>
      <w:r>
        <w:rPr>
          <w:rFonts w:hint="eastAsia" w:ascii="仿宋" w:hAnsi="仿宋"/>
          <w:b/>
          <w:kern w:val="0"/>
          <w:szCs w:val="32"/>
        </w:rPr>
        <w:t>第四十八条</w:t>
      </w:r>
      <w:r>
        <w:rPr>
          <w:rFonts w:hint="eastAsia" w:ascii="仿宋" w:hAnsi="仿宋"/>
          <w:kern w:val="0"/>
          <w:szCs w:val="32"/>
        </w:rPr>
        <w:t xml:space="preserve"> 本所出具挂牌条件确认文件后至公司债券挂牌前，出现可能影响本次债券发行和挂牌的重大事项的，发行人、主承销商、证券服务机构应当向本所提交专项说明和核查意见。本所收到相关文件后，应当及时处理。</w:t>
      </w:r>
    </w:p>
    <w:p>
      <w:pPr>
        <w:pStyle w:val="30"/>
        <w:spacing w:line="560" w:lineRule="exact"/>
        <w:ind w:firstLine="632"/>
        <w:rPr>
          <w:rFonts w:ascii="仿宋" w:hAnsi="仿宋"/>
          <w:bCs/>
          <w:szCs w:val="32"/>
        </w:rPr>
      </w:pPr>
      <w:r>
        <w:rPr>
          <w:rFonts w:hint="eastAsia" w:ascii="仿宋" w:hAnsi="仿宋"/>
          <w:bCs/>
          <w:szCs w:val="32"/>
        </w:rPr>
        <w:t>发行人应当暂缓或者暂停发行；已经发行的，暂缓或者暂停挂牌，并按相关规定进行处理。</w:t>
      </w:r>
    </w:p>
    <w:p>
      <w:pPr>
        <w:spacing w:line="560" w:lineRule="exact"/>
        <w:ind w:firstLine="632" w:firstLineChars="200"/>
        <w:rPr>
          <w:rFonts w:ascii="仿宋" w:hAnsi="仿宋"/>
          <w:kern w:val="0"/>
          <w:szCs w:val="32"/>
        </w:rPr>
      </w:pPr>
    </w:p>
    <w:p>
      <w:pPr>
        <w:pStyle w:val="2"/>
        <w:spacing w:before="0" w:after="0" w:line="560" w:lineRule="exact"/>
        <w:jc w:val="center"/>
        <w:rPr>
          <w:rFonts w:ascii="黑体" w:hAnsi="黑体" w:eastAsia="黑体"/>
          <w:b w:val="0"/>
          <w:sz w:val="32"/>
          <w:szCs w:val="32"/>
        </w:rPr>
      </w:pPr>
      <w:r>
        <w:rPr>
          <w:rFonts w:hint="eastAsia" w:ascii="黑体" w:hAnsi="黑体" w:eastAsia="黑体"/>
          <w:b w:val="0"/>
          <w:sz w:val="32"/>
          <w:szCs w:val="32"/>
        </w:rPr>
        <w:t>第五章</w:t>
      </w:r>
      <w:r>
        <w:rPr>
          <w:rFonts w:ascii="黑体" w:hAnsi="黑体" w:eastAsia="黑体"/>
          <w:b w:val="0"/>
          <w:sz w:val="32"/>
          <w:szCs w:val="32"/>
        </w:rPr>
        <w:t xml:space="preserve">  </w:t>
      </w:r>
      <w:r>
        <w:rPr>
          <w:rFonts w:hint="eastAsia" w:ascii="黑体" w:hAnsi="黑体" w:eastAsia="黑体"/>
          <w:b w:val="0"/>
          <w:sz w:val="32"/>
          <w:szCs w:val="32"/>
        </w:rPr>
        <w:t>附则</w:t>
      </w:r>
    </w:p>
    <w:p>
      <w:pPr>
        <w:adjustRightInd w:val="0"/>
        <w:snapToGrid w:val="0"/>
        <w:spacing w:line="560" w:lineRule="exact"/>
        <w:ind w:firstLine="632" w:firstLineChars="200"/>
        <w:rPr>
          <w:rFonts w:ascii="仿宋" w:hAnsi="仿宋"/>
          <w:b/>
          <w:color w:val="000000"/>
          <w:szCs w:val="32"/>
        </w:rPr>
      </w:pPr>
      <w:r>
        <w:rPr>
          <w:rFonts w:hint="eastAsia" w:ascii="仿宋" w:hAnsi="仿宋"/>
          <w:b/>
          <w:kern w:val="0"/>
          <w:szCs w:val="32"/>
        </w:rPr>
        <w:t xml:space="preserve">第四十九条 </w:t>
      </w:r>
      <w:r>
        <w:rPr>
          <w:rFonts w:hint="eastAsia" w:ascii="仿宋" w:hAnsi="仿宋"/>
          <w:color w:val="000000"/>
          <w:szCs w:val="32"/>
        </w:rPr>
        <w:t>中国证监会、本所对于特定企业</w:t>
      </w:r>
      <w:r>
        <w:rPr>
          <w:rFonts w:hint="eastAsia" w:ascii="仿宋" w:hAnsi="仿宋"/>
          <w:kern w:val="0"/>
          <w:szCs w:val="32"/>
        </w:rPr>
        <w:t>发行公司债券或者专项品种公司债券</w:t>
      </w:r>
      <w:r>
        <w:rPr>
          <w:rFonts w:hint="eastAsia" w:ascii="仿宋" w:hAnsi="仿宋"/>
          <w:color w:val="000000"/>
          <w:szCs w:val="32"/>
        </w:rPr>
        <w:t>的挂牌条件确认程序另有规定的，从其规定。</w:t>
      </w:r>
    </w:p>
    <w:p>
      <w:pPr>
        <w:spacing w:line="560" w:lineRule="exact"/>
        <w:ind w:firstLine="632" w:firstLineChars="200"/>
        <w:rPr>
          <w:rFonts w:ascii="仿宋" w:hAnsi="仿宋"/>
          <w:kern w:val="0"/>
          <w:szCs w:val="32"/>
        </w:rPr>
      </w:pPr>
      <w:r>
        <w:rPr>
          <w:rFonts w:hint="eastAsia" w:ascii="仿宋" w:hAnsi="仿宋"/>
          <w:b/>
          <w:kern w:val="0"/>
          <w:szCs w:val="32"/>
        </w:rPr>
        <w:t>第五十条</w:t>
      </w:r>
      <w:r>
        <w:rPr>
          <w:rFonts w:ascii="仿宋" w:hAnsi="仿宋"/>
          <w:kern w:val="0"/>
          <w:szCs w:val="32"/>
        </w:rPr>
        <w:t xml:space="preserve"> </w:t>
      </w:r>
      <w:r>
        <w:rPr>
          <w:rFonts w:hint="eastAsia" w:ascii="仿宋" w:hAnsi="仿宋"/>
          <w:kern w:val="0"/>
          <w:szCs w:val="32"/>
        </w:rPr>
        <w:t>本指引由本所负责解释。</w:t>
      </w:r>
    </w:p>
    <w:p>
      <w:pPr>
        <w:spacing w:line="560" w:lineRule="exact"/>
        <w:ind w:firstLine="632" w:firstLineChars="200"/>
        <w:rPr>
          <w:rFonts w:ascii="仿宋" w:hAnsi="仿宋"/>
          <w:szCs w:val="32"/>
        </w:rPr>
      </w:pPr>
      <w:r>
        <w:rPr>
          <w:rFonts w:hint="eastAsia" w:ascii="仿宋" w:hAnsi="仿宋"/>
          <w:b/>
          <w:kern w:val="0"/>
          <w:szCs w:val="32"/>
        </w:rPr>
        <w:t>第五十一条</w:t>
      </w:r>
      <w:r>
        <w:rPr>
          <w:rFonts w:ascii="仿宋" w:hAnsi="仿宋"/>
          <w:kern w:val="0"/>
          <w:szCs w:val="32"/>
        </w:rPr>
        <w:t xml:space="preserve"> </w:t>
      </w:r>
      <w:r>
        <w:rPr>
          <w:rFonts w:hint="eastAsia" w:ascii="仿宋" w:hAnsi="仿宋"/>
          <w:kern w:val="0"/>
          <w:szCs w:val="32"/>
        </w:rPr>
        <w:t>本指引自发布之日起施行。本所于2022年7月15日发布的《深圳证券交易所公司债券发行上市审核业务指引第5号——非公开发行公司债券挂牌条件确认程序》（深证上〔2022〕678号）同时废止。</w:t>
      </w:r>
    </w:p>
    <w:p>
      <w:pPr>
        <w:spacing w:line="560" w:lineRule="exact"/>
        <w:ind w:firstLine="276" w:firstLineChars="100"/>
        <w:rPr>
          <w:rFonts w:ascii="仿宋" w:hAnsi="仿宋"/>
          <w:sz w:val="28"/>
          <w:szCs w:val="28"/>
        </w:rPr>
      </w:pPr>
    </w:p>
    <w:sectPr>
      <w:footerReference r:id="rId3" w:type="default"/>
      <w:footerReference r:id="rId4" w:type="even"/>
      <w:pgSz w:w="11906" w:h="16838"/>
      <w:pgMar w:top="2098" w:right="1474" w:bottom="1984" w:left="1587" w:header="0"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254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VEvMtEAAAAEAQAADwAAAAAAAAABACAAAAAiAAAAZHJzL2Rvd25yZXYueG1sUEsBAhQA&#10;FAAAAAgAh07iQFpvMB75AQAAAQQAAA4AAAAAAAAAAQAgAAAAIAEAAGRycy9lMm9Eb2MueG1sUEsF&#10;BgAAAAAGAAYAWQEAAIsFAAAAAA==&#10;">
              <v:fill on="f" focussize="0,0"/>
              <v:stroke on="f"/>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254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DpqvQBAAADBAAADgAAAGRycy9lMm9Eb2MueG1srVNNb9swDL0P2H8Q&#10;dF+cBMM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iP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N0DpqvQBAAADBAAADgAAAAAAAAABACAAAAAeAQAAZHJzL2Uyb0RvYy54bWxQSwUGAAAAAAYA&#10;BgBZAQAAhAU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5D"/>
    <w:rsid w:val="00002D04"/>
    <w:rsid w:val="00003078"/>
    <w:rsid w:val="000138F8"/>
    <w:rsid w:val="000159F9"/>
    <w:rsid w:val="00021FDA"/>
    <w:rsid w:val="00023D8B"/>
    <w:rsid w:val="00045684"/>
    <w:rsid w:val="00047184"/>
    <w:rsid w:val="000511FE"/>
    <w:rsid w:val="00055701"/>
    <w:rsid w:val="00055899"/>
    <w:rsid w:val="00062461"/>
    <w:rsid w:val="000656EF"/>
    <w:rsid w:val="00066278"/>
    <w:rsid w:val="00066DD2"/>
    <w:rsid w:val="00070DEB"/>
    <w:rsid w:val="00071516"/>
    <w:rsid w:val="00073D9B"/>
    <w:rsid w:val="00074DFC"/>
    <w:rsid w:val="000825F5"/>
    <w:rsid w:val="000850DE"/>
    <w:rsid w:val="000916C1"/>
    <w:rsid w:val="000A3741"/>
    <w:rsid w:val="000A60C5"/>
    <w:rsid w:val="000B3E5B"/>
    <w:rsid w:val="000C2D99"/>
    <w:rsid w:val="000C7B3C"/>
    <w:rsid w:val="000E0D8D"/>
    <w:rsid w:val="000E2E8C"/>
    <w:rsid w:val="000E38F7"/>
    <w:rsid w:val="000E49D8"/>
    <w:rsid w:val="000F0C9B"/>
    <w:rsid w:val="000F20F7"/>
    <w:rsid w:val="00120816"/>
    <w:rsid w:val="00120B6E"/>
    <w:rsid w:val="0012488A"/>
    <w:rsid w:val="00126C6B"/>
    <w:rsid w:val="00131C88"/>
    <w:rsid w:val="0013360F"/>
    <w:rsid w:val="001368E8"/>
    <w:rsid w:val="00137552"/>
    <w:rsid w:val="00142A57"/>
    <w:rsid w:val="001468C0"/>
    <w:rsid w:val="001517E4"/>
    <w:rsid w:val="00156B5B"/>
    <w:rsid w:val="00165F3A"/>
    <w:rsid w:val="0016744B"/>
    <w:rsid w:val="0017073D"/>
    <w:rsid w:val="00172EE2"/>
    <w:rsid w:val="00173F2A"/>
    <w:rsid w:val="0017418D"/>
    <w:rsid w:val="0017486B"/>
    <w:rsid w:val="0018785A"/>
    <w:rsid w:val="00195521"/>
    <w:rsid w:val="001A0F5B"/>
    <w:rsid w:val="001A417D"/>
    <w:rsid w:val="001B02BC"/>
    <w:rsid w:val="001B5CF9"/>
    <w:rsid w:val="001B7497"/>
    <w:rsid w:val="001B7BAC"/>
    <w:rsid w:val="001C0168"/>
    <w:rsid w:val="001C787F"/>
    <w:rsid w:val="001D4BDF"/>
    <w:rsid w:val="001E10B4"/>
    <w:rsid w:val="001E422B"/>
    <w:rsid w:val="001E4DD6"/>
    <w:rsid w:val="001F2482"/>
    <w:rsid w:val="001F4A8A"/>
    <w:rsid w:val="001F5777"/>
    <w:rsid w:val="0020009E"/>
    <w:rsid w:val="0020090E"/>
    <w:rsid w:val="00200EF6"/>
    <w:rsid w:val="0020392E"/>
    <w:rsid w:val="0020746F"/>
    <w:rsid w:val="00215FBF"/>
    <w:rsid w:val="00216935"/>
    <w:rsid w:val="00222F53"/>
    <w:rsid w:val="002271CE"/>
    <w:rsid w:val="00232C63"/>
    <w:rsid w:val="00235797"/>
    <w:rsid w:val="00237E01"/>
    <w:rsid w:val="00241E21"/>
    <w:rsid w:val="00244EDC"/>
    <w:rsid w:val="0025174C"/>
    <w:rsid w:val="00261BEB"/>
    <w:rsid w:val="00262C5B"/>
    <w:rsid w:val="00264462"/>
    <w:rsid w:val="00267B07"/>
    <w:rsid w:val="002705DA"/>
    <w:rsid w:val="002737F4"/>
    <w:rsid w:val="00277924"/>
    <w:rsid w:val="00282CC5"/>
    <w:rsid w:val="002920C9"/>
    <w:rsid w:val="00293F35"/>
    <w:rsid w:val="002961BD"/>
    <w:rsid w:val="002A2A48"/>
    <w:rsid w:val="002A492F"/>
    <w:rsid w:val="002B0086"/>
    <w:rsid w:val="002B08D3"/>
    <w:rsid w:val="002B3A9B"/>
    <w:rsid w:val="002E3B9C"/>
    <w:rsid w:val="002F0031"/>
    <w:rsid w:val="002F4BBF"/>
    <w:rsid w:val="002F7C10"/>
    <w:rsid w:val="00301221"/>
    <w:rsid w:val="003114D2"/>
    <w:rsid w:val="003147F8"/>
    <w:rsid w:val="003156F5"/>
    <w:rsid w:val="003354D8"/>
    <w:rsid w:val="00341D1A"/>
    <w:rsid w:val="00341DA8"/>
    <w:rsid w:val="00343A53"/>
    <w:rsid w:val="00346EBE"/>
    <w:rsid w:val="00357A1E"/>
    <w:rsid w:val="003611F5"/>
    <w:rsid w:val="003665DE"/>
    <w:rsid w:val="0037197B"/>
    <w:rsid w:val="00372476"/>
    <w:rsid w:val="00372EFB"/>
    <w:rsid w:val="003747D6"/>
    <w:rsid w:val="00380355"/>
    <w:rsid w:val="00384DA5"/>
    <w:rsid w:val="00386773"/>
    <w:rsid w:val="003877F4"/>
    <w:rsid w:val="00391B2B"/>
    <w:rsid w:val="00394FA7"/>
    <w:rsid w:val="003972E1"/>
    <w:rsid w:val="003A1A2C"/>
    <w:rsid w:val="003A449C"/>
    <w:rsid w:val="003A6613"/>
    <w:rsid w:val="003A7C01"/>
    <w:rsid w:val="003D0183"/>
    <w:rsid w:val="003D0BD1"/>
    <w:rsid w:val="003E1701"/>
    <w:rsid w:val="003E45B7"/>
    <w:rsid w:val="003E45E8"/>
    <w:rsid w:val="003F70FD"/>
    <w:rsid w:val="003F7D41"/>
    <w:rsid w:val="00405D8D"/>
    <w:rsid w:val="00424BE6"/>
    <w:rsid w:val="004328A4"/>
    <w:rsid w:val="00432C10"/>
    <w:rsid w:val="004341B7"/>
    <w:rsid w:val="00434A39"/>
    <w:rsid w:val="00435AE0"/>
    <w:rsid w:val="00445F6F"/>
    <w:rsid w:val="00450109"/>
    <w:rsid w:val="00451C61"/>
    <w:rsid w:val="0045298E"/>
    <w:rsid w:val="00454311"/>
    <w:rsid w:val="00454FDA"/>
    <w:rsid w:val="004640A3"/>
    <w:rsid w:val="00470BD0"/>
    <w:rsid w:val="004900E8"/>
    <w:rsid w:val="0049213C"/>
    <w:rsid w:val="004933BD"/>
    <w:rsid w:val="004935E9"/>
    <w:rsid w:val="00494FFB"/>
    <w:rsid w:val="00497876"/>
    <w:rsid w:val="004A1D76"/>
    <w:rsid w:val="004A7B54"/>
    <w:rsid w:val="004B4653"/>
    <w:rsid w:val="004B5100"/>
    <w:rsid w:val="004D2019"/>
    <w:rsid w:val="004F093D"/>
    <w:rsid w:val="004F0D95"/>
    <w:rsid w:val="005004F1"/>
    <w:rsid w:val="005015C7"/>
    <w:rsid w:val="00503EA8"/>
    <w:rsid w:val="0051311C"/>
    <w:rsid w:val="00513A85"/>
    <w:rsid w:val="0051468F"/>
    <w:rsid w:val="00515FB3"/>
    <w:rsid w:val="00516FCD"/>
    <w:rsid w:val="00523439"/>
    <w:rsid w:val="0054066B"/>
    <w:rsid w:val="00543426"/>
    <w:rsid w:val="00547091"/>
    <w:rsid w:val="00556776"/>
    <w:rsid w:val="00567383"/>
    <w:rsid w:val="005837AC"/>
    <w:rsid w:val="00587828"/>
    <w:rsid w:val="005A2FAD"/>
    <w:rsid w:val="005A7EEC"/>
    <w:rsid w:val="005B1735"/>
    <w:rsid w:val="005B3F95"/>
    <w:rsid w:val="005B57A8"/>
    <w:rsid w:val="005B59D9"/>
    <w:rsid w:val="005C38A0"/>
    <w:rsid w:val="005C40D1"/>
    <w:rsid w:val="005C432E"/>
    <w:rsid w:val="005C7F5B"/>
    <w:rsid w:val="005D09BC"/>
    <w:rsid w:val="005D38BF"/>
    <w:rsid w:val="005E0ECD"/>
    <w:rsid w:val="005F206C"/>
    <w:rsid w:val="005F2D82"/>
    <w:rsid w:val="005F68A9"/>
    <w:rsid w:val="0060086E"/>
    <w:rsid w:val="00606027"/>
    <w:rsid w:val="00610BF2"/>
    <w:rsid w:val="00613A1A"/>
    <w:rsid w:val="00615813"/>
    <w:rsid w:val="00626247"/>
    <w:rsid w:val="00630185"/>
    <w:rsid w:val="006318E1"/>
    <w:rsid w:val="0063499B"/>
    <w:rsid w:val="00650929"/>
    <w:rsid w:val="00650E56"/>
    <w:rsid w:val="00655B3A"/>
    <w:rsid w:val="00662EF0"/>
    <w:rsid w:val="0066329F"/>
    <w:rsid w:val="00665C82"/>
    <w:rsid w:val="006672C5"/>
    <w:rsid w:val="006705A6"/>
    <w:rsid w:val="0067385C"/>
    <w:rsid w:val="0067422B"/>
    <w:rsid w:val="00676B35"/>
    <w:rsid w:val="00677B31"/>
    <w:rsid w:val="00677DF2"/>
    <w:rsid w:val="00680909"/>
    <w:rsid w:val="006863BF"/>
    <w:rsid w:val="00687326"/>
    <w:rsid w:val="00694B38"/>
    <w:rsid w:val="006A2AA1"/>
    <w:rsid w:val="006A4577"/>
    <w:rsid w:val="006A516C"/>
    <w:rsid w:val="006B57DB"/>
    <w:rsid w:val="006B64F8"/>
    <w:rsid w:val="006B7F5D"/>
    <w:rsid w:val="006C0542"/>
    <w:rsid w:val="006D3CB1"/>
    <w:rsid w:val="006D5F6F"/>
    <w:rsid w:val="006D673F"/>
    <w:rsid w:val="006E3617"/>
    <w:rsid w:val="006E400B"/>
    <w:rsid w:val="00700E95"/>
    <w:rsid w:val="007226DA"/>
    <w:rsid w:val="00726407"/>
    <w:rsid w:val="007341EB"/>
    <w:rsid w:val="007346CF"/>
    <w:rsid w:val="00740D21"/>
    <w:rsid w:val="00742E81"/>
    <w:rsid w:val="00762ADB"/>
    <w:rsid w:val="00764853"/>
    <w:rsid w:val="007748F4"/>
    <w:rsid w:val="00780183"/>
    <w:rsid w:val="00786059"/>
    <w:rsid w:val="00787CFF"/>
    <w:rsid w:val="00793E1E"/>
    <w:rsid w:val="007B1DF4"/>
    <w:rsid w:val="007B60BC"/>
    <w:rsid w:val="007B79F8"/>
    <w:rsid w:val="007D29BB"/>
    <w:rsid w:val="007D4347"/>
    <w:rsid w:val="007D48CD"/>
    <w:rsid w:val="007D7AF9"/>
    <w:rsid w:val="007E3B55"/>
    <w:rsid w:val="007E7070"/>
    <w:rsid w:val="007F14FA"/>
    <w:rsid w:val="007F6336"/>
    <w:rsid w:val="008019B2"/>
    <w:rsid w:val="0081118C"/>
    <w:rsid w:val="0081318C"/>
    <w:rsid w:val="008206EE"/>
    <w:rsid w:val="00833C56"/>
    <w:rsid w:val="00835A47"/>
    <w:rsid w:val="0084599E"/>
    <w:rsid w:val="00846ECE"/>
    <w:rsid w:val="00847E73"/>
    <w:rsid w:val="0085777C"/>
    <w:rsid w:val="008637BB"/>
    <w:rsid w:val="0086702E"/>
    <w:rsid w:val="008773FA"/>
    <w:rsid w:val="008778BC"/>
    <w:rsid w:val="00877C94"/>
    <w:rsid w:val="00885017"/>
    <w:rsid w:val="008866BB"/>
    <w:rsid w:val="008922A2"/>
    <w:rsid w:val="00894E81"/>
    <w:rsid w:val="008A2212"/>
    <w:rsid w:val="008A69C0"/>
    <w:rsid w:val="008B0A90"/>
    <w:rsid w:val="008C615A"/>
    <w:rsid w:val="008C6F38"/>
    <w:rsid w:val="008D2AE9"/>
    <w:rsid w:val="008D7BC5"/>
    <w:rsid w:val="008D7F11"/>
    <w:rsid w:val="008E0DE5"/>
    <w:rsid w:val="008E0ED5"/>
    <w:rsid w:val="008F46A8"/>
    <w:rsid w:val="009011AA"/>
    <w:rsid w:val="00904719"/>
    <w:rsid w:val="00905A61"/>
    <w:rsid w:val="00906CDE"/>
    <w:rsid w:val="00912A26"/>
    <w:rsid w:val="00914E40"/>
    <w:rsid w:val="009202ED"/>
    <w:rsid w:val="0092224F"/>
    <w:rsid w:val="00922EA2"/>
    <w:rsid w:val="009269B9"/>
    <w:rsid w:val="00926D2F"/>
    <w:rsid w:val="00927D18"/>
    <w:rsid w:val="0093045F"/>
    <w:rsid w:val="009375D0"/>
    <w:rsid w:val="009437C3"/>
    <w:rsid w:val="00945218"/>
    <w:rsid w:val="009564D2"/>
    <w:rsid w:val="009623FA"/>
    <w:rsid w:val="00963601"/>
    <w:rsid w:val="00967AC1"/>
    <w:rsid w:val="00972DDD"/>
    <w:rsid w:val="0097348B"/>
    <w:rsid w:val="00974335"/>
    <w:rsid w:val="009755B0"/>
    <w:rsid w:val="00976B22"/>
    <w:rsid w:val="00983F1A"/>
    <w:rsid w:val="00986812"/>
    <w:rsid w:val="00987A81"/>
    <w:rsid w:val="00990A08"/>
    <w:rsid w:val="00993764"/>
    <w:rsid w:val="009959CC"/>
    <w:rsid w:val="009A0F83"/>
    <w:rsid w:val="009A1296"/>
    <w:rsid w:val="009A325B"/>
    <w:rsid w:val="009A6828"/>
    <w:rsid w:val="009B464F"/>
    <w:rsid w:val="009B4FE6"/>
    <w:rsid w:val="009B62EB"/>
    <w:rsid w:val="009C2A49"/>
    <w:rsid w:val="009C47FE"/>
    <w:rsid w:val="009D4F77"/>
    <w:rsid w:val="009D7300"/>
    <w:rsid w:val="009E1938"/>
    <w:rsid w:val="009E764B"/>
    <w:rsid w:val="009F121C"/>
    <w:rsid w:val="00A01598"/>
    <w:rsid w:val="00A029AD"/>
    <w:rsid w:val="00A03427"/>
    <w:rsid w:val="00A04BBF"/>
    <w:rsid w:val="00A119B3"/>
    <w:rsid w:val="00A1315A"/>
    <w:rsid w:val="00A14A06"/>
    <w:rsid w:val="00A2305C"/>
    <w:rsid w:val="00A23FB7"/>
    <w:rsid w:val="00A24345"/>
    <w:rsid w:val="00A32AF7"/>
    <w:rsid w:val="00A3667B"/>
    <w:rsid w:val="00A532DA"/>
    <w:rsid w:val="00A606B6"/>
    <w:rsid w:val="00A626B5"/>
    <w:rsid w:val="00A646CA"/>
    <w:rsid w:val="00A70514"/>
    <w:rsid w:val="00A74FEC"/>
    <w:rsid w:val="00A87A11"/>
    <w:rsid w:val="00AA1392"/>
    <w:rsid w:val="00AA19DB"/>
    <w:rsid w:val="00AB3D4C"/>
    <w:rsid w:val="00AC3D60"/>
    <w:rsid w:val="00AC7F37"/>
    <w:rsid w:val="00AD6821"/>
    <w:rsid w:val="00AD6E67"/>
    <w:rsid w:val="00AE3304"/>
    <w:rsid w:val="00AE40B0"/>
    <w:rsid w:val="00AF2D66"/>
    <w:rsid w:val="00AF3832"/>
    <w:rsid w:val="00AF4379"/>
    <w:rsid w:val="00AF6B0E"/>
    <w:rsid w:val="00AF6B4C"/>
    <w:rsid w:val="00B0468B"/>
    <w:rsid w:val="00B15251"/>
    <w:rsid w:val="00B15FE5"/>
    <w:rsid w:val="00B24BC0"/>
    <w:rsid w:val="00B25E0A"/>
    <w:rsid w:val="00B26691"/>
    <w:rsid w:val="00B272E5"/>
    <w:rsid w:val="00B31065"/>
    <w:rsid w:val="00B31805"/>
    <w:rsid w:val="00B330E0"/>
    <w:rsid w:val="00B34DAF"/>
    <w:rsid w:val="00B3729F"/>
    <w:rsid w:val="00B42D67"/>
    <w:rsid w:val="00B44CD9"/>
    <w:rsid w:val="00B52BD0"/>
    <w:rsid w:val="00B5561C"/>
    <w:rsid w:val="00B57268"/>
    <w:rsid w:val="00B6258C"/>
    <w:rsid w:val="00B625D9"/>
    <w:rsid w:val="00B632F8"/>
    <w:rsid w:val="00B63AEE"/>
    <w:rsid w:val="00B67228"/>
    <w:rsid w:val="00B723AA"/>
    <w:rsid w:val="00B73FE7"/>
    <w:rsid w:val="00B74B29"/>
    <w:rsid w:val="00B7737E"/>
    <w:rsid w:val="00B8271A"/>
    <w:rsid w:val="00B952B8"/>
    <w:rsid w:val="00B96981"/>
    <w:rsid w:val="00B97D2C"/>
    <w:rsid w:val="00BA0044"/>
    <w:rsid w:val="00BB1B9A"/>
    <w:rsid w:val="00BB5A56"/>
    <w:rsid w:val="00BC6814"/>
    <w:rsid w:val="00BD3516"/>
    <w:rsid w:val="00BD38A3"/>
    <w:rsid w:val="00BD4F97"/>
    <w:rsid w:val="00BE0658"/>
    <w:rsid w:val="00BE1DBA"/>
    <w:rsid w:val="00BE5460"/>
    <w:rsid w:val="00BE71B3"/>
    <w:rsid w:val="00BF2F0C"/>
    <w:rsid w:val="00BF3043"/>
    <w:rsid w:val="00BF4A2B"/>
    <w:rsid w:val="00C009E7"/>
    <w:rsid w:val="00C05D69"/>
    <w:rsid w:val="00C065B2"/>
    <w:rsid w:val="00C06D40"/>
    <w:rsid w:val="00C06F10"/>
    <w:rsid w:val="00C10EA5"/>
    <w:rsid w:val="00C16785"/>
    <w:rsid w:val="00C20CDE"/>
    <w:rsid w:val="00C278DB"/>
    <w:rsid w:val="00C30B64"/>
    <w:rsid w:val="00C333DB"/>
    <w:rsid w:val="00C33C35"/>
    <w:rsid w:val="00C3628D"/>
    <w:rsid w:val="00C4217E"/>
    <w:rsid w:val="00C42522"/>
    <w:rsid w:val="00C5014A"/>
    <w:rsid w:val="00C51957"/>
    <w:rsid w:val="00C52B4E"/>
    <w:rsid w:val="00C564B9"/>
    <w:rsid w:val="00C62A2D"/>
    <w:rsid w:val="00C6678D"/>
    <w:rsid w:val="00C669B1"/>
    <w:rsid w:val="00C67001"/>
    <w:rsid w:val="00C671A3"/>
    <w:rsid w:val="00C716EE"/>
    <w:rsid w:val="00C73ACF"/>
    <w:rsid w:val="00C82813"/>
    <w:rsid w:val="00C83AF9"/>
    <w:rsid w:val="00C92DCD"/>
    <w:rsid w:val="00C930F2"/>
    <w:rsid w:val="00C946A5"/>
    <w:rsid w:val="00C9731F"/>
    <w:rsid w:val="00CA275C"/>
    <w:rsid w:val="00CB10D9"/>
    <w:rsid w:val="00CB18FA"/>
    <w:rsid w:val="00CB1F06"/>
    <w:rsid w:val="00CB3076"/>
    <w:rsid w:val="00CB7386"/>
    <w:rsid w:val="00CC524F"/>
    <w:rsid w:val="00CC5D0F"/>
    <w:rsid w:val="00CE26C9"/>
    <w:rsid w:val="00CF24AA"/>
    <w:rsid w:val="00CF73B7"/>
    <w:rsid w:val="00D01E85"/>
    <w:rsid w:val="00D0256C"/>
    <w:rsid w:val="00D02DD1"/>
    <w:rsid w:val="00D07836"/>
    <w:rsid w:val="00D13EDD"/>
    <w:rsid w:val="00D14ED8"/>
    <w:rsid w:val="00D21E88"/>
    <w:rsid w:val="00D23A34"/>
    <w:rsid w:val="00D340A7"/>
    <w:rsid w:val="00D345A6"/>
    <w:rsid w:val="00D36DD9"/>
    <w:rsid w:val="00D41191"/>
    <w:rsid w:val="00D45F36"/>
    <w:rsid w:val="00D53E3E"/>
    <w:rsid w:val="00D55968"/>
    <w:rsid w:val="00D57303"/>
    <w:rsid w:val="00D57747"/>
    <w:rsid w:val="00D624DA"/>
    <w:rsid w:val="00D64E44"/>
    <w:rsid w:val="00D659E2"/>
    <w:rsid w:val="00D71A05"/>
    <w:rsid w:val="00D75E82"/>
    <w:rsid w:val="00D81A23"/>
    <w:rsid w:val="00D8517D"/>
    <w:rsid w:val="00D86643"/>
    <w:rsid w:val="00D87A9B"/>
    <w:rsid w:val="00D900FD"/>
    <w:rsid w:val="00D90808"/>
    <w:rsid w:val="00D95984"/>
    <w:rsid w:val="00DA011D"/>
    <w:rsid w:val="00DA0E45"/>
    <w:rsid w:val="00DA4578"/>
    <w:rsid w:val="00DA4A57"/>
    <w:rsid w:val="00DB0FEA"/>
    <w:rsid w:val="00DB2BD8"/>
    <w:rsid w:val="00DB2F35"/>
    <w:rsid w:val="00DB5285"/>
    <w:rsid w:val="00DC0489"/>
    <w:rsid w:val="00DC6D0D"/>
    <w:rsid w:val="00DD0800"/>
    <w:rsid w:val="00DD10AC"/>
    <w:rsid w:val="00DD3B8C"/>
    <w:rsid w:val="00DD6264"/>
    <w:rsid w:val="00DD790F"/>
    <w:rsid w:val="00DE1B0F"/>
    <w:rsid w:val="00DF7BA6"/>
    <w:rsid w:val="00E006D0"/>
    <w:rsid w:val="00E051DA"/>
    <w:rsid w:val="00E1707E"/>
    <w:rsid w:val="00E23160"/>
    <w:rsid w:val="00E27190"/>
    <w:rsid w:val="00E30152"/>
    <w:rsid w:val="00E3066E"/>
    <w:rsid w:val="00E40D10"/>
    <w:rsid w:val="00E421C8"/>
    <w:rsid w:val="00E45155"/>
    <w:rsid w:val="00E50F68"/>
    <w:rsid w:val="00E61A1C"/>
    <w:rsid w:val="00E62A07"/>
    <w:rsid w:val="00E645A4"/>
    <w:rsid w:val="00E646F7"/>
    <w:rsid w:val="00E71A2A"/>
    <w:rsid w:val="00E75215"/>
    <w:rsid w:val="00E86B02"/>
    <w:rsid w:val="00E90B87"/>
    <w:rsid w:val="00E93C4C"/>
    <w:rsid w:val="00E97A82"/>
    <w:rsid w:val="00EB7DA8"/>
    <w:rsid w:val="00ED4120"/>
    <w:rsid w:val="00ED53A3"/>
    <w:rsid w:val="00EE2DCB"/>
    <w:rsid w:val="00EE4F1E"/>
    <w:rsid w:val="00EF0AEE"/>
    <w:rsid w:val="00F03E7E"/>
    <w:rsid w:val="00F0653A"/>
    <w:rsid w:val="00F0724D"/>
    <w:rsid w:val="00F12489"/>
    <w:rsid w:val="00F20519"/>
    <w:rsid w:val="00F20C09"/>
    <w:rsid w:val="00F23A66"/>
    <w:rsid w:val="00F274C9"/>
    <w:rsid w:val="00F34789"/>
    <w:rsid w:val="00F35DCA"/>
    <w:rsid w:val="00F42645"/>
    <w:rsid w:val="00F512E7"/>
    <w:rsid w:val="00F52348"/>
    <w:rsid w:val="00F53D93"/>
    <w:rsid w:val="00F541B2"/>
    <w:rsid w:val="00F561C7"/>
    <w:rsid w:val="00F64AAE"/>
    <w:rsid w:val="00F711FC"/>
    <w:rsid w:val="00F73918"/>
    <w:rsid w:val="00F80147"/>
    <w:rsid w:val="00F80B69"/>
    <w:rsid w:val="00F854C1"/>
    <w:rsid w:val="00F90E01"/>
    <w:rsid w:val="00F9240F"/>
    <w:rsid w:val="00F92F47"/>
    <w:rsid w:val="00FA0423"/>
    <w:rsid w:val="00FA19B7"/>
    <w:rsid w:val="00FA34CC"/>
    <w:rsid w:val="00FA4467"/>
    <w:rsid w:val="00FB3719"/>
    <w:rsid w:val="00FB3A8C"/>
    <w:rsid w:val="00FB6A8D"/>
    <w:rsid w:val="00FC1960"/>
    <w:rsid w:val="00FC1EBA"/>
    <w:rsid w:val="00FC46DD"/>
    <w:rsid w:val="00FC5CFF"/>
    <w:rsid w:val="00FC6F47"/>
    <w:rsid w:val="00FD2DF8"/>
    <w:rsid w:val="00FD4BCF"/>
    <w:rsid w:val="00FF39CF"/>
    <w:rsid w:val="01BF386B"/>
    <w:rsid w:val="02695C9D"/>
    <w:rsid w:val="07972AF0"/>
    <w:rsid w:val="07ED289B"/>
    <w:rsid w:val="07ED68B8"/>
    <w:rsid w:val="093C07F8"/>
    <w:rsid w:val="0A0855DF"/>
    <w:rsid w:val="0A940DEC"/>
    <w:rsid w:val="0AE05CC8"/>
    <w:rsid w:val="0BDF4286"/>
    <w:rsid w:val="0C4B6E38"/>
    <w:rsid w:val="0F883D87"/>
    <w:rsid w:val="10D64689"/>
    <w:rsid w:val="127669D8"/>
    <w:rsid w:val="1295728D"/>
    <w:rsid w:val="1435282A"/>
    <w:rsid w:val="15F70B98"/>
    <w:rsid w:val="16F05C47"/>
    <w:rsid w:val="17001571"/>
    <w:rsid w:val="175E3E21"/>
    <w:rsid w:val="17BE4C81"/>
    <w:rsid w:val="18192C75"/>
    <w:rsid w:val="193E3E78"/>
    <w:rsid w:val="19AF0CB4"/>
    <w:rsid w:val="1C08430B"/>
    <w:rsid w:val="1CDF436F"/>
    <w:rsid w:val="1DBF6B88"/>
    <w:rsid w:val="1E851BB1"/>
    <w:rsid w:val="1FD6496A"/>
    <w:rsid w:val="1FF22A64"/>
    <w:rsid w:val="218E0488"/>
    <w:rsid w:val="223B2F6E"/>
    <w:rsid w:val="22560A16"/>
    <w:rsid w:val="24745286"/>
    <w:rsid w:val="25933310"/>
    <w:rsid w:val="25C16BD4"/>
    <w:rsid w:val="26A57B72"/>
    <w:rsid w:val="271933B4"/>
    <w:rsid w:val="27D64F97"/>
    <w:rsid w:val="289D72E9"/>
    <w:rsid w:val="28B50BD7"/>
    <w:rsid w:val="28FF10C9"/>
    <w:rsid w:val="29817026"/>
    <w:rsid w:val="2B157704"/>
    <w:rsid w:val="2C736DD8"/>
    <w:rsid w:val="2DB87427"/>
    <w:rsid w:val="2DF9330D"/>
    <w:rsid w:val="2FAC4ADB"/>
    <w:rsid w:val="300A7A53"/>
    <w:rsid w:val="303B22FD"/>
    <w:rsid w:val="30A04ED5"/>
    <w:rsid w:val="31EC0AD5"/>
    <w:rsid w:val="31F351DB"/>
    <w:rsid w:val="32B6615F"/>
    <w:rsid w:val="32DD0B47"/>
    <w:rsid w:val="331754E6"/>
    <w:rsid w:val="33244988"/>
    <w:rsid w:val="33802506"/>
    <w:rsid w:val="343659B5"/>
    <w:rsid w:val="34E21A1D"/>
    <w:rsid w:val="35216B3A"/>
    <w:rsid w:val="35977DB1"/>
    <w:rsid w:val="3705368B"/>
    <w:rsid w:val="3717405F"/>
    <w:rsid w:val="372E7B0F"/>
    <w:rsid w:val="381C789A"/>
    <w:rsid w:val="3A571AE7"/>
    <w:rsid w:val="3BB84807"/>
    <w:rsid w:val="3C4C637B"/>
    <w:rsid w:val="3E9A3641"/>
    <w:rsid w:val="3F453540"/>
    <w:rsid w:val="3FC80830"/>
    <w:rsid w:val="40D16958"/>
    <w:rsid w:val="40E52904"/>
    <w:rsid w:val="429162A1"/>
    <w:rsid w:val="42CD210B"/>
    <w:rsid w:val="42D20ABE"/>
    <w:rsid w:val="42F26851"/>
    <w:rsid w:val="430D5439"/>
    <w:rsid w:val="43335C2B"/>
    <w:rsid w:val="43950C09"/>
    <w:rsid w:val="43BB52AD"/>
    <w:rsid w:val="43D0673D"/>
    <w:rsid w:val="447D1A6E"/>
    <w:rsid w:val="45DA52A8"/>
    <w:rsid w:val="47ED734D"/>
    <w:rsid w:val="48591CAE"/>
    <w:rsid w:val="488F1B48"/>
    <w:rsid w:val="48B14AB8"/>
    <w:rsid w:val="494E2350"/>
    <w:rsid w:val="4A205A52"/>
    <w:rsid w:val="4BBC46C9"/>
    <w:rsid w:val="4C1A5CE7"/>
    <w:rsid w:val="4CFE5A61"/>
    <w:rsid w:val="4DD54DA5"/>
    <w:rsid w:val="4DF307D4"/>
    <w:rsid w:val="4E8812E3"/>
    <w:rsid w:val="4E934047"/>
    <w:rsid w:val="4F50502B"/>
    <w:rsid w:val="4F685F71"/>
    <w:rsid w:val="4FFF5E17"/>
    <w:rsid w:val="50C2318C"/>
    <w:rsid w:val="5131339E"/>
    <w:rsid w:val="514A1910"/>
    <w:rsid w:val="52E350B6"/>
    <w:rsid w:val="53497E4F"/>
    <w:rsid w:val="53A2509C"/>
    <w:rsid w:val="53E1631D"/>
    <w:rsid w:val="545D030C"/>
    <w:rsid w:val="548206B4"/>
    <w:rsid w:val="55AF05D2"/>
    <w:rsid w:val="55FD02B6"/>
    <w:rsid w:val="565B0081"/>
    <w:rsid w:val="56B241CC"/>
    <w:rsid w:val="56C62E6D"/>
    <w:rsid w:val="5A4C6CD9"/>
    <w:rsid w:val="5A5D71D1"/>
    <w:rsid w:val="5B662967"/>
    <w:rsid w:val="5BDA6D5A"/>
    <w:rsid w:val="5C7907C5"/>
    <w:rsid w:val="5DFA6C18"/>
    <w:rsid w:val="5E565A8E"/>
    <w:rsid w:val="5E6D370A"/>
    <w:rsid w:val="5ED656F0"/>
    <w:rsid w:val="60071C9B"/>
    <w:rsid w:val="6021741E"/>
    <w:rsid w:val="605807A0"/>
    <w:rsid w:val="606E70C0"/>
    <w:rsid w:val="60C93F57"/>
    <w:rsid w:val="61996BAE"/>
    <w:rsid w:val="62632EA9"/>
    <w:rsid w:val="63A54188"/>
    <w:rsid w:val="656F0784"/>
    <w:rsid w:val="66260616"/>
    <w:rsid w:val="667512A3"/>
    <w:rsid w:val="6698458E"/>
    <w:rsid w:val="67755D57"/>
    <w:rsid w:val="67E00F22"/>
    <w:rsid w:val="683134FF"/>
    <w:rsid w:val="68374D9E"/>
    <w:rsid w:val="683A638D"/>
    <w:rsid w:val="690D7691"/>
    <w:rsid w:val="691937FC"/>
    <w:rsid w:val="6A152DAC"/>
    <w:rsid w:val="6B0A7947"/>
    <w:rsid w:val="6C4724D4"/>
    <w:rsid w:val="6C7E67F1"/>
    <w:rsid w:val="6D2D3CA9"/>
    <w:rsid w:val="6E025E88"/>
    <w:rsid w:val="718D32CB"/>
    <w:rsid w:val="72252A6C"/>
    <w:rsid w:val="73873F96"/>
    <w:rsid w:val="73DC038C"/>
    <w:rsid w:val="748219C8"/>
    <w:rsid w:val="74E63293"/>
    <w:rsid w:val="75566574"/>
    <w:rsid w:val="762767FD"/>
    <w:rsid w:val="76DA690B"/>
    <w:rsid w:val="771D4F43"/>
    <w:rsid w:val="781D00C9"/>
    <w:rsid w:val="781E7BA9"/>
    <w:rsid w:val="78961451"/>
    <w:rsid w:val="789F482B"/>
    <w:rsid w:val="78C12F29"/>
    <w:rsid w:val="797B54A2"/>
    <w:rsid w:val="79A00398"/>
    <w:rsid w:val="79F41980"/>
    <w:rsid w:val="7A36630D"/>
    <w:rsid w:val="7BA479E1"/>
    <w:rsid w:val="7C0C420C"/>
    <w:rsid w:val="7E7F72F0"/>
    <w:rsid w:val="7F165683"/>
    <w:rsid w:val="7F63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19"/>
    <w:qFormat/>
    <w:uiPriority w:val="9"/>
    <w:pPr>
      <w:keepNext/>
      <w:keepLines/>
      <w:spacing w:before="260" w:after="260" w:line="416" w:lineRule="auto"/>
      <w:outlineLvl w:val="1"/>
    </w:pPr>
    <w:rPr>
      <w:rFonts w:ascii="Cambria" w:hAnsi="Cambria" w:eastAsia="宋体"/>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Plain Text"/>
    <w:basedOn w:val="1"/>
    <w:link w:val="21"/>
    <w:qFormat/>
    <w:uiPriority w:val="0"/>
    <w:rPr>
      <w:rFonts w:ascii="宋体" w:hAnsi="Courier New" w:eastAsia="宋体"/>
      <w:sz w:val="21"/>
      <w:szCs w:val="20"/>
    </w:rPr>
  </w:style>
  <w:style w:type="paragraph" w:styleId="6">
    <w:name w:val="Balloon Text"/>
    <w:basedOn w:val="1"/>
    <w:link w:val="22"/>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line="360" w:lineRule="auto"/>
      <w:ind w:firstLine="200" w:firstLineChars="200"/>
    </w:pPr>
    <w:rPr>
      <w:rFonts w:eastAsia="宋体"/>
      <w:sz w:val="24"/>
      <w:szCs w:val="22"/>
    </w:rPr>
  </w:style>
  <w:style w:type="paragraph" w:styleId="10">
    <w:name w:val="toc 2"/>
    <w:basedOn w:val="1"/>
    <w:next w:val="1"/>
    <w:unhideWhenUsed/>
    <w:qFormat/>
    <w:uiPriority w:val="39"/>
    <w:pPr>
      <w:ind w:left="420" w:leftChars="200"/>
    </w:pPr>
    <w:rPr>
      <w:rFonts w:ascii="Calibri" w:hAnsi="Calibri" w:eastAsia="宋体"/>
      <w:sz w:val="21"/>
      <w:szCs w:val="22"/>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2">
    <w:name w:val="Title"/>
    <w:basedOn w:val="1"/>
    <w:next w:val="1"/>
    <w:link w:val="25"/>
    <w:qFormat/>
    <w:uiPriority w:val="10"/>
    <w:pPr>
      <w:spacing w:before="240" w:after="60" w:line="360" w:lineRule="auto"/>
      <w:ind w:firstLine="200" w:firstLineChars="200"/>
      <w:jc w:val="center"/>
      <w:outlineLvl w:val="0"/>
    </w:pPr>
    <w:rPr>
      <w:rFonts w:ascii="Cambria" w:hAnsi="Cambria" w:eastAsia="楷体"/>
      <w:b/>
      <w:sz w:val="36"/>
      <w:szCs w:val="20"/>
    </w:rPr>
  </w:style>
  <w:style w:type="paragraph" w:styleId="13">
    <w:name w:val="annotation subject"/>
    <w:basedOn w:val="4"/>
    <w:next w:val="4"/>
    <w:link w:val="26"/>
    <w:unhideWhenUsed/>
    <w:qFormat/>
    <w:uiPriority w:val="99"/>
    <w:rPr>
      <w:b/>
      <w:bCs/>
    </w:rPr>
  </w:style>
  <w:style w:type="character" w:styleId="16">
    <w:name w:val="Hyperlink"/>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标题 1 Char"/>
    <w:link w:val="2"/>
    <w:qFormat/>
    <w:uiPriority w:val="9"/>
    <w:rPr>
      <w:b/>
      <w:bCs/>
      <w:kern w:val="44"/>
      <w:sz w:val="44"/>
      <w:szCs w:val="44"/>
    </w:rPr>
  </w:style>
  <w:style w:type="character" w:customStyle="1" w:styleId="19">
    <w:name w:val="标题 2 Char"/>
    <w:link w:val="3"/>
    <w:qFormat/>
    <w:uiPriority w:val="9"/>
    <w:rPr>
      <w:rFonts w:ascii="Cambria" w:hAnsi="Cambria"/>
      <w:b/>
      <w:bCs/>
      <w:kern w:val="2"/>
      <w:sz w:val="32"/>
      <w:szCs w:val="32"/>
    </w:rPr>
  </w:style>
  <w:style w:type="character" w:customStyle="1" w:styleId="20">
    <w:name w:val="批注文字 Char"/>
    <w:link w:val="4"/>
    <w:semiHidden/>
    <w:qFormat/>
    <w:uiPriority w:val="99"/>
    <w:rPr>
      <w:rFonts w:ascii="Times New Roman" w:hAnsi="Times New Roman" w:eastAsia="仿宋"/>
      <w:kern w:val="2"/>
      <w:sz w:val="32"/>
      <w:szCs w:val="24"/>
    </w:rPr>
  </w:style>
  <w:style w:type="character" w:customStyle="1" w:styleId="21">
    <w:name w:val="纯文本 Char"/>
    <w:link w:val="5"/>
    <w:qFormat/>
    <w:uiPriority w:val="0"/>
    <w:rPr>
      <w:rFonts w:ascii="宋体" w:hAnsi="Courier New"/>
      <w:kern w:val="2"/>
      <w:sz w:val="21"/>
    </w:rPr>
  </w:style>
  <w:style w:type="character" w:customStyle="1" w:styleId="22">
    <w:name w:val="批注框文本 Char"/>
    <w:link w:val="6"/>
    <w:semiHidden/>
    <w:qFormat/>
    <w:uiPriority w:val="99"/>
    <w:rPr>
      <w:rFonts w:ascii="Times New Roman" w:hAnsi="Times New Roman" w:eastAsia="仿宋"/>
      <w:kern w:val="2"/>
      <w:sz w:val="18"/>
      <w:szCs w:val="18"/>
    </w:rPr>
  </w:style>
  <w:style w:type="character" w:customStyle="1" w:styleId="23">
    <w:name w:val="页脚 Char"/>
    <w:link w:val="7"/>
    <w:qFormat/>
    <w:uiPriority w:val="99"/>
    <w:rPr>
      <w:sz w:val="18"/>
      <w:szCs w:val="18"/>
    </w:rPr>
  </w:style>
  <w:style w:type="character" w:customStyle="1" w:styleId="24">
    <w:name w:val="页眉 Char"/>
    <w:link w:val="8"/>
    <w:qFormat/>
    <w:uiPriority w:val="99"/>
    <w:rPr>
      <w:sz w:val="18"/>
      <w:szCs w:val="18"/>
    </w:rPr>
  </w:style>
  <w:style w:type="character" w:customStyle="1" w:styleId="25">
    <w:name w:val="标题 Char"/>
    <w:link w:val="12"/>
    <w:qFormat/>
    <w:uiPriority w:val="10"/>
    <w:rPr>
      <w:rFonts w:ascii="Cambria" w:hAnsi="Cambria" w:eastAsia="楷体"/>
      <w:b/>
      <w:kern w:val="2"/>
      <w:sz w:val="36"/>
    </w:rPr>
  </w:style>
  <w:style w:type="character" w:customStyle="1" w:styleId="26">
    <w:name w:val="批注主题 Char"/>
    <w:link w:val="13"/>
    <w:semiHidden/>
    <w:qFormat/>
    <w:uiPriority w:val="99"/>
    <w:rPr>
      <w:rFonts w:ascii="Times New Roman" w:hAnsi="Times New Roman" w:eastAsia="仿宋"/>
      <w:b/>
      <w:bCs/>
      <w:kern w:val="2"/>
      <w:sz w:val="32"/>
      <w:szCs w:val="24"/>
    </w:rPr>
  </w:style>
  <w:style w:type="paragraph" w:customStyle="1" w:styleId="27">
    <w:name w:val="修订1"/>
    <w:semiHidden/>
    <w:qFormat/>
    <w:uiPriority w:val="99"/>
    <w:rPr>
      <w:rFonts w:ascii="Times New Roman" w:hAnsi="Times New Roman" w:eastAsia="仿宋" w:cs="Times New Roman"/>
      <w:kern w:val="2"/>
      <w:sz w:val="32"/>
      <w:szCs w:val="24"/>
      <w:lang w:val="en-US" w:eastAsia="zh-CN" w:bidi="ar-SA"/>
    </w:rPr>
  </w:style>
  <w:style w:type="paragraph" w:styleId="28">
    <w:name w:val="List Paragraph"/>
    <w:basedOn w:val="1"/>
    <w:link w:val="29"/>
    <w:qFormat/>
    <w:uiPriority w:val="34"/>
    <w:pPr>
      <w:ind w:firstLine="420" w:firstLineChars="200"/>
    </w:pPr>
    <w:rPr>
      <w:rFonts w:ascii="Calibri" w:hAnsi="Calibri" w:eastAsia="宋体"/>
      <w:sz w:val="21"/>
      <w:szCs w:val="22"/>
    </w:rPr>
  </w:style>
  <w:style w:type="character" w:customStyle="1" w:styleId="29">
    <w:name w:val="列出段落 Char"/>
    <w:link w:val="28"/>
    <w:qFormat/>
    <w:uiPriority w:val="34"/>
    <w:rPr>
      <w:kern w:val="2"/>
      <w:sz w:val="21"/>
      <w:szCs w:val="22"/>
    </w:rPr>
  </w:style>
  <w:style w:type="paragraph" w:customStyle="1" w:styleId="30">
    <w:name w:val="_Style 3"/>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1318</Words>
  <Characters>7516</Characters>
  <Lines>62</Lines>
  <Paragraphs>17</Paragraphs>
  <TotalTime>42</TotalTime>
  <ScaleCrop>false</ScaleCrop>
  <LinksUpToDate>false</LinksUpToDate>
  <CharactersWithSpaces>8817</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2023-10-16T07:31:00Z</dcterms:created>
  <dc:creator>曾蓓蓓[bbzeng]</dc:creator>
  <cp:lastModifiedBy>马晓慧</cp:lastModifiedBy>
  <dcterms:modified xsi:type="dcterms:W3CDTF">2023-10-20T09:25:26Z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Title">
    <vt:lpwstr/>
  </property>
  <property fmtid="{D5CDD505-2E9C-101B-9397-08002B2CF9AE}" pid="4" name="KSOProductBuildVer">
    <vt:lpwstr>2052-11.8.2.12080</vt:lpwstr>
  </property>
  <property fmtid="{D5CDD505-2E9C-101B-9397-08002B2CF9AE}" pid="5" name="ICV">
    <vt:lpwstr>49FBA7139CB641EC8DC7FAB2717F080A</vt:lpwstr>
  </property>
</Properties>
</file>