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left"/>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lang w:val="en"/>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spacing w:line="500" w:lineRule="atLeast"/>
        <w:jc w:val="left"/>
        <w:rPr>
          <w:rFonts w:ascii="Times New Roman" w:hAnsi="Times New Roman" w:eastAsia="仿宋_GB2312" w:cs="Times New Roman"/>
          <w:sz w:val="32"/>
          <w:szCs w:val="32"/>
        </w:rPr>
      </w:pPr>
    </w:p>
    <w:p>
      <w:pPr>
        <w:adjustRightInd w:val="0"/>
        <w:snapToGrid w:val="0"/>
        <w:spacing w:line="6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年度行政事业性国有资产</w:t>
      </w:r>
      <w:r>
        <w:rPr>
          <w:rFonts w:hint="default" w:ascii="Times New Roman" w:hAnsi="Times New Roman" w:eastAsia="方正小标宋简体" w:cs="Times New Roman"/>
          <w:sz w:val="44"/>
          <w:szCs w:val="44"/>
          <w:lang w:val="en-US" w:eastAsia="zh-CN"/>
        </w:rPr>
        <w:t>报告</w:t>
      </w:r>
    </w:p>
    <w:p>
      <w:pPr>
        <w:adjustRightInd w:val="0"/>
        <w:snapToGrid w:val="0"/>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填报说明提纲</w:t>
      </w:r>
    </w:p>
    <w:p>
      <w:pPr>
        <w:adjustRightInd w:val="0"/>
        <w:snapToGrid w:val="0"/>
        <w:spacing w:line="600" w:lineRule="exact"/>
        <w:jc w:val="center"/>
        <w:rPr>
          <w:rFonts w:ascii="Times New Roman" w:hAnsi="Times New Roman" w:eastAsia="仿宋_GB2312" w:cs="Times New Roman"/>
          <w:sz w:val="32"/>
          <w:szCs w:val="32"/>
        </w:rPr>
      </w:pPr>
    </w:p>
    <w:p>
      <w:pPr>
        <w:pStyle w:val="3"/>
        <w:spacing w:line="600" w:lineRule="exact"/>
        <w:ind w:left="640"/>
        <w:rPr>
          <w:rFonts w:ascii="Times New Roman" w:hAnsi="Times New Roman" w:eastAsia="黑体" w:cs="Times New Roman"/>
          <w:bCs/>
          <w:sz w:val="32"/>
          <w:szCs w:val="32"/>
        </w:rPr>
      </w:pPr>
      <w:r>
        <w:rPr>
          <w:rFonts w:hint="default" w:ascii="Times New Roman" w:hAnsi="Times New Roman" w:eastAsia="黑体" w:cs="Times New Roman"/>
          <w:bCs/>
          <w:sz w:val="32"/>
          <w:szCs w:val="32"/>
        </w:rPr>
        <w:t>一、数据填报口径</w:t>
      </w:r>
    </w:p>
    <w:p>
      <w:pPr>
        <w:pStyle w:val="3"/>
        <w:spacing w:line="600" w:lineRule="exact"/>
        <w:ind w:firstLine="640"/>
        <w:rPr>
          <w:rFonts w:ascii="Times New Roman" w:hAnsi="Times New Roman"/>
          <w:sz w:val="32"/>
          <w:szCs w:val="32"/>
        </w:rPr>
      </w:pPr>
      <w:r>
        <w:rPr>
          <w:rFonts w:hint="default" w:ascii="Times New Roman" w:hAnsi="Times New Roman"/>
          <w:color w:val="000000" w:themeColor="text1"/>
          <w:kern w:val="2"/>
          <w:sz w:val="32"/>
          <w:szCs w:val="32"/>
          <w14:textFill>
            <w14:solidFill>
              <w14:schemeClr w14:val="tx1"/>
            </w14:solidFill>
          </w14:textFill>
        </w:rPr>
        <w:t>本地区、本部门应纳入</w:t>
      </w:r>
      <w:r>
        <w:rPr>
          <w:rFonts w:hint="default" w:ascii="Times New Roman" w:hAnsi="Times New Roman" w:cs="Times New Roman"/>
          <w:color w:val="000000" w:themeColor="text1"/>
          <w:kern w:val="2"/>
          <w:sz w:val="32"/>
          <w:szCs w:val="32"/>
          <w14:textFill>
            <w14:solidFill>
              <w14:schemeClr w14:val="tx1"/>
            </w14:solidFill>
          </w14:textFill>
        </w:rPr>
        <w:t>202</w:t>
      </w:r>
      <w:r>
        <w:rPr>
          <w:rFonts w:hint="default" w:ascii="Times New Roman" w:hAnsi="Times New Roman" w:cs="Times New Roman"/>
          <w:color w:val="000000" w:themeColor="text1"/>
          <w:kern w:val="2"/>
          <w:sz w:val="32"/>
          <w:szCs w:val="32"/>
          <w:lang w:val="en-US" w:eastAsia="zh-CN"/>
          <w14:textFill>
            <w14:solidFill>
              <w14:schemeClr w14:val="tx1"/>
            </w14:solidFill>
          </w14:textFill>
        </w:rPr>
        <w:t>3</w:t>
      </w:r>
      <w:r>
        <w:rPr>
          <w:rFonts w:hint="default" w:ascii="Times New Roman" w:hAnsi="Times New Roman"/>
          <w:color w:val="000000" w:themeColor="text1"/>
          <w:kern w:val="2"/>
          <w:sz w:val="32"/>
          <w:szCs w:val="32"/>
          <w14:textFill>
            <w14:solidFill>
              <w14:schemeClr w14:val="tx1"/>
            </w14:solidFill>
          </w14:textFill>
        </w:rPr>
        <w:t>年度行政事业性国有资产报表（以下简称资产报表）填报范围的行政事业单位共XX个，实际上报单位XX个。说明未上报单位原因。</w:t>
      </w:r>
    </w:p>
    <w:p>
      <w:pPr>
        <w:pStyle w:val="3"/>
        <w:spacing w:line="600" w:lineRule="exact"/>
        <w:ind w:left="640"/>
        <w:rPr>
          <w:rFonts w:ascii="Times New Roman" w:hAnsi="Times New Roman" w:eastAsia="黑体" w:cs="Times New Roman"/>
          <w:bCs/>
          <w:sz w:val="32"/>
          <w:szCs w:val="32"/>
        </w:rPr>
      </w:pPr>
      <w:r>
        <w:rPr>
          <w:rFonts w:hint="default" w:ascii="Times New Roman" w:hAnsi="Times New Roman" w:eastAsia="黑体" w:cs="Times New Roman"/>
          <w:bCs/>
          <w:sz w:val="32"/>
          <w:szCs w:val="32"/>
        </w:rPr>
        <w:t>二、数据审核情况</w:t>
      </w:r>
    </w:p>
    <w:p>
      <w:pPr>
        <w:pStyle w:val="3"/>
        <w:spacing w:line="600" w:lineRule="exact"/>
        <w:ind w:firstLine="470" w:firstLineChars="147"/>
        <w:rPr>
          <w:rFonts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（一）审核情况</w:t>
      </w:r>
    </w:p>
    <w:p>
      <w:pPr>
        <w:pStyle w:val="3"/>
        <w:spacing w:line="600" w:lineRule="exact"/>
        <w:ind w:firstLine="64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1.核实性审核。本地区、本部门全表审核后核实性问题提示共XX条，涉及XX个单位，说明主要原因。</w:t>
      </w:r>
    </w:p>
    <w:p>
      <w:pPr>
        <w:pStyle w:val="3"/>
        <w:spacing w:line="600" w:lineRule="exact"/>
        <w:ind w:firstLine="64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2.基础数据审核。本地区、本部门资产数据与上年对比，增减超过20%且≥±100万元的，说明主要原因。</w:t>
      </w:r>
    </w:p>
    <w:p>
      <w:pPr>
        <w:pStyle w:val="3"/>
        <w:spacing w:line="600" w:lineRule="exact"/>
        <w:ind w:firstLine="640"/>
        <w:rPr>
          <w:rFonts w:ascii="Times New Roman" w:hAnsi="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3.</w:t>
      </w:r>
      <w:r>
        <w:rPr>
          <w:rFonts w:ascii="Times New Roman" w:hAnsi="Times New Roman"/>
          <w:color w:val="000000" w:themeColor="text1"/>
          <w:kern w:val="2"/>
          <w:sz w:val="32"/>
          <w:szCs w:val="32"/>
          <w14:textFill>
            <w14:solidFill>
              <w14:schemeClr w14:val="tx1"/>
            </w14:solidFill>
          </w14:textFill>
        </w:rPr>
        <w:t>与国有企业财务会计决算对比审核。在本地区、本部门资产报表的对外投资情况表中，被投资单位中国有及国有控股企业户数与国有企业财务会计决算编报户数是否一致，若有差异说明原因。被投资单位所有者权益、归属于母公司所有者权益，与国有企业财务会计决算是否一致，若有差异说明原因。</w:t>
      </w:r>
    </w:p>
    <w:p>
      <w:pPr>
        <w:pStyle w:val="3"/>
        <w:spacing w:line="600" w:lineRule="exact"/>
        <w:ind w:firstLine="64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4.与政府部门财务报告对比审核。本地区、本部门报送资产报表的单位中，有XX个单位未纳入政府部门财务报告；纳入本地区、本部门政府部门财务报告的行政事业单位（不含企业化管理事业单位）有XX个未报送资产报表，说明主要原因。</w:t>
      </w:r>
    </w:p>
    <w:p>
      <w:pPr>
        <w:pStyle w:val="3"/>
        <w:spacing w:line="600" w:lineRule="exact"/>
        <w:ind w:firstLine="640"/>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color w:val="000000" w:themeColor="text1"/>
          <w:kern w:val="2"/>
          <w:sz w:val="32"/>
          <w:szCs w:val="32"/>
          <w14:textFill>
            <w14:solidFill>
              <w14:schemeClr w14:val="tx1"/>
            </w14:solidFill>
          </w14:textFill>
        </w:rPr>
        <w:t>5.与部门决算对比审核。本地区、本部门资产报表</w:t>
      </w:r>
      <w:r>
        <w:rPr>
          <w:rFonts w:hint="default" w:ascii="Times New Roman" w:hAnsi="Times New Roman" w:cs="Times New Roman"/>
          <w:color w:val="000000" w:themeColor="text1"/>
          <w:kern w:val="2"/>
          <w:sz w:val="32"/>
          <w:szCs w:val="32"/>
          <w:lang w:eastAsia="zh-CN"/>
          <w14:textFill>
            <w14:solidFill>
              <w14:schemeClr w14:val="tx1"/>
            </w14:solidFill>
          </w14:textFill>
        </w:rPr>
        <w:t>中</w:t>
      </w:r>
      <w:r>
        <w:rPr>
          <w:rFonts w:hint="default" w:ascii="Times New Roman" w:hAnsi="Times New Roman" w:cs="Times New Roman"/>
          <w:color w:val="000000" w:themeColor="text1"/>
          <w:kern w:val="2"/>
          <w:sz w:val="32"/>
          <w:szCs w:val="32"/>
          <w14:textFill>
            <w14:solidFill>
              <w14:schemeClr w14:val="tx1"/>
            </w14:solidFill>
          </w14:textFill>
        </w:rPr>
        <w:t>房屋、车辆、单价100万元（含）以上的设备</w:t>
      </w:r>
      <w:r>
        <w:rPr>
          <w:rFonts w:hint="default" w:ascii="Times New Roman" w:hAnsi="Times New Roman" w:cs="Times New Roman"/>
          <w:color w:val="000000" w:themeColor="text1"/>
          <w:kern w:val="2"/>
          <w:sz w:val="32"/>
          <w:szCs w:val="32"/>
          <w:lang w:eastAsia="zh-CN"/>
          <w14:textFill>
            <w14:solidFill>
              <w14:schemeClr w14:val="tx1"/>
            </w14:solidFill>
          </w14:textFill>
        </w:rPr>
        <w:t>等重点资产</w:t>
      </w:r>
      <w:r>
        <w:rPr>
          <w:rFonts w:hint="default" w:ascii="Times New Roman" w:hAnsi="Times New Roman" w:cs="Times New Roman"/>
          <w:color w:val="000000" w:themeColor="text1"/>
          <w:kern w:val="2"/>
          <w:sz w:val="32"/>
          <w:szCs w:val="32"/>
          <w14:textFill>
            <w14:solidFill>
              <w14:schemeClr w14:val="tx1"/>
            </w14:solidFill>
          </w14:textFill>
        </w:rPr>
        <w:t>，与部门决算相关数据对比，若有差异说明原因。</w:t>
      </w:r>
    </w:p>
    <w:p>
      <w:pPr>
        <w:pStyle w:val="3"/>
        <w:spacing w:line="600" w:lineRule="exact"/>
        <w:ind w:firstLine="470" w:firstLineChars="147"/>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（二）对报表指标、审核公式和分析表的设置建议</w:t>
      </w:r>
    </w:p>
    <w:p>
      <w:pPr>
        <w:pStyle w:val="3"/>
        <w:spacing w:line="60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1.对</w:t>
      </w:r>
      <w:r>
        <w:rPr>
          <w:rFonts w:hint="default" w:ascii="Times New Roman" w:hAnsi="Times New Roman" w:cs="Times New Roman"/>
          <w:sz w:val="32"/>
          <w:szCs w:val="32"/>
          <w:lang w:eastAsia="zh-CN"/>
        </w:rPr>
        <w:t>资产</w:t>
      </w:r>
      <w:r>
        <w:rPr>
          <w:rFonts w:hint="default" w:ascii="Times New Roman" w:hAnsi="Times New Roman" w:cs="Times New Roman"/>
          <w:sz w:val="32"/>
          <w:szCs w:val="32"/>
        </w:rPr>
        <w:t>报表指标设置的建议。</w:t>
      </w:r>
    </w:p>
    <w:p>
      <w:pPr>
        <w:pStyle w:val="3"/>
        <w:spacing w:line="60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2.如有不适用的审核公式，列出并说明修改意见。</w:t>
      </w:r>
    </w:p>
    <w:p>
      <w:pPr>
        <w:pStyle w:val="3"/>
        <w:spacing w:line="60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sz w:val="32"/>
          <w:szCs w:val="32"/>
          <w:lang w:eastAsia="zh-CN"/>
        </w:rPr>
        <w:t>对</w:t>
      </w:r>
      <w:r>
        <w:rPr>
          <w:rFonts w:hint="default" w:ascii="Times New Roman" w:hAnsi="Times New Roman" w:cs="Times New Roman"/>
          <w:sz w:val="32"/>
          <w:szCs w:val="32"/>
        </w:rPr>
        <w:t>本地区、本部门自行增加的审核公式，列出并说明设置依据。</w:t>
      </w:r>
    </w:p>
    <w:p>
      <w:pPr>
        <w:adjustRightInd w:val="0"/>
        <w:snapToGrid w:val="0"/>
        <w:spacing w:line="600" w:lineRule="exact"/>
        <w:ind w:firstLine="720" w:firstLineChars="225"/>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、其他需要</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说明</w:t>
      </w:r>
      <w:r>
        <w:rPr>
          <w:rFonts w:hint="default" w:ascii="Times New Roman" w:hAnsi="Times New Roman" w:eastAsia="黑体" w:cs="Times New Roman"/>
          <w:color w:val="000000" w:themeColor="text1"/>
          <w:sz w:val="32"/>
          <w:szCs w:val="32"/>
          <w:highlight w:val="none"/>
          <w14:textFill>
            <w14:solidFill>
              <w14:schemeClr w14:val="tx1"/>
            </w14:solidFill>
          </w14:textFill>
        </w:rPr>
        <w:t>的重要事项</w:t>
      </w:r>
    </w:p>
    <w:p>
      <w:pPr>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对本地区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产损失、权属不清晰等重要资产情况以及其他重要事项进行详细分析说明。</w:t>
      </w:r>
    </w:p>
    <w:p>
      <w:pPr>
        <w:adjustRightInd w:val="0"/>
        <w:snapToGrid w:val="0"/>
        <w:spacing w:line="600" w:lineRule="exact"/>
        <w:ind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本地区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本部门</w:t>
      </w:r>
      <w:r>
        <w:rPr>
          <w:rFonts w:hint="default" w:ascii="Times New Roman" w:hAnsi="Times New Roman" w:eastAsia="仿宋_GB2312" w:cs="Times New Roman"/>
          <w:color w:val="000000" w:themeColor="text1"/>
          <w:sz w:val="32"/>
          <w:szCs w:val="32"/>
          <w14:textFill>
            <w14:solidFill>
              <w14:schemeClr w14:val="tx1"/>
            </w14:solidFill>
          </w14:textFill>
        </w:rPr>
        <w:t>公共基础设施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政府储备物资、文物文化资产、保障性住房数据与行业统计数据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对比情况，如不一致应说明差异原因。</w:t>
      </w:r>
    </w:p>
    <w:p>
      <w:pPr>
        <w:pStyle w:val="3"/>
        <w:spacing w:line="600" w:lineRule="exact"/>
        <w:ind w:left="640"/>
        <w:rPr>
          <w:rFonts w:hint="default" w:ascii="Times New Roman" w:hAnsi="Times New Roman" w:eastAsia="仿宋" w:cs="Times New Roman"/>
          <w:sz w:val="32"/>
          <w:szCs w:val="32"/>
        </w:rPr>
      </w:pP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MzMjM3ZWUzYjQyNThlY2MzOTY3YjUzMmMwMTEifQ=="/>
  </w:docVars>
  <w:rsids>
    <w:rsidRoot w:val="00335991"/>
    <w:rsid w:val="000049FE"/>
    <w:rsid w:val="00025FE2"/>
    <w:rsid w:val="00060164"/>
    <w:rsid w:val="0006365D"/>
    <w:rsid w:val="00070D4D"/>
    <w:rsid w:val="00093C60"/>
    <w:rsid w:val="000A6954"/>
    <w:rsid w:val="000C0B41"/>
    <w:rsid w:val="000E1A94"/>
    <w:rsid w:val="00112231"/>
    <w:rsid w:val="001317CB"/>
    <w:rsid w:val="00135BD3"/>
    <w:rsid w:val="00186827"/>
    <w:rsid w:val="001A699D"/>
    <w:rsid w:val="001F1D3F"/>
    <w:rsid w:val="001F4EF9"/>
    <w:rsid w:val="00260835"/>
    <w:rsid w:val="002B7325"/>
    <w:rsid w:val="002E4761"/>
    <w:rsid w:val="002F1B98"/>
    <w:rsid w:val="00313106"/>
    <w:rsid w:val="00335991"/>
    <w:rsid w:val="00343D3A"/>
    <w:rsid w:val="00344E53"/>
    <w:rsid w:val="0039703D"/>
    <w:rsid w:val="003D4053"/>
    <w:rsid w:val="003F286C"/>
    <w:rsid w:val="004127EB"/>
    <w:rsid w:val="00432B1F"/>
    <w:rsid w:val="004B14B2"/>
    <w:rsid w:val="004C4497"/>
    <w:rsid w:val="004E66B6"/>
    <w:rsid w:val="00517084"/>
    <w:rsid w:val="00521A84"/>
    <w:rsid w:val="00544332"/>
    <w:rsid w:val="00591362"/>
    <w:rsid w:val="0059651B"/>
    <w:rsid w:val="005A1BA1"/>
    <w:rsid w:val="005B3DE9"/>
    <w:rsid w:val="005B7631"/>
    <w:rsid w:val="005E68B1"/>
    <w:rsid w:val="006048B6"/>
    <w:rsid w:val="00654FF0"/>
    <w:rsid w:val="00666CFD"/>
    <w:rsid w:val="00684169"/>
    <w:rsid w:val="006949CA"/>
    <w:rsid w:val="006E6AEC"/>
    <w:rsid w:val="00702284"/>
    <w:rsid w:val="00704CA6"/>
    <w:rsid w:val="007259D4"/>
    <w:rsid w:val="00725D34"/>
    <w:rsid w:val="00732BFE"/>
    <w:rsid w:val="00754EED"/>
    <w:rsid w:val="00796F97"/>
    <w:rsid w:val="0084501D"/>
    <w:rsid w:val="00846FA0"/>
    <w:rsid w:val="008E1490"/>
    <w:rsid w:val="00922278"/>
    <w:rsid w:val="00952E45"/>
    <w:rsid w:val="009636B1"/>
    <w:rsid w:val="0098376A"/>
    <w:rsid w:val="0099011D"/>
    <w:rsid w:val="009965F0"/>
    <w:rsid w:val="009A568B"/>
    <w:rsid w:val="009A678D"/>
    <w:rsid w:val="009B1B2E"/>
    <w:rsid w:val="009C2E68"/>
    <w:rsid w:val="009E32C4"/>
    <w:rsid w:val="009E6C2B"/>
    <w:rsid w:val="00A053A5"/>
    <w:rsid w:val="00A209C9"/>
    <w:rsid w:val="00A22192"/>
    <w:rsid w:val="00A52B3F"/>
    <w:rsid w:val="00A74088"/>
    <w:rsid w:val="00A75CAF"/>
    <w:rsid w:val="00AA7BFE"/>
    <w:rsid w:val="00AB43E0"/>
    <w:rsid w:val="00AB7AC4"/>
    <w:rsid w:val="00AD0838"/>
    <w:rsid w:val="00AD48AD"/>
    <w:rsid w:val="00AF54B7"/>
    <w:rsid w:val="00B0148B"/>
    <w:rsid w:val="00B10C3B"/>
    <w:rsid w:val="00B235AD"/>
    <w:rsid w:val="00B244F1"/>
    <w:rsid w:val="00B675BA"/>
    <w:rsid w:val="00B70B23"/>
    <w:rsid w:val="00B718A3"/>
    <w:rsid w:val="00B756DE"/>
    <w:rsid w:val="00BB0DA5"/>
    <w:rsid w:val="00BB25C0"/>
    <w:rsid w:val="00BC3E15"/>
    <w:rsid w:val="00C05D96"/>
    <w:rsid w:val="00C17C36"/>
    <w:rsid w:val="00C222AF"/>
    <w:rsid w:val="00C55A00"/>
    <w:rsid w:val="00C830C8"/>
    <w:rsid w:val="00C90C24"/>
    <w:rsid w:val="00C9528A"/>
    <w:rsid w:val="00CA4EA2"/>
    <w:rsid w:val="00CB2D15"/>
    <w:rsid w:val="00CE68C6"/>
    <w:rsid w:val="00CE68D6"/>
    <w:rsid w:val="00CF4439"/>
    <w:rsid w:val="00D15D43"/>
    <w:rsid w:val="00DA0CE3"/>
    <w:rsid w:val="00DD1279"/>
    <w:rsid w:val="00DE6C71"/>
    <w:rsid w:val="00DF0C51"/>
    <w:rsid w:val="00E05042"/>
    <w:rsid w:val="00E058EC"/>
    <w:rsid w:val="00E31B8A"/>
    <w:rsid w:val="00E85851"/>
    <w:rsid w:val="00EB7A21"/>
    <w:rsid w:val="00EC503B"/>
    <w:rsid w:val="00ED2A87"/>
    <w:rsid w:val="00ED5731"/>
    <w:rsid w:val="00F05080"/>
    <w:rsid w:val="00F30282"/>
    <w:rsid w:val="00F9113D"/>
    <w:rsid w:val="00FA395F"/>
    <w:rsid w:val="00FE4709"/>
    <w:rsid w:val="00FE6BEE"/>
    <w:rsid w:val="01B72FE8"/>
    <w:rsid w:val="04300CB7"/>
    <w:rsid w:val="05630DED"/>
    <w:rsid w:val="05737DA7"/>
    <w:rsid w:val="05DD0AAC"/>
    <w:rsid w:val="07C8056D"/>
    <w:rsid w:val="0803606E"/>
    <w:rsid w:val="086FDFDD"/>
    <w:rsid w:val="09445E4C"/>
    <w:rsid w:val="0A14573C"/>
    <w:rsid w:val="0AF7BDE6"/>
    <w:rsid w:val="17CB7957"/>
    <w:rsid w:val="18043766"/>
    <w:rsid w:val="18926B1D"/>
    <w:rsid w:val="189C500A"/>
    <w:rsid w:val="1A140B8C"/>
    <w:rsid w:val="1A3E4A12"/>
    <w:rsid w:val="1ADA5C0C"/>
    <w:rsid w:val="1C8E2CFC"/>
    <w:rsid w:val="1CE47404"/>
    <w:rsid w:val="1D1B3B15"/>
    <w:rsid w:val="1EA83571"/>
    <w:rsid w:val="2398650F"/>
    <w:rsid w:val="23F148EF"/>
    <w:rsid w:val="24B63E8F"/>
    <w:rsid w:val="24E34B4D"/>
    <w:rsid w:val="27343E39"/>
    <w:rsid w:val="27403D23"/>
    <w:rsid w:val="277CDB2B"/>
    <w:rsid w:val="2BDC8CC2"/>
    <w:rsid w:val="2C810C7E"/>
    <w:rsid w:val="2CE92C08"/>
    <w:rsid w:val="2D983B51"/>
    <w:rsid w:val="356A0CBA"/>
    <w:rsid w:val="368C3FCD"/>
    <w:rsid w:val="36E74043"/>
    <w:rsid w:val="3AB5BD6B"/>
    <w:rsid w:val="3B1D4ADF"/>
    <w:rsid w:val="3D0F0E7C"/>
    <w:rsid w:val="3D7C6550"/>
    <w:rsid w:val="3D7FBC8A"/>
    <w:rsid w:val="3DC04017"/>
    <w:rsid w:val="3DE16936"/>
    <w:rsid w:val="3E981F4A"/>
    <w:rsid w:val="3EE67CFE"/>
    <w:rsid w:val="3EF65B0D"/>
    <w:rsid w:val="3F890E9E"/>
    <w:rsid w:val="42015F7A"/>
    <w:rsid w:val="42A55E52"/>
    <w:rsid w:val="46F564D1"/>
    <w:rsid w:val="46FA99D2"/>
    <w:rsid w:val="49007BB4"/>
    <w:rsid w:val="4B95391B"/>
    <w:rsid w:val="4BDC7BBB"/>
    <w:rsid w:val="4D1508E9"/>
    <w:rsid w:val="4D8455FF"/>
    <w:rsid w:val="4E1E6695"/>
    <w:rsid w:val="4E8F59DC"/>
    <w:rsid w:val="4F366B63"/>
    <w:rsid w:val="4FED1790"/>
    <w:rsid w:val="4FF26E69"/>
    <w:rsid w:val="4FFF3EE2"/>
    <w:rsid w:val="529714CD"/>
    <w:rsid w:val="54D20C7A"/>
    <w:rsid w:val="559E2E51"/>
    <w:rsid w:val="57F9262B"/>
    <w:rsid w:val="581C0110"/>
    <w:rsid w:val="58F32484"/>
    <w:rsid w:val="59536C3D"/>
    <w:rsid w:val="5976AA47"/>
    <w:rsid w:val="59CC555B"/>
    <w:rsid w:val="5B735385"/>
    <w:rsid w:val="5C6B7BAA"/>
    <w:rsid w:val="5CEC8F21"/>
    <w:rsid w:val="5EC7117B"/>
    <w:rsid w:val="5FCC6669"/>
    <w:rsid w:val="60A52CFD"/>
    <w:rsid w:val="64CF0348"/>
    <w:rsid w:val="69B45402"/>
    <w:rsid w:val="6B065441"/>
    <w:rsid w:val="6BA8786E"/>
    <w:rsid w:val="6C4E4249"/>
    <w:rsid w:val="6D144208"/>
    <w:rsid w:val="70913962"/>
    <w:rsid w:val="71422B97"/>
    <w:rsid w:val="71FD9D4F"/>
    <w:rsid w:val="757AFE72"/>
    <w:rsid w:val="76187CCC"/>
    <w:rsid w:val="770A1366"/>
    <w:rsid w:val="773C062C"/>
    <w:rsid w:val="775FF4C9"/>
    <w:rsid w:val="777F0CA0"/>
    <w:rsid w:val="77ADC790"/>
    <w:rsid w:val="77B598FD"/>
    <w:rsid w:val="77B70831"/>
    <w:rsid w:val="77E76F2F"/>
    <w:rsid w:val="7942105E"/>
    <w:rsid w:val="7B8C49D8"/>
    <w:rsid w:val="7BCA240B"/>
    <w:rsid w:val="7CFD8B18"/>
    <w:rsid w:val="7E6FCA89"/>
    <w:rsid w:val="7ED71BDD"/>
    <w:rsid w:val="7F3FFD1E"/>
    <w:rsid w:val="7F5EE705"/>
    <w:rsid w:val="7F5F3D23"/>
    <w:rsid w:val="7F7B8E36"/>
    <w:rsid w:val="7F9F4FC8"/>
    <w:rsid w:val="7FFF8F28"/>
    <w:rsid w:val="878BA896"/>
    <w:rsid w:val="93BF2E66"/>
    <w:rsid w:val="9FEFCF98"/>
    <w:rsid w:val="9FF65C3A"/>
    <w:rsid w:val="9FF792B2"/>
    <w:rsid w:val="A5FFA20C"/>
    <w:rsid w:val="A6FFD064"/>
    <w:rsid w:val="B79AAEF0"/>
    <w:rsid w:val="BD13A10C"/>
    <w:rsid w:val="BFDCF171"/>
    <w:rsid w:val="BFDF761B"/>
    <w:rsid w:val="D5F1B7A1"/>
    <w:rsid w:val="D6BFA14A"/>
    <w:rsid w:val="DF33AF87"/>
    <w:rsid w:val="EF7FA113"/>
    <w:rsid w:val="F34BFA3F"/>
    <w:rsid w:val="F9F75A4B"/>
    <w:rsid w:val="FBA31278"/>
    <w:rsid w:val="FDAF9B61"/>
    <w:rsid w:val="FF3E2ACB"/>
    <w:rsid w:val="FFBF9013"/>
    <w:rsid w:val="FFF64885"/>
    <w:rsid w:val="FFF9CC54"/>
    <w:rsid w:val="FFFAF144"/>
    <w:rsid w:val="FFFF7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页眉 字符"/>
    <w:link w:val="6"/>
    <w:qFormat/>
    <w:uiPriority w:val="0"/>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主题 字符"/>
    <w:link w:val="7"/>
    <w:qFormat/>
    <w:uiPriority w:val="0"/>
    <w:rPr>
      <w:b/>
      <w:bCs/>
      <w:kern w:val="2"/>
      <w:sz w:val="21"/>
      <w:szCs w:val="24"/>
    </w:rPr>
  </w:style>
  <w:style w:type="character" w:customStyle="1" w:styleId="15">
    <w:name w:val="页脚 字符"/>
    <w:link w:val="5"/>
    <w:qFormat/>
    <w:uiPriority w:val="99"/>
    <w:rPr>
      <w:kern w:val="2"/>
      <w:sz w:val="18"/>
      <w:szCs w:val="18"/>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530</Words>
  <Characters>556</Characters>
  <Lines>4</Lines>
  <Paragraphs>1</Paragraphs>
  <TotalTime>4</TotalTime>
  <ScaleCrop>false</ScaleCrop>
  <LinksUpToDate>false</LinksUpToDate>
  <CharactersWithSpaces>556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2020-09-29T10:27:00Z</dcterms:created>
  <dc:creator>ThiknT450</dc:creator>
  <cp:lastModifiedBy>异尘</cp:lastModifiedBy>
  <cp:lastPrinted>2024-01-09T10:42:00Z</cp:lastPrinted>
  <dcterms:modified xsi:type="dcterms:W3CDTF">2024-02-06T08:44:03Z</dcterms:modified>
  <dc:title>行政事业单位资产编报说明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387460D956C70DDAACB29C65F045A658</vt:lpwstr>
  </property>
</Properties>
</file>