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31" w:rsidRDefault="00E37E31" w:rsidP="00E37E31">
      <w:pPr>
        <w:pStyle w:val="a6"/>
        <w:tabs>
          <w:tab w:val="left" w:pos="900"/>
        </w:tabs>
        <w:jc w:val="both"/>
        <w:rPr>
          <w:rFonts w:ascii="仿宋_GB2312" w:eastAsia="仿宋_GB2312" w:hint="eastAsia"/>
          <w:sz w:val="32"/>
        </w:rPr>
      </w:pPr>
      <w:r>
        <w:rPr>
          <w:rFonts w:ascii="仿宋_GB2312" w:eastAsia="仿宋_GB2312" w:hint="eastAsia"/>
          <w:sz w:val="32"/>
        </w:rPr>
        <w:t>附件1：</w:t>
      </w:r>
    </w:p>
    <w:p w:rsidR="00E37E31" w:rsidRDefault="00E37E31" w:rsidP="00E37E31">
      <w:pPr>
        <w:pStyle w:val="a6"/>
        <w:tabs>
          <w:tab w:val="left" w:pos="900"/>
        </w:tabs>
        <w:spacing w:line="360" w:lineRule="auto"/>
        <w:jc w:val="center"/>
        <w:rPr>
          <w:rFonts w:hint="eastAsia"/>
          <w:b/>
          <w:bCs/>
          <w:sz w:val="44"/>
        </w:rPr>
      </w:pPr>
      <w:r>
        <w:rPr>
          <w:rFonts w:hint="eastAsia"/>
          <w:b/>
          <w:bCs/>
          <w:sz w:val="44"/>
        </w:rPr>
        <w:t>投资者身份验证操作流程</w:t>
      </w:r>
    </w:p>
    <w:p w:rsidR="00E37E31" w:rsidRDefault="00E37E31" w:rsidP="00E37E31">
      <w:pPr>
        <w:pStyle w:val="a6"/>
        <w:tabs>
          <w:tab w:val="left" w:pos="900"/>
        </w:tabs>
        <w:spacing w:line="360" w:lineRule="auto"/>
        <w:jc w:val="center"/>
        <w:rPr>
          <w:rFonts w:hint="eastAsia"/>
          <w:b/>
          <w:bCs/>
          <w:sz w:val="32"/>
        </w:rPr>
      </w:pPr>
    </w:p>
    <w:p w:rsidR="00E37E31" w:rsidRDefault="00E37E31" w:rsidP="00E37E31">
      <w:pPr>
        <w:pStyle w:val="a7"/>
        <w:tabs>
          <w:tab w:val="left" w:pos="5249"/>
        </w:tabs>
      </w:pPr>
      <w:r>
        <w:rPr>
          <w:rFonts w:hint="eastAsia"/>
        </w:rPr>
        <w:t>已开账户的投资者办理上市公司股东大会网络投票、证券网络查询等网络服务身份验证业务，遵循“先注册，后激活”的程序，即先通过互联网进行网上自注册，再到注册时选定的身份验证机构现场一次性办理身份验证手续，激活网上用户名，选择使用电子证书的投资者同时在身份验证机构领取电子证书。投资者网上用户名一旦激活，即刻生效，并可长期使用，投资者需牢记网上用户名、密码，选择使用电子证书的投资者还需妥善保管电子证书。</w:t>
      </w:r>
    </w:p>
    <w:p w:rsidR="00E37E31" w:rsidRDefault="00E37E31" w:rsidP="00E37E31">
      <w:pPr>
        <w:pStyle w:val="a7"/>
        <w:tabs>
          <w:tab w:val="left" w:pos="5249"/>
        </w:tabs>
        <w:rPr>
          <w:rFonts w:hint="eastAsia"/>
        </w:rPr>
      </w:pPr>
      <w:r>
        <w:rPr>
          <w:rFonts w:hint="eastAsia"/>
        </w:rPr>
        <w:t>已开账户的投资者身份验证操作流程如下：</w:t>
      </w:r>
    </w:p>
    <w:p w:rsidR="00E37E31" w:rsidRDefault="00E37E31" w:rsidP="00E37E31">
      <w:pPr>
        <w:pStyle w:val="a7"/>
        <w:tabs>
          <w:tab w:val="left" w:pos="5249"/>
        </w:tabs>
        <w:ind w:firstLine="643"/>
        <w:rPr>
          <w:rFonts w:hint="eastAsia"/>
          <w:b/>
          <w:bCs/>
        </w:rPr>
      </w:pPr>
      <w:r>
        <w:rPr>
          <w:rFonts w:hint="eastAsia"/>
          <w:b/>
          <w:bCs/>
        </w:rPr>
        <w:t>（一）网上自注册</w:t>
      </w:r>
    </w:p>
    <w:p w:rsidR="00E37E31" w:rsidRDefault="00E37E31" w:rsidP="00E37E31">
      <w:pPr>
        <w:pStyle w:val="a7"/>
        <w:tabs>
          <w:tab w:val="left" w:pos="5249"/>
        </w:tabs>
        <w:ind w:firstLine="400"/>
      </w:pPr>
      <w:r>
        <w:rPr>
          <w:noProof/>
          <w:sz w:val="20"/>
        </w:rPr>
        <w:pict>
          <v:group id="_x0000_s2091" style="position:absolute;left:0;text-align:left;margin-left:27pt;margin-top:3.4pt;width:321.1pt;height:320.1pt;z-index:251664384" coordorigin="2024,2364" coordsize="6422,6402">
            <v:rect id="_x0000_s2092" style="position:absolute;left:2340;top:5301;width:5580;height:465">
              <v:textbox style="mso-next-textbox:#_x0000_s2092">
                <w:txbxContent>
                  <w:p w:rsidR="00E37E31" w:rsidRDefault="00E37E31" w:rsidP="00E37E31">
                    <w:pPr>
                      <w:jc w:val="center"/>
                    </w:pPr>
                    <w:r>
                      <w:rPr>
                        <w:rFonts w:eastAsia="仿宋_GB2312" w:hint="eastAsia"/>
                        <w:szCs w:val="21"/>
                      </w:rPr>
                      <w:t>输入用户注册信息，选择是否使用电子证书</w:t>
                    </w:r>
                    <w:r>
                      <w:rPr>
                        <w:rFonts w:ascii="黑体" w:eastAsia="黑体" w:hint="eastAsia"/>
                        <w:b/>
                        <w:bCs/>
                        <w:color w:val="FF0000"/>
                        <w:szCs w:val="21"/>
                      </w:rPr>
                      <w:t>（注2）</w:t>
                    </w:r>
                  </w:p>
                </w:txbxContent>
              </v:textbox>
            </v:rect>
            <v:rect id="_x0000_s2093" style="position:absolute;left:2414;top:3006;width:6032;height:480">
              <v:textbox style="mso-next-textbox:#_x0000_s2093">
                <w:txbxContent>
                  <w:p w:rsidR="00E37E31" w:rsidRDefault="00E37E31" w:rsidP="00E37E31">
                    <w:pPr>
                      <w:jc w:val="center"/>
                    </w:pPr>
                    <w:r>
                      <w:rPr>
                        <w:rFonts w:ascii="仿宋_GB2312" w:eastAsia="仿宋_GB2312" w:hint="eastAsia"/>
                        <w:szCs w:val="21"/>
                      </w:rPr>
                      <w:t>登录中国结算网站http://www.chinaclear.cn</w:t>
                    </w:r>
                    <w:r>
                      <w:rPr>
                        <w:rFonts w:ascii="黑体" w:eastAsia="黑体" w:hint="eastAsia"/>
                        <w:b/>
                        <w:bCs/>
                        <w:color w:val="FF0000"/>
                        <w:szCs w:val="21"/>
                      </w:rPr>
                      <w:t>（注1）</w:t>
                    </w:r>
                  </w:p>
                </w:txbxContent>
              </v:textbox>
            </v:rect>
            <v:rect id="_x0000_s2094" style="position:absolute;left:3688;top:3801;width:2836;height:480">
              <v:textbox style="mso-next-textbox:#_x0000_s2094">
                <w:txbxContent>
                  <w:p w:rsidR="00E37E31" w:rsidRDefault="00E37E31" w:rsidP="00E37E31">
                    <w:pPr>
                      <w:jc w:val="center"/>
                    </w:pPr>
                    <w:r>
                      <w:rPr>
                        <w:rFonts w:eastAsia="仿宋_GB2312" w:hint="eastAsia"/>
                        <w:szCs w:val="21"/>
                      </w:rPr>
                      <w:t>阅读《网上注册须知》</w:t>
                    </w:r>
                  </w:p>
                </w:txbxContent>
              </v:textbox>
            </v:rect>
            <v:line id="_x0000_s2095" style="position:absolute;flip:x" from="5114,3501" to="5116,3786">
              <v:stroke endarrow="block"/>
            </v:line>
            <v:rect id="_x0000_s2096" style="position:absolute;left:2024;top:4566;width:6194;height:450">
              <v:textbox style="mso-next-textbox:#_x0000_s2096">
                <w:txbxContent>
                  <w:p w:rsidR="00E37E31" w:rsidRDefault="00E37E31" w:rsidP="00E37E31">
                    <w:pPr>
                      <w:jc w:val="center"/>
                    </w:pPr>
                    <w:r>
                      <w:rPr>
                        <w:rFonts w:eastAsia="仿宋_GB2312" w:hint="eastAsia"/>
                        <w:szCs w:val="21"/>
                      </w:rPr>
                      <w:t>签署《中国证券登记结算有限责任公司网络服务协议》</w:t>
                    </w:r>
                  </w:p>
                </w:txbxContent>
              </v:textbox>
            </v:rect>
            <v:rect id="_x0000_s2097" style="position:absolute;left:4168;top:6081;width:1874;height:420">
              <v:textbox style="mso-next-textbox:#_x0000_s2097">
                <w:txbxContent>
                  <w:p w:rsidR="00E37E31" w:rsidRDefault="00E37E31" w:rsidP="00E37E31">
                    <w:r>
                      <w:rPr>
                        <w:rFonts w:eastAsia="仿宋_GB2312" w:hint="eastAsia"/>
                        <w:szCs w:val="21"/>
                      </w:rPr>
                      <w:t>确认用户信息</w:t>
                    </w:r>
                  </w:p>
                </w:txbxContent>
              </v:textbox>
            </v:rect>
            <v:line id="_x0000_s2098" style="position:absolute" from="5084,5032" to="5084,5302">
              <v:stroke endarrow="block"/>
            </v:line>
            <v:line id="_x0000_s2099" style="position:absolute;flip:x" from="5098,5767" to="5100,6082">
              <v:stroke endarrow="block"/>
            </v:line>
            <v:line id="_x0000_s2100" style="position:absolute" from="5100,6502" to="5100,6847">
              <v:stroke endarrow="block"/>
            </v:line>
            <v:shapetype id="_x0000_t117" coordsize="21600,21600" o:spt="117" path="m4353,l17214,r4386,10800l17214,21600r-12861,l,10800xe">
              <v:stroke joinstyle="miter"/>
              <v:path gradientshapeok="t" o:connecttype="rect" textboxrect="4353,0,17214,21600"/>
            </v:shapetype>
            <v:shape id="_x0000_s2101" type="#_x0000_t117" style="position:absolute;left:3256;top:2364;width:3652;height:360">
              <v:textbox style="mso-next-textbox:#_x0000_s2101" inset=",0,,0">
                <w:txbxContent>
                  <w:p w:rsidR="00E37E31" w:rsidRDefault="00E37E31" w:rsidP="00E37E31">
                    <w:pPr>
                      <w:rPr>
                        <w:rFonts w:hint="eastAsia"/>
                      </w:rPr>
                    </w:pPr>
                    <w:r>
                      <w:rPr>
                        <w:rFonts w:eastAsia="仿宋_GB2312" w:hint="eastAsia"/>
                        <w:szCs w:val="21"/>
                      </w:rPr>
                      <w:t>投资者网上注册开始</w:t>
                    </w:r>
                  </w:p>
                </w:txbxContent>
              </v:textbox>
            </v:shape>
            <v:line id="_x0000_s2102" style="position:absolute;flip:x" from="5084,2739" to="5084,2994">
              <v:stroke endarrow="block"/>
            </v:line>
            <v:group id="_x0000_s2103" style="position:absolute;left:2230;top:6891;width:5758;height:1875" coordorigin="2227,1747" coordsize="5758,1875">
              <v:rect id="_x0000_s2104" style="position:absolute;left:3747;top:1747;width:2732;height:405">
                <v:textbox style="mso-next-textbox:#_x0000_s2104">
                  <w:txbxContent>
                    <w:p w:rsidR="00E37E31" w:rsidRDefault="00E37E31" w:rsidP="00E37E31">
                      <w:r>
                        <w:rPr>
                          <w:rFonts w:eastAsia="仿宋_GB2312" w:hint="eastAsia"/>
                          <w:szCs w:val="21"/>
                        </w:rPr>
                        <w:t>选定身份验证机构</w:t>
                      </w:r>
                      <w:r>
                        <w:rPr>
                          <w:rFonts w:ascii="黑体" w:eastAsia="黑体" w:hint="eastAsia"/>
                          <w:b/>
                          <w:bCs/>
                          <w:color w:val="FF0000"/>
                          <w:szCs w:val="21"/>
                        </w:rPr>
                        <w:t>（注3）</w:t>
                      </w:r>
                    </w:p>
                  </w:txbxContent>
                </v:textbox>
              </v:rect>
              <v:rect id="_x0000_s2105" style="position:absolute;left:2227;top:2392;width:5758;height:435">
                <v:textbox style="mso-next-textbox:#_x0000_s2105">
                  <w:txbxContent>
                    <w:p w:rsidR="00E37E31" w:rsidRDefault="00E37E31" w:rsidP="00E37E31">
                      <w:pPr>
                        <w:autoSpaceDE w:val="0"/>
                        <w:autoSpaceDN w:val="0"/>
                        <w:adjustRightInd w:val="0"/>
                        <w:spacing w:line="0" w:lineRule="atLeast"/>
                        <w:jc w:val="center"/>
                      </w:pPr>
                      <w:r>
                        <w:rPr>
                          <w:rFonts w:eastAsia="仿宋_GB2312" w:hint="eastAsia"/>
                          <w:szCs w:val="21"/>
                        </w:rPr>
                        <w:t>记录注册成功后的网上用户名和密码</w:t>
                      </w:r>
                      <w:r>
                        <w:rPr>
                          <w:rFonts w:ascii="黑体" w:eastAsia="黑体" w:hint="eastAsia"/>
                          <w:b/>
                          <w:bCs/>
                          <w:color w:val="FF0000"/>
                          <w:szCs w:val="21"/>
                        </w:rPr>
                        <w:t>（注4）</w:t>
                      </w:r>
                    </w:p>
                  </w:txbxContent>
                </v:textbox>
              </v:rect>
              <v:shapetype id="_x0000_t116" coordsize="21600,21600" o:spt="116" path="m3475,qx,10800,3475,21600l18125,21600qx21600,10800,18125,xe">
                <v:stroke joinstyle="miter"/>
                <v:path gradientshapeok="t" o:connecttype="rect" textboxrect="1018,3163,20582,18437"/>
              </v:shapetype>
              <v:shape id="_x0000_s2106" type="#_x0000_t116" style="position:absolute;left:4255;top:3202;width:1726;height:420">
                <v:textbox style="mso-next-textbox:#_x0000_s2106" inset="0,0,0,0">
                  <w:txbxContent>
                    <w:p w:rsidR="00E37E31" w:rsidRDefault="00E37E31" w:rsidP="00E37E31">
                      <w:pPr>
                        <w:rPr>
                          <w:rFonts w:hint="eastAsia"/>
                        </w:rPr>
                      </w:pPr>
                      <w:r>
                        <w:rPr>
                          <w:rFonts w:eastAsia="仿宋_GB2312" w:hint="eastAsia"/>
                          <w:szCs w:val="21"/>
                        </w:rPr>
                        <w:t>网上注册结束</w:t>
                      </w:r>
                    </w:p>
                  </w:txbxContent>
                </v:textbox>
              </v:shape>
              <v:line id="_x0000_s2107" style="position:absolute" from="5111,2858" to="5111,3188">
                <v:stroke endarrow="block"/>
              </v:line>
              <v:line id="_x0000_s2108" style="position:absolute" from="5055,2164" to="5055,2476">
                <v:stroke endarrow="block"/>
              </v:line>
            </v:group>
            <v:line id="_x0000_s2109" style="position:absolute" from="5058,4344" to="5058,4656">
              <v:stroke endarrow="block"/>
            </v:line>
          </v:group>
        </w:pict>
      </w: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7"/>
        <w:tabs>
          <w:tab w:val="left" w:pos="5249"/>
        </w:tabs>
      </w:pPr>
    </w:p>
    <w:p w:rsidR="00E37E31" w:rsidRDefault="00E37E31" w:rsidP="00E37E31">
      <w:pPr>
        <w:pStyle w:val="a6"/>
        <w:spacing w:before="0" w:beforeAutospacing="0" w:after="0" w:afterAutospacing="0"/>
        <w:ind w:firstLineChars="200" w:firstLine="420"/>
        <w:jc w:val="both"/>
        <w:rPr>
          <w:rFonts w:ascii="仿宋_GB2312" w:eastAsia="仿宋_GB2312"/>
          <w:color w:val="FF0000"/>
          <w:kern w:val="2"/>
          <w:sz w:val="21"/>
        </w:rPr>
      </w:pP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color w:val="FF0000"/>
          <w:kern w:val="2"/>
          <w:sz w:val="21"/>
        </w:rPr>
        <w:t>注1：</w:t>
      </w:r>
      <w:r>
        <w:rPr>
          <w:rFonts w:ascii="仿宋_GB2312" w:eastAsia="仿宋_GB2312" w:hint="eastAsia"/>
          <w:kern w:val="2"/>
          <w:sz w:val="21"/>
        </w:rPr>
        <w:t>通过互联网登录中国结算网站后，点击页面左侧‘投资者服务’项下‘投资者注册’。</w:t>
      </w:r>
    </w:p>
    <w:p w:rsidR="00E37E31" w:rsidRDefault="00E37E31" w:rsidP="00E37E31">
      <w:pPr>
        <w:pStyle w:val="a6"/>
        <w:spacing w:before="0" w:beforeAutospacing="0" w:after="0" w:afterAutospacing="0"/>
        <w:ind w:firstLineChars="200" w:firstLine="420"/>
        <w:jc w:val="both"/>
        <w:rPr>
          <w:rFonts w:ascii="仿宋_GB2312" w:eastAsia="仿宋_GB2312"/>
          <w:kern w:val="2"/>
          <w:sz w:val="21"/>
        </w:rPr>
      </w:pPr>
      <w:r>
        <w:rPr>
          <w:rFonts w:ascii="仿宋_GB2312" w:eastAsia="仿宋_GB2312" w:hint="eastAsia"/>
          <w:color w:val="FF0000"/>
          <w:kern w:val="2"/>
          <w:sz w:val="21"/>
        </w:rPr>
        <w:t>注2：</w:t>
      </w:r>
      <w:r>
        <w:rPr>
          <w:rFonts w:ascii="仿宋_GB2312" w:eastAsia="仿宋_GB2312" w:hint="eastAsia"/>
          <w:kern w:val="2"/>
          <w:sz w:val="21"/>
        </w:rPr>
        <w:t xml:space="preserve">在用户注册页面输入以下信息： </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 xml:space="preserve">（1）投资者有效身份证件号码； </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 xml:space="preserve">（2）A股、B股、基金等账户号码； </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（3）投资者姓名/全称；</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（4）网上用户名；</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 xml:space="preserve">（5）密码； </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（6）选择是否使用电子证书；</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（7）其他资料信息。</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color w:val="FF0000"/>
          <w:kern w:val="2"/>
          <w:sz w:val="21"/>
        </w:rPr>
        <w:t>注3：</w:t>
      </w:r>
      <w:r>
        <w:rPr>
          <w:rFonts w:ascii="仿宋_GB2312" w:eastAsia="仿宋_GB2312" w:hint="eastAsia"/>
          <w:kern w:val="2"/>
          <w:sz w:val="21"/>
        </w:rPr>
        <w:t>根据系统提示，投资者在系统列出的身份验证机构备选名录中选择一个身份验证机构（例如证券公司营业部）办理身份验证手续。</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32"/>
        </w:rPr>
      </w:pPr>
      <w:r>
        <w:rPr>
          <w:rFonts w:ascii="仿宋_GB2312" w:eastAsia="仿宋_GB2312" w:hint="eastAsia"/>
          <w:color w:val="FF0000"/>
          <w:kern w:val="2"/>
          <w:sz w:val="21"/>
        </w:rPr>
        <w:t>注4：</w:t>
      </w:r>
      <w:r>
        <w:rPr>
          <w:rFonts w:ascii="仿宋_GB2312" w:eastAsia="仿宋_GB2312" w:hint="eastAsia"/>
          <w:kern w:val="2"/>
          <w:sz w:val="21"/>
        </w:rPr>
        <w:t>注册成功后，提示页面列出了后续操作需要的各项材料。投资者须牢记网上用户名及密码。网上用户名需提交给身份验证机构以办理身份验证手续，身份验证完成后，网上用户名可与密码配合使用，登录网络服务系统。</w:t>
      </w:r>
    </w:p>
    <w:p w:rsidR="00E37E31" w:rsidRDefault="00E37E31" w:rsidP="00E37E31">
      <w:pPr>
        <w:pStyle w:val="a6"/>
        <w:spacing w:line="360" w:lineRule="auto"/>
        <w:ind w:left="540"/>
        <w:rPr>
          <w:rFonts w:ascii="仿宋_GB2312" w:eastAsia="仿宋_GB2312" w:hint="eastAsia"/>
          <w:b/>
          <w:bCs/>
          <w:sz w:val="32"/>
        </w:rPr>
      </w:pPr>
      <w:r>
        <w:rPr>
          <w:rFonts w:ascii="仿宋_GB2312" w:eastAsia="仿宋_GB2312" w:hint="eastAsia"/>
          <w:b/>
          <w:bCs/>
          <w:sz w:val="32"/>
        </w:rPr>
        <w:t>（二）现场身份验证</w:t>
      </w:r>
    </w:p>
    <w:p w:rsidR="00E37E31" w:rsidRDefault="00E37E31" w:rsidP="00E37E31">
      <w:pPr>
        <w:pStyle w:val="a6"/>
        <w:spacing w:line="360" w:lineRule="auto"/>
        <w:rPr>
          <w:rFonts w:ascii="仿宋_GB2312" w:eastAsia="仿宋_GB2312" w:hint="eastAsia"/>
          <w:sz w:val="32"/>
        </w:rPr>
      </w:pPr>
      <w:r>
        <w:rPr>
          <w:rFonts w:ascii="仿宋_GB2312" w:eastAsia="仿宋_GB2312"/>
          <w:noProof/>
          <w:sz w:val="20"/>
        </w:rPr>
        <w:pict>
          <v:group id="_x0000_s2074" style="position:absolute;margin-left:45pt;margin-top:1.1pt;width:450pt;height:279.45pt;z-index:251663360" coordorigin="2697,6966" coordsize="9000,5589">
            <v:shape id="_x0000_s2075" type="#_x0000_t117" style="position:absolute;left:4243;top:6966;width:2460;height:360">
              <v:textbox style="mso-next-textbox:#_x0000_s2075" inset=",0,,0">
                <w:txbxContent>
                  <w:p w:rsidR="00E37E31" w:rsidRDefault="00E37E31" w:rsidP="00E37E31">
                    <w:pPr>
                      <w:rPr>
                        <w:rFonts w:hint="eastAsia"/>
                      </w:rPr>
                    </w:pPr>
                    <w:r>
                      <w:rPr>
                        <w:rFonts w:eastAsia="仿宋_GB2312" w:hint="eastAsia"/>
                        <w:szCs w:val="21"/>
                      </w:rPr>
                      <w:t>身份验证开始</w:t>
                    </w:r>
                  </w:p>
                </w:txbxContent>
              </v:textbox>
            </v:shape>
            <v:rect id="_x0000_s2076" style="position:absolute;left:2967;top:7670;width:5086;height:390">
              <v:textbox style="mso-next-textbox:#_x0000_s2076" inset=",0,,0">
                <w:txbxContent>
                  <w:p w:rsidR="00E37E31" w:rsidRDefault="00E37E31" w:rsidP="00E37E31">
                    <w:r>
                      <w:rPr>
                        <w:rFonts w:ascii="仿宋_GB2312" w:eastAsia="仿宋_GB2312" w:hint="eastAsia"/>
                      </w:rPr>
                      <w:t>投资者携带有关材料到其选定的身份验证机构</w:t>
                    </w:r>
                    <w:r>
                      <w:rPr>
                        <w:rFonts w:ascii="黑体" w:eastAsia="黑体" w:hint="eastAsia"/>
                        <w:b/>
                        <w:bCs/>
                        <w:color w:val="FF0000"/>
                        <w:szCs w:val="21"/>
                      </w:rPr>
                      <w:t>（注）</w:t>
                    </w:r>
                  </w:p>
                </w:txbxContent>
              </v:textbox>
            </v:rect>
            <v:rect id="_x0000_s2077" style="position:absolute;left:3987;top:8407;width:3060;height:345">
              <v:textbox inset=",0,,0">
                <w:txbxContent>
                  <w:p w:rsidR="00E37E31" w:rsidRDefault="00E37E31" w:rsidP="00E37E31">
                    <w:r>
                      <w:rPr>
                        <w:rFonts w:eastAsia="仿宋_GB2312" w:hint="eastAsia"/>
                      </w:rPr>
                      <w:t>投资者填写《身份验证申请表》</w:t>
                    </w:r>
                  </w:p>
                </w:txbxContent>
              </v:textbox>
            </v:rect>
            <v:rect id="_x0000_s2078" style="position:absolute;left:3777;top:9083;width:3420;height:405">
              <v:textbox>
                <w:txbxContent>
                  <w:p w:rsidR="00E37E31" w:rsidRDefault="00E37E31" w:rsidP="00E37E31">
                    <w:pPr>
                      <w:jc w:val="center"/>
                    </w:pPr>
                    <w:r>
                      <w:rPr>
                        <w:rFonts w:eastAsia="仿宋_GB2312" w:hint="eastAsia"/>
                      </w:rPr>
                      <w:t>投资者提交有关申请材料</w:t>
                    </w:r>
                  </w:p>
                </w:txbxContent>
              </v:textbox>
            </v:rect>
            <v:rect id="_x0000_s2079" style="position:absolute;left:3521;top:9879;width:3960;height:360">
              <v:textbox inset=",0,,0">
                <w:txbxContent>
                  <w:p w:rsidR="00E37E31" w:rsidRDefault="00E37E31" w:rsidP="00E37E31">
                    <w:r>
                      <w:rPr>
                        <w:rFonts w:eastAsia="仿宋_GB2312" w:hint="eastAsia"/>
                      </w:rPr>
                      <w:t>身份验证机构人员审核投资者申请材料</w:t>
                    </w:r>
                  </w:p>
                </w:txbxContent>
              </v:textbox>
            </v:rect>
            <v:rect id="_x0000_s2080" style="position:absolute;left:2697;top:10585;width:5580;height:390">
              <v:textbox inset="0,0,0,0">
                <w:txbxContent>
                  <w:p w:rsidR="00E37E31" w:rsidRDefault="00E37E31" w:rsidP="00E37E31">
                    <w:pPr>
                      <w:jc w:val="center"/>
                    </w:pPr>
                    <w:r>
                      <w:rPr>
                        <w:rFonts w:eastAsia="仿宋_GB2312" w:hint="eastAsia"/>
                      </w:rPr>
                      <w:t>身份验证机构人员激活已注册的网上用户名并告知投资者</w:t>
                    </w:r>
                  </w:p>
                </w:txbxContent>
              </v:textbox>
            </v:rect>
            <v:line id="_x0000_s2081" style="position:absolute" from="5471,7341" to="5471,7656">
              <v:stroke endarrow="block"/>
            </v:line>
            <v:line id="_x0000_s2082" style="position:absolute;flip:x" from="5485,8122" to="5487,8407">
              <v:stroke endarrow="block"/>
            </v:line>
            <v:line id="_x0000_s2083" style="position:absolute" from="5501,8828" to="5517,9083">
              <v:stroke endarrow="block"/>
            </v:line>
            <v:line id="_x0000_s2084" style="position:absolute;flip:x" from="5515,9564" to="5517,9864">
              <v:stroke endarrow="block"/>
            </v:line>
            <v:line id="_x0000_s2085" style="position:absolute;flip:x" from="5515,10300" to="5517,10615">
              <v:stroke endarrow="block"/>
            </v:line>
            <v:shape id="_x0000_s2086" type="#_x0000_t116" style="position:absolute;left:3597;top:12144;width:3850;height:411">
              <v:textbox style="mso-next-textbox:#_x0000_s2086" inset=",0,,0">
                <w:txbxContent>
                  <w:p w:rsidR="00E37E31" w:rsidRDefault="00E37E31" w:rsidP="00E37E31">
                    <w:pPr>
                      <w:jc w:val="center"/>
                      <w:rPr>
                        <w:rFonts w:hint="eastAsia"/>
                      </w:rPr>
                    </w:pPr>
                    <w:r>
                      <w:rPr>
                        <w:rFonts w:eastAsia="仿宋_GB2312" w:hint="eastAsia"/>
                      </w:rPr>
                      <w:t>身份验证结束</w:t>
                    </w:r>
                  </w:p>
                </w:txbxContent>
              </v:textbox>
            </v:shape>
            <v:line id="_x0000_s2087" style="position:absolute" from="8277,10744" to="9537,10744">
              <v:stroke dashstyle="longDash"/>
            </v:line>
            <v:line id="_x0000_s2088" style="position:absolute" from="5577,11132" to="5577,12068">
              <v:stroke endarrow="block"/>
            </v:line>
            <v:rect id="_x0000_s2089" style="position:absolute;left:7377;top:11132;width:4320;height:468">
              <v:stroke dashstyle="longDash"/>
              <v:textbox>
                <w:txbxContent>
                  <w:p w:rsidR="00E37E31" w:rsidRDefault="00E37E31" w:rsidP="00E37E31">
                    <w:pPr>
                      <w:jc w:val="center"/>
                      <w:rPr>
                        <w:rFonts w:hint="eastAsia"/>
                      </w:rPr>
                    </w:pPr>
                    <w:r>
                      <w:rPr>
                        <w:rFonts w:hint="eastAsia"/>
                      </w:rPr>
                      <w:t>电子证书用户从身份验证机构领取电子证书</w:t>
                    </w:r>
                  </w:p>
                </w:txbxContent>
              </v:textbox>
            </v:rect>
            <v:line id="_x0000_s2090" style="position:absolute;flip:x" from="5577,11756" to="9537,11756">
              <v:stroke dashstyle="longDash"/>
            </v:line>
          </v:group>
        </w:pict>
      </w:r>
    </w:p>
    <w:p w:rsidR="00E37E31" w:rsidRDefault="00E37E31" w:rsidP="00E37E31">
      <w:pPr>
        <w:pStyle w:val="a6"/>
        <w:spacing w:line="360" w:lineRule="auto"/>
        <w:rPr>
          <w:rFonts w:ascii="仿宋_GB2312" w:eastAsia="仿宋_GB2312" w:hint="eastAsia"/>
          <w:sz w:val="32"/>
        </w:rPr>
      </w:pPr>
    </w:p>
    <w:p w:rsidR="00E37E31" w:rsidRDefault="00E37E31" w:rsidP="00E37E31">
      <w:pPr>
        <w:pStyle w:val="a6"/>
        <w:spacing w:line="360" w:lineRule="auto"/>
        <w:rPr>
          <w:rFonts w:ascii="仿宋_GB2312" w:eastAsia="仿宋_GB2312" w:hint="eastAsia"/>
          <w:sz w:val="32"/>
        </w:rPr>
      </w:pPr>
    </w:p>
    <w:p w:rsidR="00E37E31" w:rsidRDefault="00E37E31" w:rsidP="00E37E31">
      <w:pPr>
        <w:pStyle w:val="a6"/>
        <w:spacing w:line="360" w:lineRule="auto"/>
        <w:ind w:left="540"/>
        <w:rPr>
          <w:rFonts w:ascii="仿宋_GB2312" w:eastAsia="仿宋_GB2312" w:hint="eastAsia"/>
          <w:noProof/>
          <w:sz w:val="32"/>
        </w:rPr>
      </w:pPr>
    </w:p>
    <w:p w:rsidR="00E37E31" w:rsidRDefault="00E37E31" w:rsidP="00E37E31">
      <w:pPr>
        <w:pStyle w:val="a6"/>
        <w:spacing w:line="360" w:lineRule="auto"/>
        <w:ind w:left="540"/>
        <w:rPr>
          <w:rFonts w:ascii="仿宋_GB2312" w:eastAsia="仿宋_GB2312" w:hint="eastAsia"/>
          <w:noProof/>
          <w:sz w:val="32"/>
        </w:rPr>
      </w:pPr>
      <w:r>
        <w:rPr>
          <w:rFonts w:ascii="仿宋_GB2312" w:eastAsia="仿宋_GB2312"/>
          <w:noProof/>
          <w:sz w:val="32"/>
        </w:rPr>
        <w:pict>
          <v:line id="_x0000_s2072" style="position:absolute;left:0;text-align:left;z-index:251661312" from="387pt,25.2pt" to="387pt,40.8pt">
            <v:stroke endarrow="block"/>
          </v:line>
        </w:pict>
      </w:r>
    </w:p>
    <w:p w:rsidR="00E37E31" w:rsidRDefault="00E37E31" w:rsidP="00E37E31">
      <w:pPr>
        <w:pStyle w:val="a6"/>
        <w:spacing w:line="360" w:lineRule="auto"/>
        <w:ind w:left="540"/>
        <w:rPr>
          <w:rFonts w:ascii="仿宋_GB2312" w:eastAsia="仿宋_GB2312" w:hint="eastAsia"/>
          <w:noProof/>
          <w:sz w:val="32"/>
        </w:rPr>
      </w:pPr>
      <w:r>
        <w:rPr>
          <w:rFonts w:ascii="仿宋_GB2312" w:eastAsia="仿宋_GB2312"/>
          <w:noProof/>
          <w:sz w:val="32"/>
        </w:rPr>
        <w:pict>
          <v:line id="_x0000_s2073" style="position:absolute;left:0;text-align:left;z-index:251662336" from="387pt,26.8pt" to="387pt,34.6pt">
            <v:stroke dashstyle="longDash"/>
          </v:line>
        </w:pict>
      </w:r>
    </w:p>
    <w:p w:rsidR="00E37E31" w:rsidRDefault="00E37E31" w:rsidP="00E37E31">
      <w:pPr>
        <w:pStyle w:val="a6"/>
        <w:spacing w:line="360" w:lineRule="auto"/>
        <w:ind w:left="540"/>
        <w:rPr>
          <w:rFonts w:ascii="仿宋_GB2312" w:eastAsia="仿宋_GB2312" w:hint="eastAsia"/>
          <w:noProof/>
          <w:sz w:val="32"/>
        </w:rPr>
      </w:pP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color w:val="FF0000"/>
          <w:kern w:val="2"/>
          <w:sz w:val="21"/>
        </w:rPr>
        <w:lastRenderedPageBreak/>
        <w:t>注：</w:t>
      </w:r>
      <w:r>
        <w:rPr>
          <w:rFonts w:ascii="仿宋_GB2312" w:eastAsia="仿宋_GB2312" w:hint="eastAsia"/>
          <w:kern w:val="2"/>
          <w:sz w:val="21"/>
        </w:rPr>
        <w:t>注册成功的网上用户名未被激活前，不能用来办理上市公司股东大会网络投票、证券网络查询等业务。自然人、境内法人和境外法人投资者须分别携带以下申请材料，到选定的身份验证机构办理身份验证:</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1、自然人：</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(1)证券账户卡及复印件；</w:t>
      </w:r>
    </w:p>
    <w:p w:rsidR="00E37E31" w:rsidRDefault="00E37E31" w:rsidP="00E37E31">
      <w:pPr>
        <w:pStyle w:val="a6"/>
        <w:spacing w:before="0" w:beforeAutospacing="0" w:after="0" w:afterAutospacing="0"/>
        <w:ind w:firstLineChars="200" w:firstLine="420"/>
        <w:jc w:val="both"/>
        <w:rPr>
          <w:rFonts w:ascii="仿宋_GB2312" w:eastAsia="仿宋_GB2312"/>
          <w:kern w:val="2"/>
          <w:sz w:val="21"/>
        </w:rPr>
      </w:pPr>
      <w:r>
        <w:rPr>
          <w:rFonts w:ascii="仿宋_GB2312" w:eastAsia="仿宋_GB2312" w:hint="eastAsia"/>
          <w:kern w:val="2"/>
          <w:sz w:val="21"/>
        </w:rPr>
        <w:t>(2)本人有效身份证明文件及复印件；</w:t>
      </w:r>
    </w:p>
    <w:p w:rsidR="00E37E31" w:rsidRDefault="00E37E31" w:rsidP="00E37E31">
      <w:pPr>
        <w:pStyle w:val="a6"/>
        <w:spacing w:before="0" w:beforeAutospacing="0" w:after="0" w:afterAutospacing="0"/>
        <w:ind w:firstLineChars="200" w:firstLine="420"/>
        <w:jc w:val="both"/>
        <w:rPr>
          <w:rFonts w:ascii="仿宋_GB2312" w:eastAsia="仿宋_GB2312"/>
          <w:kern w:val="2"/>
          <w:sz w:val="21"/>
        </w:rPr>
      </w:pPr>
      <w:r>
        <w:rPr>
          <w:rFonts w:ascii="仿宋_GB2312" w:eastAsia="仿宋_GB2312" w:hint="eastAsia"/>
          <w:kern w:val="2"/>
          <w:sz w:val="21"/>
        </w:rPr>
        <w:t>委托他人代办的，还需提交经公证的委托代办书、代办人的有效身份证明文件及复印件。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2、境内法人：</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(1)证券账户卡及复印件；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(2)企业法人营业执照</w:t>
      </w:r>
      <w:r>
        <w:rPr>
          <w:rFonts w:ascii="仿宋_GB2312" w:eastAsia="仿宋_GB2312"/>
          <w:kern w:val="2"/>
          <w:sz w:val="21"/>
        </w:rPr>
        <w:t>/</w:t>
      </w:r>
      <w:r>
        <w:rPr>
          <w:rFonts w:ascii="仿宋_GB2312" w:eastAsia="仿宋_GB2312" w:hint="eastAsia"/>
          <w:kern w:val="2"/>
          <w:sz w:val="21"/>
        </w:rPr>
        <w:t xml:space="preserve">注册登记证书及复印件，或加盖申请人公章的复印件； </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(3)法定代表人证明书、法定代表人授权委托书，以及法定代表人身份证明文件复印件；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(4)经办人有效身份证明文件及复印件。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3、境外法人：</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(1)证券账户卡及复印件；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(2)有效商业注册登记证明文件或与商业注册登记证明文件具有相同法律效力的可证明其机构设立的文件及复印件；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(3)董事会或董事、主要股东或其他有权人士授权委托书，能证明该授权人有权授权的文件，以及授权人身份证明文件复印件；</w:t>
      </w:r>
    </w:p>
    <w:p w:rsidR="00E37E31" w:rsidRDefault="00E37E31" w:rsidP="00E37E31">
      <w:pPr>
        <w:pStyle w:val="a6"/>
        <w:spacing w:before="0" w:beforeAutospacing="0" w:after="0" w:afterAutospacing="0"/>
        <w:ind w:firstLineChars="200" w:firstLine="420"/>
        <w:jc w:val="both"/>
        <w:rPr>
          <w:rFonts w:ascii="仿宋_GB2312" w:eastAsia="仿宋_GB2312" w:hint="eastAsia"/>
          <w:kern w:val="2"/>
          <w:sz w:val="21"/>
        </w:rPr>
      </w:pPr>
      <w:r>
        <w:rPr>
          <w:rFonts w:ascii="仿宋_GB2312" w:eastAsia="仿宋_GB2312" w:hint="eastAsia"/>
          <w:kern w:val="2"/>
          <w:sz w:val="21"/>
        </w:rPr>
        <w:t>(4)经办人有效身份证明文件及复印件。</w:t>
      </w:r>
    </w:p>
    <w:p w:rsidR="00E37E31" w:rsidRDefault="00E37E31" w:rsidP="00E37E31">
      <w:pPr>
        <w:pStyle w:val="a6"/>
        <w:spacing w:before="0" w:beforeAutospacing="0" w:after="0" w:afterAutospacing="0" w:line="360" w:lineRule="auto"/>
        <w:ind w:firstLineChars="200" w:firstLine="640"/>
        <w:rPr>
          <w:rFonts w:ascii="仿宋_GB2312" w:eastAsia="仿宋_GB2312" w:hint="eastAsia"/>
          <w:sz w:val="32"/>
        </w:rPr>
      </w:pPr>
    </w:p>
    <w:p w:rsidR="00E37E31" w:rsidRDefault="00E37E31" w:rsidP="00E37E31">
      <w:pPr>
        <w:spacing w:line="560" w:lineRule="exact"/>
        <w:rPr>
          <w:rFonts w:ascii="仿宋_GB2312" w:eastAsia="仿宋_GB2312" w:hint="eastAsia"/>
          <w:sz w:val="32"/>
        </w:rPr>
      </w:pPr>
      <w:r>
        <w:rPr>
          <w:rFonts w:ascii="仿宋_GB2312" w:eastAsia="仿宋_GB2312"/>
          <w:sz w:val="32"/>
        </w:rPr>
        <w:br w:type="page"/>
      </w:r>
      <w:r>
        <w:rPr>
          <w:rFonts w:ascii="仿宋_GB2312" w:eastAsia="仿宋_GB2312" w:hint="eastAsia"/>
          <w:sz w:val="32"/>
        </w:rPr>
        <w:lastRenderedPageBreak/>
        <w:t>附件2：</w:t>
      </w:r>
    </w:p>
    <w:p w:rsidR="00E37E31" w:rsidRDefault="00E37E31" w:rsidP="00E37E31">
      <w:pPr>
        <w:pStyle w:val="a6"/>
        <w:spacing w:line="360" w:lineRule="auto"/>
        <w:jc w:val="center"/>
        <w:rPr>
          <w:rFonts w:hint="eastAsia"/>
          <w:b/>
          <w:bCs/>
          <w:sz w:val="44"/>
        </w:rPr>
      </w:pPr>
      <w:r>
        <w:rPr>
          <w:rFonts w:hint="eastAsia"/>
          <w:b/>
          <w:bCs/>
          <w:sz w:val="44"/>
        </w:rPr>
        <w:t>投资者国债网络查询操作流程</w:t>
      </w:r>
    </w:p>
    <w:p w:rsidR="00E37E31" w:rsidRDefault="00E37E31" w:rsidP="00E37E31">
      <w:pPr>
        <w:pStyle w:val="a6"/>
        <w:spacing w:line="360" w:lineRule="auto"/>
        <w:ind w:firstLineChars="200" w:firstLine="480"/>
        <w:rPr>
          <w:rFonts w:ascii="仿宋_GB2312" w:eastAsia="仿宋_GB2312" w:hint="eastAsia"/>
        </w:rPr>
      </w:pPr>
    </w:p>
    <w:p w:rsidR="00E37E31" w:rsidRDefault="00E37E31" w:rsidP="00E37E31">
      <w:pPr>
        <w:pStyle w:val="a6"/>
        <w:spacing w:line="360" w:lineRule="auto"/>
        <w:ind w:firstLineChars="200" w:firstLine="640"/>
        <w:rPr>
          <w:rFonts w:ascii="仿宋_GB2312" w:eastAsia="仿宋_GB2312" w:hint="eastAsia"/>
          <w:sz w:val="32"/>
        </w:rPr>
      </w:pPr>
      <w:r>
        <w:rPr>
          <w:rFonts w:ascii="仿宋_GB2312" w:eastAsia="仿宋_GB2312" w:hint="eastAsia"/>
          <w:sz w:val="32"/>
        </w:rPr>
        <w:t>投资者进行国债网络查询，需先按照《投资者身份验证操作流程》一次性办理身份验证手续。投资者完成身份验证后，可使用已激活的网上用户名</w:t>
      </w:r>
      <w:r>
        <w:rPr>
          <w:rFonts w:ascii="Times New Roman" w:eastAsia="仿宋_GB2312" w:hAnsi="Times New Roman"/>
          <w:sz w:val="32"/>
        </w:rPr>
        <w:t>/</w:t>
      </w:r>
      <w:r>
        <w:rPr>
          <w:rFonts w:ascii="Times New Roman" w:eastAsia="仿宋_GB2312" w:hAnsi="Times New Roman" w:hint="eastAsia"/>
          <w:sz w:val="32"/>
        </w:rPr>
        <w:t>证券账户号、</w:t>
      </w:r>
      <w:r>
        <w:rPr>
          <w:rFonts w:ascii="仿宋_GB2312" w:eastAsia="仿宋_GB2312" w:hint="eastAsia"/>
          <w:sz w:val="32"/>
        </w:rPr>
        <w:t>密码，按以下流程进行国债网络查询：</w:t>
      </w:r>
    </w:p>
    <w:p w:rsidR="00E37E31" w:rsidRDefault="00E37E31" w:rsidP="00E37E31">
      <w:pPr>
        <w:spacing w:line="360" w:lineRule="auto"/>
        <w:rPr>
          <w:rFonts w:ascii="仿宋_GB2312" w:eastAsia="仿宋_GB2312" w:hint="eastAsia"/>
        </w:rPr>
      </w:pPr>
      <w:r>
        <w:rPr>
          <w:rFonts w:ascii="仿宋_GB2312" w:eastAsia="仿宋_GB2312"/>
          <w:noProof/>
          <w:sz w:val="20"/>
        </w:rPr>
        <w:pict>
          <v:group id="_x0000_s2050" style="position:absolute;left:0;text-align:left;margin-left:18pt;margin-top:14.25pt;width:5in;height:239.55pt;z-index:251660288" coordorigin="2157,6473" coordsize="7200,4791">
            <v:line id="_x0000_s2051" style="position:absolute" from="5757,8876" to="5757,9032"/>
            <v:line id="_x0000_s2052" style="position:absolute" from="5757,9032" to="7557,9032"/>
            <v:line id="_x0000_s2053" style="position:absolute;flip:x" from="3777,9032" to="5757,9032"/>
            <v:line id="_x0000_s2054" style="position:absolute" from="3777,9968" to="7557,9968"/>
            <v:shape id="_x0000_s2055" type="#_x0000_t117" style="position:absolute;left:4317;top:6473;width:2790;height:345">
              <v:textbox style="mso-next-textbox:#_x0000_s2055" inset=",0,,0">
                <w:txbxContent>
                  <w:p w:rsidR="00E37E31" w:rsidRDefault="00E37E31" w:rsidP="00E37E31">
                    <w:pPr>
                      <w:rPr>
                        <w:rFonts w:hint="eastAsia"/>
                      </w:rPr>
                    </w:pPr>
                    <w:r>
                      <w:rPr>
                        <w:rFonts w:eastAsia="仿宋_GB2312" w:hint="eastAsia"/>
                        <w:szCs w:val="21"/>
                      </w:rPr>
                      <w:t>投资者查询开始</w:t>
                    </w:r>
                  </w:p>
                </w:txbxContent>
              </v:textbox>
            </v:shape>
            <v:rect id="_x0000_s2056" style="position:absolute;left:3057;top:7103;width:5400;height:420">
              <v:textbox style="mso-next-textbox:#_x0000_s2056">
                <w:txbxContent>
                  <w:p w:rsidR="00E37E31" w:rsidRDefault="00E37E31" w:rsidP="00E37E31">
                    <w:pPr>
                      <w:jc w:val="center"/>
                      <w:rPr>
                        <w:rStyle w:val="a8"/>
                        <w:rFonts w:hint="eastAsia"/>
                        <w:szCs w:val="21"/>
                      </w:rPr>
                    </w:pPr>
                    <w:r>
                      <w:rPr>
                        <w:rFonts w:ascii="仿宋_GB2312" w:eastAsia="仿宋_GB2312" w:hint="eastAsia"/>
                        <w:szCs w:val="21"/>
                      </w:rPr>
                      <w:t>登录中国结算网站</w:t>
                    </w:r>
                    <w:hyperlink r:id="rId6" w:history="1">
                      <w:r>
                        <w:rPr>
                          <w:rStyle w:val="a8"/>
                          <w:rFonts w:hint="eastAsia"/>
                        </w:rPr>
                        <w:t>http://www.chinaclear.cn</w:t>
                      </w:r>
                    </w:hyperlink>
                    <w:r>
                      <w:rPr>
                        <w:rStyle w:val="a8"/>
                        <w:rFonts w:hint="eastAsia"/>
                        <w:b/>
                        <w:bCs/>
                        <w:color w:val="FF0000"/>
                      </w:rPr>
                      <w:t>（注</w:t>
                    </w:r>
                    <w:r>
                      <w:rPr>
                        <w:rStyle w:val="a8"/>
                        <w:rFonts w:hint="eastAsia"/>
                        <w:b/>
                        <w:bCs/>
                        <w:color w:val="FF0000"/>
                      </w:rPr>
                      <w:t>1</w:t>
                    </w:r>
                    <w:r>
                      <w:rPr>
                        <w:rStyle w:val="a8"/>
                        <w:rFonts w:hint="eastAsia"/>
                        <w:b/>
                        <w:bCs/>
                        <w:color w:val="FF0000"/>
                      </w:rPr>
                      <w:t>）</w:t>
                    </w:r>
                  </w:p>
                </w:txbxContent>
              </v:textbox>
            </v:rect>
            <v:rect id="_x0000_s2057" style="position:absolute;left:3245;top:7838;width:5068;height:375">
              <v:textbox style="mso-next-textbox:#_x0000_s2057" inset=",0,,0">
                <w:txbxContent>
                  <w:p w:rsidR="00E37E31" w:rsidRDefault="00E37E31" w:rsidP="00E37E31">
                    <w:pPr>
                      <w:rPr>
                        <w:rFonts w:hint="eastAsia"/>
                        <w:color w:val="FF0000"/>
                      </w:rPr>
                    </w:pPr>
                    <w:r>
                      <w:rPr>
                        <w:rFonts w:ascii="仿宋_GB2312" w:eastAsia="仿宋_GB2312" w:hint="eastAsia"/>
                        <w:szCs w:val="21"/>
                      </w:rPr>
                      <w:t>输入网上用户</w:t>
                    </w:r>
                    <w:r>
                      <w:rPr>
                        <w:rFonts w:eastAsia="仿宋_GB2312"/>
                        <w:szCs w:val="21"/>
                      </w:rPr>
                      <w:t>/</w:t>
                    </w:r>
                    <w:r>
                      <w:rPr>
                        <w:rFonts w:eastAsia="仿宋_GB2312" w:hint="eastAsia"/>
                        <w:szCs w:val="21"/>
                      </w:rPr>
                      <w:t>证券账户号</w:t>
                    </w:r>
                    <w:r>
                      <w:rPr>
                        <w:rFonts w:ascii="仿宋_GB2312" w:eastAsia="仿宋_GB2312" w:hint="eastAsia"/>
                        <w:szCs w:val="21"/>
                      </w:rPr>
                      <w:t>、密码和附加码</w:t>
                    </w:r>
                    <w:r>
                      <w:rPr>
                        <w:rFonts w:ascii="黑体" w:eastAsia="黑体" w:hint="eastAsia"/>
                        <w:b/>
                        <w:bCs/>
                        <w:color w:val="FF0000"/>
                        <w:szCs w:val="21"/>
                      </w:rPr>
                      <w:t>（注2）</w:t>
                    </w:r>
                  </w:p>
                </w:txbxContent>
              </v:textbox>
            </v:rect>
            <v:rect id="_x0000_s2058" style="position:absolute;left:4497;top:8543;width:2340;height:360">
              <v:textbox style="mso-next-textbox:#_x0000_s2058" inset=",0,,0">
                <w:txbxContent>
                  <w:p w:rsidR="00E37E31" w:rsidRDefault="00E37E31" w:rsidP="00E37E31">
                    <w:pPr>
                      <w:jc w:val="center"/>
                      <w:rPr>
                        <w:rFonts w:ascii="仿宋_GB2312" w:hint="eastAsia"/>
                      </w:rPr>
                    </w:pPr>
                    <w:r>
                      <w:rPr>
                        <w:rFonts w:eastAsia="仿宋_GB2312" w:hint="eastAsia"/>
                        <w:szCs w:val="21"/>
                      </w:rPr>
                      <w:t>选择“国债专项查询”</w:t>
                    </w:r>
                  </w:p>
                </w:txbxContent>
              </v:textbox>
            </v:rect>
            <v:rect id="_x0000_s2059" style="position:absolute;left:4317;top:10280;width:2700;height:312">
              <v:textbox style="mso-next-textbox:#_x0000_s2059" inset=",0,,0">
                <w:txbxContent>
                  <w:p w:rsidR="00E37E31" w:rsidRDefault="00E37E31" w:rsidP="00E37E31">
                    <w:pPr>
                      <w:rPr>
                        <w:rFonts w:ascii="仿宋_GB2312" w:hint="eastAsia"/>
                      </w:rPr>
                    </w:pPr>
                    <w:r>
                      <w:rPr>
                        <w:rFonts w:eastAsia="仿宋_GB2312" w:hint="eastAsia"/>
                        <w:szCs w:val="21"/>
                      </w:rPr>
                      <w:t>记录查询结果</w:t>
                    </w:r>
                    <w:r>
                      <w:rPr>
                        <w:rFonts w:ascii="仿宋_GB2312" w:eastAsia="仿宋_GB2312" w:hint="eastAsia"/>
                        <w:szCs w:val="21"/>
                      </w:rPr>
                      <w:t>，退出系统</w:t>
                    </w:r>
                  </w:p>
                </w:txbxContent>
              </v:textbox>
            </v:rect>
            <v:line id="_x0000_s2060" style="position:absolute" from="5727,6833" to="5727,7088">
              <v:stroke endarrow="block"/>
            </v:line>
            <v:line id="_x0000_s2061" style="position:absolute" from="5727,7523" to="5727,7838">
              <v:stroke endarrow="block"/>
            </v:line>
            <v:line id="_x0000_s2062" style="position:absolute" from="5757,8258" to="5757,8543">
              <v:stroke endarrow="block"/>
            </v:line>
            <v:shape id="_x0000_s2063" type="#_x0000_t116" style="position:absolute;left:5037;top:10904;width:1440;height:360">
              <v:textbox style="mso-next-textbox:#_x0000_s2063" inset=",0,,0">
                <w:txbxContent>
                  <w:p w:rsidR="00E37E31" w:rsidRDefault="00E37E31" w:rsidP="00E37E31">
                    <w:pPr>
                      <w:jc w:val="center"/>
                      <w:rPr>
                        <w:rFonts w:hint="eastAsia"/>
                      </w:rPr>
                    </w:pPr>
                    <w:r>
                      <w:rPr>
                        <w:rFonts w:ascii="仿宋_GB2312" w:eastAsia="仿宋_GB2312" w:hint="eastAsia"/>
                        <w:szCs w:val="21"/>
                      </w:rPr>
                      <w:t>查询结束</w:t>
                    </w:r>
                  </w:p>
                </w:txbxContent>
              </v:textbox>
            </v:shape>
            <v:line id="_x0000_s2064" style="position:absolute" from="5757,10592" to="5757,10877">
              <v:stroke endarrow="block"/>
            </v:line>
            <v:line id="_x0000_s2065" style="position:absolute" from="3777,9032" to="3777,9344">
              <v:stroke endarrow="block"/>
            </v:line>
            <v:line id="_x0000_s2066" style="position:absolute" from="7557,9032" to="7557,9344">
              <v:stroke endarrow="block"/>
            </v:line>
            <v:shapetype id="_x0000_t202" coordsize="21600,21600" o:spt="202" path="m,l,21600r21600,l21600,xe">
              <v:stroke joinstyle="miter"/>
              <v:path gradientshapeok="t" o:connecttype="rect"/>
            </v:shapetype>
            <v:shape id="_x0000_s2067" type="#_x0000_t202" style="position:absolute;left:2157;top:9344;width:3240;height:468">
              <v:textbox style="mso-next-textbox:#_x0000_s2067">
                <w:txbxContent>
                  <w:p w:rsidR="00E37E31" w:rsidRDefault="00E37E31" w:rsidP="00E37E31">
                    <w:pPr>
                      <w:jc w:val="center"/>
                      <w:rPr>
                        <w:rFonts w:eastAsia="仿宋_GB2312"/>
                      </w:rPr>
                    </w:pPr>
                    <w:r>
                      <w:rPr>
                        <w:rFonts w:eastAsia="仿宋_GB2312" w:hint="eastAsia"/>
                      </w:rPr>
                      <w:t>国债持有余额查询</w:t>
                    </w:r>
                  </w:p>
                </w:txbxContent>
              </v:textbox>
            </v:shape>
            <v:shape id="_x0000_s2068" type="#_x0000_t202" style="position:absolute;left:6117;top:9344;width:3240;height:468">
              <v:textbox style="mso-next-textbox:#_x0000_s2068">
                <w:txbxContent>
                  <w:p w:rsidR="00E37E31" w:rsidRDefault="00E37E31" w:rsidP="00E37E31">
                    <w:pPr>
                      <w:jc w:val="center"/>
                    </w:pPr>
                    <w:r>
                      <w:rPr>
                        <w:rFonts w:ascii="仿宋_GB2312" w:eastAsia="仿宋_GB2312" w:hint="eastAsia"/>
                      </w:rPr>
                      <w:t>国债质押转移变动记录查询</w:t>
                    </w:r>
                  </w:p>
                </w:txbxContent>
              </v:textbox>
            </v:shape>
            <v:line id="_x0000_s2069" style="position:absolute" from="3777,9812" to="3777,9968"/>
            <v:line id="_x0000_s2070" style="position:absolute" from="7557,9812" to="7557,9968"/>
            <v:line id="_x0000_s2071" style="position:absolute" from="5757,9968" to="5757,10280">
              <v:stroke endarrow="block"/>
            </v:line>
          </v:group>
        </w:pict>
      </w: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spacing w:line="360" w:lineRule="auto"/>
        <w:rPr>
          <w:rFonts w:ascii="仿宋_GB2312" w:eastAsia="仿宋_GB2312" w:hint="eastAsia"/>
        </w:rPr>
      </w:pPr>
    </w:p>
    <w:p w:rsidR="00E37E31" w:rsidRDefault="00E37E31" w:rsidP="00E37E31">
      <w:pPr>
        <w:pStyle w:val="a6"/>
        <w:spacing w:before="0" w:beforeAutospacing="0" w:after="0" w:afterAutospacing="0" w:line="360" w:lineRule="auto"/>
        <w:ind w:firstLineChars="200" w:firstLine="420"/>
        <w:rPr>
          <w:rFonts w:ascii="仿宋_GB2312" w:eastAsia="仿宋_GB2312" w:hint="eastAsia"/>
          <w:color w:val="FF0000"/>
          <w:sz w:val="21"/>
        </w:rPr>
      </w:pPr>
    </w:p>
    <w:p w:rsidR="00E37E31" w:rsidRDefault="00E37E31" w:rsidP="00E37E31">
      <w:pPr>
        <w:rPr>
          <w:rFonts w:hint="eastAsia"/>
        </w:rPr>
      </w:pPr>
      <w:r>
        <w:rPr>
          <w:rFonts w:ascii="仿宋_GB2312" w:eastAsia="仿宋_GB2312" w:hint="eastAsia"/>
          <w:color w:val="FF0000"/>
        </w:rPr>
        <w:t>注1：</w:t>
      </w:r>
      <w:r>
        <w:rPr>
          <w:rFonts w:ascii="仿宋_GB2312" w:eastAsia="仿宋_GB2312" w:hint="eastAsia"/>
        </w:rPr>
        <w:t>通过互联网登录中国结算网站后，点击页面左侧‘投资者服务’项下‘国债专项查询’。</w:t>
      </w:r>
    </w:p>
    <w:p w:rsidR="00E37E31" w:rsidRDefault="00E37E31" w:rsidP="00E37E31">
      <w:pPr>
        <w:rPr>
          <w:rFonts w:hint="eastAsia"/>
        </w:rPr>
      </w:pPr>
      <w:r>
        <w:rPr>
          <w:rFonts w:hint="eastAsia"/>
        </w:rPr>
        <w:t xml:space="preserve">    </w:t>
      </w:r>
      <w:r>
        <w:rPr>
          <w:rFonts w:ascii="仿宋_GB2312" w:eastAsia="仿宋_GB2312" w:hAnsi="宋体" w:hint="eastAsia"/>
          <w:color w:val="FF0000"/>
          <w:kern w:val="0"/>
        </w:rPr>
        <w:t>注2：</w:t>
      </w:r>
      <w:r>
        <w:rPr>
          <w:rFonts w:ascii="仿宋_GB2312" w:eastAsia="仿宋_GB2312" w:hint="eastAsia"/>
        </w:rPr>
        <w:t>附加码由系统自动产生，并显示在页面上。对于使用电子证书的投资者，登录系统还应使用电子证书。</w:t>
      </w:r>
    </w:p>
    <w:p w:rsidR="00E37E31" w:rsidRDefault="00E37E31" w:rsidP="00E37E31">
      <w:pPr>
        <w:ind w:right="1287"/>
        <w:rPr>
          <w:rFonts w:ascii="仿宋_GB2312" w:eastAsia="仿宋_GB2312" w:hint="eastAsia"/>
          <w:spacing w:val="-6"/>
          <w:sz w:val="32"/>
        </w:rPr>
      </w:pPr>
    </w:p>
    <w:p w:rsidR="00034B22" w:rsidRPr="00E37E31" w:rsidRDefault="00034B22"/>
    <w:sectPr w:rsidR="00034B22" w:rsidRPr="00E37E31">
      <w:footerReference w:type="even" r:id="rId7"/>
      <w:footerReference w:type="default" r:id="rId8"/>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F39" w:rsidRDefault="00144F39" w:rsidP="00E37E31">
      <w:r>
        <w:separator/>
      </w:r>
    </w:p>
  </w:endnote>
  <w:endnote w:type="continuationSeparator" w:id="0">
    <w:p w:rsidR="00144F39" w:rsidRDefault="00144F39" w:rsidP="00E37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CE" w:rsidRDefault="00144F39">
    <w:pPr>
      <w:pStyle w:val="a4"/>
      <w:rPr>
        <w:rFonts w:hint="eastAsia"/>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6</w:t>
    </w:r>
    <w:r>
      <w:rPr>
        <w:rStyle w:val="a5"/>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CE" w:rsidRDefault="00144F39">
    <w:pPr>
      <w:pStyle w:val="a4"/>
      <w:wordWrap w:val="0"/>
      <w:jc w:val="right"/>
      <w:rPr>
        <w:rFonts w:hint="eastAsia"/>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sidR="00E37E31">
      <w:rPr>
        <w:rStyle w:val="a5"/>
        <w:noProof/>
        <w:sz w:val="28"/>
      </w:rPr>
      <w:t>1</w:t>
    </w:r>
    <w:r>
      <w:rPr>
        <w:rStyle w:val="a5"/>
        <w:sz w:val="28"/>
      </w:rPr>
      <w:fldChar w:fldCharType="end"/>
    </w:r>
    <w:r>
      <w:rPr>
        <w:rFonts w:hint="eastAsia"/>
        <w:sz w:val="28"/>
      </w:rPr>
      <w:t xml:space="preserve"> </w:t>
    </w:r>
    <w:r>
      <w:rPr>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F39" w:rsidRDefault="00144F39" w:rsidP="00E37E31">
      <w:r>
        <w:separator/>
      </w:r>
    </w:p>
  </w:footnote>
  <w:footnote w:type="continuationSeparator" w:id="0">
    <w:p w:rsidR="00144F39" w:rsidRDefault="00144F39" w:rsidP="00E37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7E31"/>
    <w:rsid w:val="00034B22"/>
    <w:rsid w:val="00064496"/>
    <w:rsid w:val="00067104"/>
    <w:rsid w:val="00084A5C"/>
    <w:rsid w:val="000D7AEA"/>
    <w:rsid w:val="00144F39"/>
    <w:rsid w:val="00157CED"/>
    <w:rsid w:val="001764D4"/>
    <w:rsid w:val="001837B2"/>
    <w:rsid w:val="001A02E4"/>
    <w:rsid w:val="001B43C8"/>
    <w:rsid w:val="001E6F1D"/>
    <w:rsid w:val="001E7CBA"/>
    <w:rsid w:val="00215EB4"/>
    <w:rsid w:val="002B370C"/>
    <w:rsid w:val="002C7AC4"/>
    <w:rsid w:val="00317C53"/>
    <w:rsid w:val="00362E93"/>
    <w:rsid w:val="003D6B64"/>
    <w:rsid w:val="004A0FA8"/>
    <w:rsid w:val="00506FC2"/>
    <w:rsid w:val="005360BF"/>
    <w:rsid w:val="00537475"/>
    <w:rsid w:val="00593288"/>
    <w:rsid w:val="005F36F9"/>
    <w:rsid w:val="006134E5"/>
    <w:rsid w:val="00614FD4"/>
    <w:rsid w:val="00617F3F"/>
    <w:rsid w:val="0062131C"/>
    <w:rsid w:val="006373A3"/>
    <w:rsid w:val="006458D4"/>
    <w:rsid w:val="00662353"/>
    <w:rsid w:val="00674737"/>
    <w:rsid w:val="00692006"/>
    <w:rsid w:val="006A2516"/>
    <w:rsid w:val="006D433C"/>
    <w:rsid w:val="00727399"/>
    <w:rsid w:val="007E3B3C"/>
    <w:rsid w:val="007F7B27"/>
    <w:rsid w:val="0084379C"/>
    <w:rsid w:val="008847E5"/>
    <w:rsid w:val="008D4DDB"/>
    <w:rsid w:val="00915FEC"/>
    <w:rsid w:val="00916997"/>
    <w:rsid w:val="00974111"/>
    <w:rsid w:val="009C59E1"/>
    <w:rsid w:val="009E7699"/>
    <w:rsid w:val="009F10AA"/>
    <w:rsid w:val="009F6CE4"/>
    <w:rsid w:val="00A35FEA"/>
    <w:rsid w:val="00A52955"/>
    <w:rsid w:val="00A70779"/>
    <w:rsid w:val="00A80679"/>
    <w:rsid w:val="00B01845"/>
    <w:rsid w:val="00B01EBD"/>
    <w:rsid w:val="00B7656A"/>
    <w:rsid w:val="00BA59D3"/>
    <w:rsid w:val="00BB3375"/>
    <w:rsid w:val="00BC010A"/>
    <w:rsid w:val="00BD0520"/>
    <w:rsid w:val="00BF2072"/>
    <w:rsid w:val="00C15EEC"/>
    <w:rsid w:val="00C356C0"/>
    <w:rsid w:val="00C65BC1"/>
    <w:rsid w:val="00C716C2"/>
    <w:rsid w:val="00CC0DC2"/>
    <w:rsid w:val="00CC5983"/>
    <w:rsid w:val="00CE46A8"/>
    <w:rsid w:val="00D20AA0"/>
    <w:rsid w:val="00D4281B"/>
    <w:rsid w:val="00D7285B"/>
    <w:rsid w:val="00DB33EE"/>
    <w:rsid w:val="00DB5CE6"/>
    <w:rsid w:val="00DC50C6"/>
    <w:rsid w:val="00DE5044"/>
    <w:rsid w:val="00E172D3"/>
    <w:rsid w:val="00E20EB1"/>
    <w:rsid w:val="00E37E31"/>
    <w:rsid w:val="00EF5319"/>
    <w:rsid w:val="00F02256"/>
    <w:rsid w:val="00F27A68"/>
    <w:rsid w:val="00F52C94"/>
    <w:rsid w:val="00FA6E5E"/>
    <w:rsid w:val="00FC2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E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7E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37E31"/>
    <w:rPr>
      <w:sz w:val="18"/>
      <w:szCs w:val="18"/>
    </w:rPr>
  </w:style>
  <w:style w:type="paragraph" w:styleId="a4">
    <w:name w:val="footer"/>
    <w:basedOn w:val="a"/>
    <w:link w:val="Char0"/>
    <w:semiHidden/>
    <w:unhideWhenUsed/>
    <w:rsid w:val="00E37E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37E31"/>
    <w:rPr>
      <w:sz w:val="18"/>
      <w:szCs w:val="18"/>
    </w:rPr>
  </w:style>
  <w:style w:type="character" w:styleId="a5">
    <w:name w:val="page number"/>
    <w:basedOn w:val="a0"/>
    <w:semiHidden/>
    <w:rsid w:val="00E37E31"/>
  </w:style>
  <w:style w:type="paragraph" w:styleId="a6">
    <w:name w:val="Normal (Web)"/>
    <w:basedOn w:val="a"/>
    <w:semiHidden/>
    <w:rsid w:val="00E37E31"/>
    <w:pPr>
      <w:widowControl/>
      <w:spacing w:before="100" w:beforeAutospacing="1" w:after="100" w:afterAutospacing="1"/>
      <w:jc w:val="left"/>
    </w:pPr>
    <w:rPr>
      <w:rFonts w:ascii="宋体" w:hAnsi="宋体"/>
      <w:color w:val="000000"/>
      <w:kern w:val="0"/>
      <w:sz w:val="24"/>
    </w:rPr>
  </w:style>
  <w:style w:type="paragraph" w:styleId="a7">
    <w:name w:val="Body Text Indent"/>
    <w:basedOn w:val="a"/>
    <w:link w:val="Char1"/>
    <w:semiHidden/>
    <w:rsid w:val="00E37E31"/>
    <w:pPr>
      <w:ind w:firstLineChars="200" w:firstLine="640"/>
    </w:pPr>
    <w:rPr>
      <w:rFonts w:ascii="仿宋_GB2312" w:eastAsia="仿宋_GB2312"/>
      <w:sz w:val="32"/>
      <w:szCs w:val="18"/>
    </w:rPr>
  </w:style>
  <w:style w:type="character" w:customStyle="1" w:styleId="Char1">
    <w:name w:val="正文文本缩进 Char"/>
    <w:basedOn w:val="a0"/>
    <w:link w:val="a7"/>
    <w:semiHidden/>
    <w:rsid w:val="00E37E31"/>
    <w:rPr>
      <w:rFonts w:ascii="仿宋_GB2312" w:eastAsia="仿宋_GB2312" w:hAnsi="Times New Roman" w:cs="Times New Roman"/>
      <w:sz w:val="32"/>
      <w:szCs w:val="18"/>
    </w:rPr>
  </w:style>
  <w:style w:type="character" w:styleId="a8">
    <w:name w:val="Hyperlink"/>
    <w:basedOn w:val="a0"/>
    <w:semiHidden/>
    <w:rsid w:val="00E37E31"/>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clear.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CN=王哲/OU=法律部/OU=公司总部/O=ChinaClear</dc:creator>
  <cp:keywords/>
  <dc:description/>
  <cp:lastModifiedBy>CN=王哲/OU=法律部/OU=公司总部/O=ChinaClear</cp:lastModifiedBy>
  <cp:revision>2</cp:revision>
  <dcterms:created xsi:type="dcterms:W3CDTF">2017-09-22T06:19:00Z</dcterms:created>
  <dcterms:modified xsi:type="dcterms:W3CDTF">2017-09-22T06:20:00Z</dcterms:modified>
</cp:coreProperties>
</file>