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附件六：</w:t>
      </w:r>
    </w:p>
    <w:p>
      <w:pPr>
        <w:snapToGrid w:val="0"/>
        <w:spacing w:line="240" w:lineRule="auto"/>
        <w:jc w:val="center"/>
        <w:outlineLvl w:val="0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上海期货交易所</w:t>
      </w:r>
    </w:p>
    <w:p>
      <w:pPr>
        <w:snapToGrid w:val="0"/>
        <w:spacing w:line="240" w:lineRule="auto"/>
        <w:jc w:val="center"/>
        <w:outlineLvl w:val="0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每</w:t>
      </w:r>
      <w:r>
        <w:rPr>
          <w:b/>
          <w:color w:val="000000"/>
          <w:sz w:val="44"/>
          <w:szCs w:val="44"/>
        </w:rPr>
        <w:t xml:space="preserve"> </w:t>
      </w:r>
      <w:r>
        <w:rPr>
          <w:rFonts w:hint="eastAsia"/>
          <w:b/>
          <w:color w:val="000000"/>
          <w:sz w:val="44"/>
          <w:szCs w:val="44"/>
        </w:rPr>
        <w:t>月</w:t>
      </w:r>
      <w:r>
        <w:rPr>
          <w:b/>
          <w:color w:val="000000"/>
          <w:sz w:val="44"/>
          <w:szCs w:val="44"/>
        </w:rPr>
        <w:t xml:space="preserve"> </w:t>
      </w:r>
      <w:r>
        <w:rPr>
          <w:rFonts w:hint="eastAsia"/>
          <w:b/>
          <w:color w:val="000000"/>
          <w:sz w:val="44"/>
          <w:szCs w:val="44"/>
        </w:rPr>
        <w:t>行</w:t>
      </w:r>
      <w:r>
        <w:rPr>
          <w:b/>
          <w:color w:val="000000"/>
          <w:sz w:val="44"/>
          <w:szCs w:val="44"/>
        </w:rPr>
        <w:t xml:space="preserve"> </w:t>
      </w:r>
      <w:r>
        <w:rPr>
          <w:rFonts w:hint="eastAsia"/>
          <w:b/>
          <w:color w:val="000000"/>
          <w:sz w:val="44"/>
          <w:szCs w:val="44"/>
        </w:rPr>
        <w:t>情</w:t>
      </w:r>
      <w:bookmarkStart w:id="0" w:name="_GoBack"/>
      <w:bookmarkEnd w:id="0"/>
    </w:p>
    <w:p>
      <w:pPr>
        <w:spacing w:line="240" w:lineRule="auto"/>
        <w:jc w:val="center"/>
        <w:rPr>
          <w:sz w:val="24"/>
        </w:rPr>
      </w:pPr>
      <w:r>
        <w:rPr>
          <w:rFonts w:hint="eastAsia"/>
          <w:sz w:val="24"/>
        </w:rPr>
        <w:t>（表</w:t>
      </w:r>
      <w:r>
        <w:rPr>
          <w:sz w:val="24"/>
        </w:rPr>
        <w:t xml:space="preserve"> </w:t>
      </w:r>
      <w:r>
        <w:rPr>
          <w:rFonts w:hint="eastAsia"/>
          <w:sz w:val="24"/>
        </w:rPr>
        <w:t>式）</w:t>
      </w:r>
    </w:p>
    <w:p>
      <w:pPr>
        <w:spacing w:line="240" w:lineRule="auto"/>
        <w:ind w:firstLine="12060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</w:p>
    <w:tbl>
      <w:tblPr>
        <w:tblStyle w:val="5"/>
        <w:tblW w:w="1385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061"/>
        <w:gridCol w:w="1080"/>
        <w:gridCol w:w="1464"/>
        <w:gridCol w:w="1464"/>
        <w:gridCol w:w="1032"/>
        <w:gridCol w:w="10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80" w:hRule="exact"/>
          <w:jc w:val="center"/>
        </w:trPr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商品名称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交割月份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月开盘价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最高价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最低价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月收盘价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涨跌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持仓量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持仓量变化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月末结算价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成交量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成交额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10" w:hRule="exact"/>
          <w:jc w:val="center"/>
        </w:trPr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10" w:hRule="exact"/>
          <w:jc w:val="center"/>
        </w:trPr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小计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10" w:hRule="exact"/>
          <w:jc w:val="center"/>
        </w:trPr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10" w:hRule="exact"/>
          <w:jc w:val="center"/>
        </w:trPr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小计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10" w:hRule="exact"/>
          <w:jc w:val="center"/>
        </w:trPr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10" w:hRule="exact"/>
          <w:jc w:val="center"/>
        </w:trPr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小计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10" w:hRule="exact"/>
          <w:jc w:val="center"/>
        </w:trPr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10" w:hRule="exact"/>
          <w:jc w:val="center"/>
        </w:trPr>
        <w:tc>
          <w:tcPr>
            <w:tcW w:w="112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小计</w:t>
            </w:r>
          </w:p>
        </w:tc>
        <w:tc>
          <w:tcPr>
            <w:tcW w:w="112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10" w:hRule="exact"/>
          <w:jc w:val="center"/>
        </w:trPr>
        <w:tc>
          <w:tcPr>
            <w:tcW w:w="1120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总计</w:t>
            </w:r>
          </w:p>
        </w:tc>
        <w:tc>
          <w:tcPr>
            <w:tcW w:w="1120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注：① 价格：元</w:t>
      </w:r>
      <w:r>
        <w:rPr>
          <w:sz w:val="24"/>
        </w:rPr>
        <w:t>/</w:t>
      </w:r>
      <w:r>
        <w:rPr>
          <w:rFonts w:hint="eastAsia"/>
          <w:sz w:val="24"/>
        </w:rPr>
        <w:t>吨；</w:t>
      </w:r>
      <w:r>
        <w:rPr>
          <w:sz w:val="24"/>
        </w:rPr>
        <w:t xml:space="preserve"> </w:t>
      </w:r>
      <w:r>
        <w:rPr>
          <w:rFonts w:hint="eastAsia"/>
          <w:sz w:val="24"/>
        </w:rPr>
        <w:t>②</w:t>
      </w:r>
      <w:r>
        <w:rPr>
          <w:sz w:val="24"/>
        </w:rPr>
        <w:t xml:space="preserve"> </w:t>
      </w:r>
      <w:r>
        <w:rPr>
          <w:rFonts w:hint="eastAsia"/>
          <w:sz w:val="24"/>
        </w:rPr>
        <w:t>成交量、持仓量：手（按双边计算）；</w:t>
      </w:r>
    </w:p>
    <w:p>
      <w:pPr>
        <w:spacing w:line="360" w:lineRule="auto"/>
        <w:ind w:firstLine="588" w:firstLineChars="245"/>
      </w:pPr>
      <w:r>
        <w:rPr>
          <w:rFonts w:hint="eastAsia"/>
          <w:sz w:val="24"/>
        </w:rPr>
        <w:t>③ 成交额：亿元（按双边计算）；</w:t>
      </w:r>
      <w:r>
        <w:rPr>
          <w:sz w:val="24"/>
        </w:rPr>
        <w:t xml:space="preserve">  </w:t>
      </w:r>
      <w:r>
        <w:rPr>
          <w:rFonts w:hint="eastAsia"/>
          <w:sz w:val="24"/>
        </w:rPr>
        <w:t>④ 涨跌：月收盘价与上月末结算价之差。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0EFF"/>
    <w:rsid w:val="00710EFF"/>
    <w:rsid w:val="009A5201"/>
    <w:rsid w:val="00AC10BD"/>
    <w:rsid w:val="00C84496"/>
    <w:rsid w:val="00F46C37"/>
    <w:rsid w:val="00FC6EBA"/>
    <w:rsid w:val="570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SHFE</Company>
  <Pages>2</Pages>
  <Words>43</Words>
  <Characters>247</Characters>
  <Lines>2</Lines>
  <Paragraphs>1</Paragraphs>
  <TotalTime>0</TotalTime>
  <ScaleCrop>false</ScaleCrop>
  <LinksUpToDate>false</LinksUpToDate>
  <CharactersWithSpaces>289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2017-09-27T06:33:00Z</dcterms:created>
  <dc:creator>姜珊珊</dc:creator>
  <cp:lastModifiedBy>sunju</cp:lastModifiedBy>
  <dcterms:modified xsi:type="dcterms:W3CDTF">2017-10-06T01:24:30Z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