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spacing w:line="558" w:lineRule="exact"/>
        <w:ind w:right="0" w:rightChars="0"/>
        <w:jc w:val="both"/>
        <w:rPr>
          <w:rFonts w:hint="eastAsia" w:ascii="黑体" w:hAnsi="黑体" w:eastAsia="黑体" w:cs="黑体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10" w:line="520" w:lineRule="exact"/>
        <w:ind w:left="0" w:leftChars="0" w:firstLine="0" w:firstLineChars="0"/>
        <w:jc w:val="center"/>
        <w:textAlignment w:val="auto"/>
        <w:outlineLvl w:val="1"/>
        <w:rPr>
          <w:rFonts w:hint="eastAsia" w:ascii="方正小标宋_GBK" w:hAnsi="Times New Roman" w:eastAsia="方正小标宋_GBK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住房和城乡建设部机关政府信息公开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10" w:line="520" w:lineRule="exact"/>
        <w:ind w:left="0" w:leftChars="0" w:firstLine="0" w:firstLineChars="0"/>
        <w:jc w:val="center"/>
        <w:textAlignment w:val="auto"/>
        <w:outlineLvl w:val="1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宋体"/>
          <w:b w:val="0"/>
          <w:bCs w:val="0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信息处理费收费通知书（模板）</w:t>
      </w:r>
    </w:p>
    <w:p>
      <w:pPr>
        <w:pStyle w:val="5"/>
        <w:tabs>
          <w:tab w:val="left" w:pos="718"/>
          <w:tab w:val="left" w:pos="1932"/>
        </w:tabs>
        <w:spacing w:before="145"/>
        <w:ind w:right="155"/>
        <w:jc w:val="right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w w:val="95"/>
          <w14:textFill>
            <w14:solidFill>
              <w14:schemeClr w14:val="tx1"/>
            </w14:solidFill>
          </w14:textFill>
        </w:rPr>
        <w:t>号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80" w:lineRule="exact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申请人姓名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/单位名称）</w:t>
      </w:r>
      <w:r>
        <w:rPr>
          <w:rFonts w:hint="eastAsia" w:ascii="仿宋" w:hAnsi="仿宋" w:eastAsia="仿宋" w:cs="仿宋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5"/>
        <w:keepNext w:val="0"/>
        <w:keepLines w:val="0"/>
        <w:pageBreakBefore w:val="0"/>
        <w:widowControl w:val="0"/>
        <w:tabs>
          <w:tab w:val="left" w:pos="22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580" w:lineRule="exact"/>
        <w:ind w:left="118" w:right="134" w:firstLine="638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我部于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日收到您（你单位）提交的政府信息公开申请（编号：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22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580" w:lineRule="exact"/>
        <w:ind w:left="118" w:right="134" w:firstLine="638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□适用按件计收。按照“一事一申请”原则，您（你单位）在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月提交的政府信息公开申请已累计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件（含本申请）。根据《中华人民共和国政府信息公开条例》第四十二条和《政府信息公开信息处理费管理办法》第四条之规定，按照按件计收标准，现向您（你单位）收取信息处理费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元。具体计收标准为：……（按照实际情形列出具体计费情况）。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22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580" w:lineRule="exact"/>
        <w:ind w:right="134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□适用按量计收。经统计，您（你单位）本次申请公开的政府信息共计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页。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根据《中华人民共和国政府信息公开条例》第四十二条和《政府信息公开信息处理费管理办法》第五条之规定，按照按量计收标准，现向您</w:t>
      </w: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（你单位）收取信息处理费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元。具体</w:t>
      </w:r>
      <w:r>
        <w:rPr>
          <w:rFonts w:hint="eastAsia" w:ascii="仿宋" w:hAnsi="仿宋" w:eastAsia="仿宋" w:cs="仿宋"/>
          <w:color w:val="000000" w:themeColor="text1"/>
          <w:w w:val="95"/>
          <w14:textFill>
            <w14:solidFill>
              <w14:schemeClr w14:val="tx1"/>
            </w14:solidFill>
          </w14:textFill>
        </w:rPr>
        <w:t>计收标准</w:t>
      </w:r>
      <w:r>
        <w:rPr>
          <w:rFonts w:hint="eastAsia" w:ascii="仿宋" w:hAnsi="仿宋" w:eastAsia="仿宋" w:cs="仿宋"/>
          <w:color w:val="000000" w:themeColor="text1"/>
          <w:w w:val="95"/>
          <w:lang w:eastAsia="zh-CN"/>
          <w14:textFill>
            <w14:solidFill>
              <w14:schemeClr w14:val="tx1"/>
            </w14:solidFill>
          </w14:textFill>
        </w:rPr>
        <w:t>为：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w w:val="95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按照实际情形列出具体计费情况</w:t>
      </w:r>
      <w:r>
        <w:rPr>
          <w:rFonts w:hint="eastAsia" w:ascii="仿宋" w:hAnsi="仿宋" w:eastAsia="仿宋" w:cs="仿宋"/>
          <w:color w:val="000000" w:themeColor="text1"/>
          <w:w w:val="95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w w:val="95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请您（你单位）自收到本通知书次日起20个工作日内，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持电子缴款书上携带的缴款码，通过代理银行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缴纳应缴款项，并标注“申请人姓名/单位名称  信息处理费”。完成缴费后，请及时联系我部政务公开领导小组办公室（简称公开办）确认缴费结果（联系方式：010-58933024）。我部办理该政府信息公开申请的期限从您（你单位）完成缴费次日起重新计算（完成缴费的日期为信息处理费到账日期）。逾期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未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缴纳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的视为放弃本次申请，我部不再处理该政府信息公开申请。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1069"/>
          <w:tab w:val="left" w:pos="1820"/>
          <w:tab w:val="left" w:pos="25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580" w:lineRule="exact"/>
        <w:ind w:right="136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3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3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3"/>
        <w:jc w:val="both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缴费操作说明：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一、申请人可根据自身实际，选择代理银行，通过柜台缴款、自助终端、网上支付等方式办理中央财政非税收入缴款。以下代理银行供参考：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64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1.中国工商银行股份有限公司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64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2.中国银行股份有限公司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64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3.中国建设银行股份有限公司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64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4.中国农业银行股份有限公司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64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5.招商银行股份有限公司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64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6.中国邮政储蓄银行股份有限公司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二、网上支付最为便捷，但不同银行网上缴费的办理方式不一，具体需咨询银行客服，以实际情况为准。以“中国工商银行”手机APP为例，办理方式如下，供参考：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1.登陆“中国工商银行”手机APP，进入“生活缴费”频道，选择“全部”；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2.选择“财税缴款”栏目下的“非税”项目；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3.选择“中央财政非税收入缴款”，收款机构为“财政部”；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4.输入缴款码，完成缴款操作。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pgSz w:w="11910" w:h="16840"/>
          <w:pgMar w:top="1701" w:right="1701" w:bottom="1279" w:left="1701" w:header="720" w:footer="720" w:gutter="0"/>
          <w:cols w:equalWidth="0" w:num="1">
            <w:col w:w="8310"/>
          </w:cols>
          <w:rtlGutter w:val="0"/>
          <w:docGrid w:linePitch="0" w:charSpace="0"/>
        </w:sectPr>
      </w:pP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三、缴费后，申请人请及时联系我部公开办确认缴费结果，联系方式：010-58933024。我部将在申请人完成缴费次日起重新计算处理期限。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645C139-3173-4F74-AB40-2B3784F87246}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335AA4-C135-4F70-8E0A-2C95A4D5892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B418F4A-D2CC-47FA-AC6D-CD2B3CAC71B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27CC0FD3"/>
    <w:rsid w:val="611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qFormat/>
    <w:uiPriority w:val="0"/>
    <w:pPr>
      <w:ind w:firstLine="624"/>
    </w:pPr>
    <w:rPr>
      <w:rFonts w:ascii="仿宋_GB2312" w:eastAsia="仿宋_GB2312"/>
      <w:sz w:val="32"/>
      <w:szCs w:val="20"/>
    </w:rPr>
  </w:style>
  <w:style w:type="paragraph" w:styleId="5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630</Characters>
  <Lines>0</Lines>
  <Paragraphs>0</Paragraphs>
  <TotalTime>0</TotalTime>
  <ScaleCrop>false</ScaleCrop>
  <LinksUpToDate>false</LinksUpToDate>
  <CharactersWithSpaces>660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2023-02-15T07:23:00Z</dcterms:created>
  <dc:creator>yanglinyi</dc:creator>
  <cp:lastModifiedBy>tinykerman</cp:lastModifiedBy>
  <dcterms:modified xsi:type="dcterms:W3CDTF">2023-02-15T07:25:26Z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76FFFC00E2464553894763A36868ED43</vt:lpwstr>
  </property>
</Properties>
</file>