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CB" w:rsidRDefault="00BC66CB" w:rsidP="00BC66CB">
      <w:pPr>
        <w:widowControl/>
        <w:snapToGrid w:val="0"/>
        <w:spacing w:line="480" w:lineRule="auto"/>
        <w:jc w:val="center"/>
        <w:rPr>
          <w:rFonts w:ascii="宋体" w:hAnsi="宋体" w:cs="仿宋_GB2312,Bold"/>
          <w:b/>
          <w:bCs/>
          <w:kern w:val="0"/>
          <w:sz w:val="36"/>
          <w:szCs w:val="36"/>
        </w:rPr>
      </w:pPr>
      <w:bookmarkStart w:id="0" w:name="第8节"/>
      <w:bookmarkStart w:id="1" w:name="_GoBack"/>
      <w:r>
        <w:rPr>
          <w:rFonts w:ascii="宋体" w:hAnsi="宋体" w:cs="仿宋_GB2312,Bold" w:hint="eastAsia"/>
          <w:b/>
          <w:bCs/>
          <w:kern w:val="0"/>
          <w:sz w:val="36"/>
          <w:szCs w:val="36"/>
        </w:rPr>
        <w:t>第</w:t>
      </w:r>
      <w:r>
        <w:rPr>
          <w:rFonts w:ascii="宋体" w:hAnsi="宋体" w:cs="仿宋_GB2312,Bold"/>
          <w:b/>
          <w:bCs/>
          <w:kern w:val="0"/>
          <w:sz w:val="36"/>
          <w:szCs w:val="36"/>
        </w:rPr>
        <w:t>8</w:t>
      </w:r>
      <w:r>
        <w:rPr>
          <w:rFonts w:ascii="宋体" w:hAnsi="宋体" w:cs="仿宋_GB2312,Bold" w:hint="eastAsia"/>
          <w:b/>
          <w:bCs/>
          <w:kern w:val="0"/>
          <w:sz w:val="36"/>
          <w:szCs w:val="36"/>
        </w:rPr>
        <w:t>号 股份交易异常波动公告格式模板</w:t>
      </w:r>
      <w:bookmarkEnd w:id="0"/>
    </w:p>
    <w:bookmarkEnd w:id="1"/>
    <w:p w:rsidR="00BC66CB" w:rsidRDefault="00BC66CB" w:rsidP="00BC66CB">
      <w:pPr>
        <w:autoSpaceDE w:val="0"/>
        <w:autoSpaceDN w:val="0"/>
        <w:adjustRightInd w:val="0"/>
        <w:ind w:firstLineChars="247" w:firstLine="744"/>
        <w:jc w:val="center"/>
        <w:rPr>
          <w:rFonts w:ascii="仿宋" w:eastAsia="仿宋" w:hAnsi="仿宋" w:cs="仿宋_GB2312,Bold"/>
          <w:b/>
          <w:bCs/>
          <w:kern w:val="0"/>
          <w:sz w:val="30"/>
          <w:szCs w:val="30"/>
        </w:rPr>
      </w:pPr>
    </w:p>
    <w:p w:rsidR="00BC66CB" w:rsidRDefault="00BC66CB" w:rsidP="00BC66CB">
      <w:pPr>
        <w:snapToGrid w:val="0"/>
        <w:rPr>
          <w:rFonts w:ascii="仿宋" w:eastAsia="仿宋" w:hAnsi="仿宋"/>
          <w:b/>
          <w:sz w:val="32"/>
          <w:szCs w:val="32"/>
        </w:rPr>
      </w:pPr>
      <w:r>
        <w:rPr>
          <w:rFonts w:ascii="仿宋" w:eastAsia="仿宋" w:hAnsi="仿宋" w:hint="eastAsia"/>
          <w:b/>
          <w:sz w:val="32"/>
          <w:szCs w:val="32"/>
        </w:rPr>
        <w:t>证券代码：</w:t>
      </w:r>
      <w:r>
        <w:rPr>
          <w:rFonts w:ascii="仿宋" w:eastAsia="仿宋" w:hAnsi="仿宋" w:hint="eastAsia"/>
          <w:b/>
          <w:sz w:val="32"/>
          <w:szCs w:val="32"/>
        </w:rPr>
        <w:tab/>
      </w:r>
      <w:r>
        <w:rPr>
          <w:rFonts w:ascii="仿宋" w:eastAsia="仿宋" w:hAnsi="仿宋" w:hint="eastAsia"/>
          <w:b/>
          <w:sz w:val="32"/>
          <w:szCs w:val="32"/>
        </w:rPr>
        <w:tab/>
      </w:r>
      <w:r>
        <w:rPr>
          <w:rFonts w:ascii="仿宋" w:eastAsia="仿宋" w:hAnsi="仿宋" w:hint="eastAsia"/>
          <w:b/>
          <w:sz w:val="32"/>
          <w:szCs w:val="32"/>
        </w:rPr>
        <w:tab/>
        <w:t xml:space="preserve">    证券简称：</w:t>
      </w:r>
      <w:r>
        <w:rPr>
          <w:rFonts w:ascii="仿宋" w:eastAsia="仿宋" w:hAnsi="仿宋" w:hint="eastAsia"/>
          <w:b/>
          <w:sz w:val="32"/>
          <w:szCs w:val="32"/>
        </w:rPr>
        <w:tab/>
      </w:r>
      <w:r>
        <w:rPr>
          <w:rFonts w:ascii="仿宋" w:eastAsia="仿宋" w:hAnsi="仿宋" w:hint="eastAsia"/>
          <w:b/>
          <w:sz w:val="32"/>
          <w:szCs w:val="32"/>
        </w:rPr>
        <w:tab/>
        <w:t xml:space="preserve">        公告编号：</w:t>
      </w:r>
    </w:p>
    <w:p w:rsidR="00BC66CB" w:rsidRDefault="00BC66CB" w:rsidP="00BC66CB">
      <w:pPr>
        <w:snapToGrid w:val="0"/>
        <w:rPr>
          <w:rFonts w:ascii="仿宋" w:eastAsia="仿宋" w:hAnsi="仿宋"/>
          <w:b/>
          <w:sz w:val="32"/>
          <w:szCs w:val="32"/>
        </w:rPr>
      </w:pPr>
    </w:p>
    <w:p w:rsidR="00BC66CB" w:rsidRDefault="00BC66CB" w:rsidP="00BC66CB">
      <w:pPr>
        <w:spacing w:line="520" w:lineRule="exact"/>
        <w:ind w:firstLine="510"/>
        <w:jc w:val="center"/>
        <w:rPr>
          <w:rFonts w:ascii="仿宋" w:eastAsia="仿宋" w:hAnsi="仿宋"/>
          <w:b/>
          <w:bCs/>
          <w:sz w:val="30"/>
          <w:szCs w:val="30"/>
        </w:rPr>
      </w:pPr>
      <w:r>
        <w:rPr>
          <w:rFonts w:ascii="仿宋" w:eastAsia="仿宋" w:hAnsi="仿宋" w:hint="eastAsia"/>
          <w:b/>
          <w:bCs/>
          <w:sz w:val="32"/>
          <w:szCs w:val="32"/>
        </w:rPr>
        <w:t>XXXXXX股份有限公司股票交易异常波动公告</w:t>
      </w:r>
    </w:p>
    <w:p w:rsidR="00BC66CB" w:rsidRDefault="00BC66CB" w:rsidP="00BC66CB">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本公司及董事会全体成员保证公告内容不存在任何虚假记载、误导性陈述或者重大遗漏，并对其内容的真实、准确和完整承担个别及连带责任。</w:t>
      </w:r>
    </w:p>
    <w:p w:rsidR="00BC66CB" w:rsidRDefault="00BC66CB" w:rsidP="00BC66CB">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董事XXX、XXX因         （具体和明确的理由）不能保证公告内容真实、准确、完整。</w:t>
      </w:r>
    </w:p>
    <w:p w:rsidR="00BC66CB" w:rsidRDefault="00BC66CB" w:rsidP="00BC66CB">
      <w:pPr>
        <w:spacing w:line="520" w:lineRule="exact"/>
        <w:ind w:firstLineChars="200" w:firstLine="600"/>
        <w:rPr>
          <w:rFonts w:ascii="仿宋" w:eastAsia="仿宋" w:hAnsi="仿宋"/>
          <w:sz w:val="30"/>
          <w:szCs w:val="30"/>
        </w:rPr>
      </w:pPr>
    </w:p>
    <w:p w:rsidR="00BC66CB" w:rsidRDefault="00BC66CB" w:rsidP="00BC66CB">
      <w:pPr>
        <w:snapToGrid w:val="0"/>
        <w:spacing w:line="360" w:lineRule="auto"/>
        <w:ind w:firstLineChars="200" w:firstLine="643"/>
        <w:rPr>
          <w:rFonts w:ascii="仿宋" w:eastAsia="仿宋" w:hAnsi="仿宋"/>
          <w:b/>
          <w:sz w:val="32"/>
          <w:szCs w:val="32"/>
        </w:rPr>
      </w:pPr>
      <w:r>
        <w:rPr>
          <w:rFonts w:ascii="仿宋" w:eastAsia="仿宋" w:hAnsi="仿宋" w:hint="eastAsia"/>
          <w:b/>
          <w:sz w:val="32"/>
          <w:szCs w:val="32"/>
        </w:rPr>
        <w:t>一、股票交易异常波动的具体情况</w:t>
      </w:r>
    </w:p>
    <w:p w:rsidR="00BC66CB" w:rsidRDefault="00BC66CB" w:rsidP="00BC66C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说明股票交易异常波动的具体情形及发生时间等。</w:t>
      </w:r>
    </w:p>
    <w:p w:rsidR="00BC66CB" w:rsidRDefault="00BC66CB" w:rsidP="00BC66CB">
      <w:pPr>
        <w:numPr>
          <w:ilvl w:val="0"/>
          <w:numId w:val="37"/>
        </w:numPr>
        <w:snapToGrid w:val="0"/>
        <w:spacing w:line="360" w:lineRule="auto"/>
        <w:rPr>
          <w:rFonts w:ascii="仿宋" w:eastAsia="仿宋" w:hAnsi="仿宋"/>
          <w:b/>
          <w:sz w:val="32"/>
          <w:szCs w:val="32"/>
        </w:rPr>
      </w:pPr>
      <w:r>
        <w:rPr>
          <w:rFonts w:ascii="仿宋" w:eastAsia="仿宋" w:hAnsi="仿宋" w:hint="eastAsia"/>
          <w:b/>
          <w:sz w:val="32"/>
          <w:szCs w:val="32"/>
        </w:rPr>
        <w:t>公司关注并核实的相关情况</w:t>
      </w:r>
    </w:p>
    <w:p w:rsidR="00BC66CB" w:rsidRPr="009222A3" w:rsidRDefault="00BC66CB" w:rsidP="00BC66CB">
      <w:pPr>
        <w:pStyle w:val="zhengwen"/>
        <w:numPr>
          <w:ilvl w:val="0"/>
          <w:numId w:val="38"/>
        </w:numPr>
        <w:snapToGrid w:val="0"/>
        <w:spacing w:line="360" w:lineRule="auto"/>
        <w:ind w:left="0" w:firstLine="567"/>
        <w:rPr>
          <w:rFonts w:ascii="仿宋" w:eastAsia="仿宋" w:hAnsi="仿宋"/>
          <w:color w:val="auto"/>
          <w:sz w:val="32"/>
          <w:szCs w:val="32"/>
        </w:rPr>
      </w:pPr>
      <w:r w:rsidRPr="009222A3">
        <w:rPr>
          <w:rFonts w:ascii="仿宋" w:eastAsia="仿宋" w:hAnsi="仿宋" w:hint="eastAsia"/>
          <w:color w:val="auto"/>
          <w:sz w:val="32"/>
          <w:szCs w:val="32"/>
        </w:rPr>
        <w:t>说明关注问题</w:t>
      </w:r>
      <w:r w:rsidRPr="009222A3">
        <w:rPr>
          <w:color w:val="auto"/>
        </w:rPr>
        <w:footnoteReference w:id="1"/>
      </w:r>
      <w:r w:rsidRPr="009222A3">
        <w:rPr>
          <w:rFonts w:ascii="仿宋" w:eastAsia="仿宋" w:hAnsi="仿宋" w:hint="eastAsia"/>
          <w:color w:val="auto"/>
          <w:sz w:val="32"/>
          <w:szCs w:val="32"/>
        </w:rPr>
        <w:t>、核实对象、核实方式、核实结论等。</w:t>
      </w:r>
    </w:p>
    <w:p w:rsidR="00BC66CB" w:rsidRPr="009222A3" w:rsidRDefault="00BC66CB" w:rsidP="00BC66CB">
      <w:pPr>
        <w:pStyle w:val="zhengwen"/>
        <w:numPr>
          <w:ilvl w:val="0"/>
          <w:numId w:val="38"/>
        </w:numPr>
        <w:snapToGrid w:val="0"/>
        <w:spacing w:line="360" w:lineRule="auto"/>
        <w:ind w:firstLine="147"/>
        <w:rPr>
          <w:rFonts w:ascii="仿宋" w:eastAsia="仿宋" w:hAnsi="仿宋"/>
          <w:color w:val="auto"/>
          <w:sz w:val="32"/>
          <w:szCs w:val="32"/>
        </w:rPr>
      </w:pPr>
      <w:r w:rsidRPr="009222A3">
        <w:rPr>
          <w:rFonts w:ascii="仿宋" w:eastAsia="仿宋" w:hAnsi="仿宋" w:hint="eastAsia"/>
          <w:color w:val="auto"/>
          <w:sz w:val="32"/>
          <w:szCs w:val="32"/>
        </w:rPr>
        <w:t>说明公司对股票交易异常波动的合理解释。</w:t>
      </w:r>
    </w:p>
    <w:p w:rsidR="00BC66CB" w:rsidRPr="009222A3" w:rsidRDefault="00BC66CB" w:rsidP="00BC66CB">
      <w:pPr>
        <w:pStyle w:val="zhengwen"/>
        <w:numPr>
          <w:ilvl w:val="0"/>
          <w:numId w:val="38"/>
        </w:numPr>
        <w:snapToGrid w:val="0"/>
        <w:spacing w:line="360" w:lineRule="auto"/>
        <w:ind w:left="0" w:firstLine="567"/>
        <w:rPr>
          <w:rFonts w:ascii="仿宋" w:eastAsia="仿宋" w:hAnsi="仿宋"/>
          <w:color w:val="auto"/>
          <w:sz w:val="32"/>
          <w:szCs w:val="32"/>
        </w:rPr>
      </w:pPr>
      <w:r w:rsidRPr="009222A3">
        <w:rPr>
          <w:rFonts w:ascii="仿宋" w:eastAsia="仿宋" w:hAnsi="仿宋" w:hint="eastAsia"/>
          <w:color w:val="auto"/>
          <w:sz w:val="32"/>
          <w:szCs w:val="32"/>
        </w:rPr>
        <w:t>在关注、核实过程中发现涉及其他应披露事项的，应参照相关公告格式模板对有关事项逐项做出说明和披露。</w:t>
      </w:r>
    </w:p>
    <w:p w:rsidR="00BC66CB" w:rsidRDefault="00BC66CB" w:rsidP="00BC66CB">
      <w:pPr>
        <w:snapToGrid w:val="0"/>
        <w:spacing w:line="360" w:lineRule="auto"/>
        <w:ind w:firstLineChars="200" w:firstLine="643"/>
        <w:rPr>
          <w:rFonts w:ascii="仿宋" w:eastAsia="仿宋" w:hAnsi="仿宋"/>
          <w:b/>
          <w:sz w:val="32"/>
          <w:szCs w:val="32"/>
        </w:rPr>
      </w:pPr>
      <w:r>
        <w:rPr>
          <w:rFonts w:ascii="仿宋" w:eastAsia="仿宋" w:hAnsi="仿宋" w:hint="eastAsia"/>
          <w:b/>
          <w:sz w:val="32"/>
          <w:szCs w:val="32"/>
        </w:rPr>
        <w:t>三、是否存在应披露而未披露的重大信息的声明</w:t>
      </w:r>
    </w:p>
    <w:p w:rsidR="00BC66CB" w:rsidRDefault="00BC66CB" w:rsidP="00BC66C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挂牌公司董事会在核实并确认不存在相关问题后（见说明），方可做出如下声明：</w:t>
      </w:r>
    </w:p>
    <w:p w:rsidR="00BC66CB" w:rsidRDefault="00BC66CB" w:rsidP="00BC66CB">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“本公司董事会确认，（除前述第二部分涉及的披露事</w:t>
      </w:r>
      <w:r>
        <w:rPr>
          <w:rFonts w:ascii="仿宋" w:eastAsia="仿宋" w:hAnsi="仿宋" w:hint="eastAsia"/>
          <w:sz w:val="32"/>
          <w:szCs w:val="32"/>
        </w:rPr>
        <w:lastRenderedPageBreak/>
        <w:t>项外）本公司没有任何根据</w:t>
      </w:r>
      <w:r>
        <w:rPr>
          <w:rFonts w:ascii="仿宋" w:eastAsia="仿宋" w:hAnsi="仿宋" w:hint="eastAsia"/>
          <w:bCs/>
          <w:sz w:val="32"/>
          <w:szCs w:val="32"/>
        </w:rPr>
        <w:t>《全国中小企业股份转让系统信息披露细则（</w:t>
      </w:r>
      <w:r>
        <w:rPr>
          <w:rFonts w:ascii="仿宋" w:eastAsia="仿宋" w:hAnsi="仿宋"/>
          <w:bCs/>
          <w:sz w:val="32"/>
          <w:szCs w:val="32"/>
        </w:rPr>
        <w:t>试行）</w:t>
      </w:r>
      <w:r>
        <w:rPr>
          <w:rFonts w:ascii="仿宋" w:eastAsia="仿宋" w:hAnsi="仿宋" w:hint="eastAsia"/>
          <w:bCs/>
          <w:sz w:val="32"/>
          <w:szCs w:val="32"/>
        </w:rPr>
        <w:t>》</w:t>
      </w:r>
      <w:r>
        <w:rPr>
          <w:rFonts w:ascii="仿宋" w:eastAsia="仿宋" w:hAnsi="仿宋" w:hint="eastAsia"/>
          <w:sz w:val="32"/>
          <w:szCs w:val="32"/>
        </w:rPr>
        <w:t>等有关规定应披露而未披露的事项或与该事项有关的筹划、商谈、意向、协议等，董事会也未获悉本公司有根据</w:t>
      </w:r>
      <w:r>
        <w:rPr>
          <w:rFonts w:ascii="仿宋" w:eastAsia="仿宋" w:hAnsi="仿宋" w:hint="eastAsia"/>
          <w:bCs/>
          <w:sz w:val="32"/>
          <w:szCs w:val="32"/>
        </w:rPr>
        <w:t>《全国中小企业股份转让系统信息披露细则（</w:t>
      </w:r>
      <w:r>
        <w:rPr>
          <w:rFonts w:ascii="仿宋" w:eastAsia="仿宋" w:hAnsi="仿宋"/>
          <w:bCs/>
          <w:sz w:val="32"/>
          <w:szCs w:val="32"/>
        </w:rPr>
        <w:t>试行）</w:t>
      </w:r>
      <w:r>
        <w:rPr>
          <w:rFonts w:ascii="仿宋" w:eastAsia="仿宋" w:hAnsi="仿宋" w:hint="eastAsia"/>
          <w:bCs/>
          <w:sz w:val="32"/>
          <w:szCs w:val="32"/>
        </w:rPr>
        <w:t>》</w:t>
      </w:r>
      <w:r>
        <w:rPr>
          <w:rFonts w:ascii="仿宋" w:eastAsia="仿宋" w:hAnsi="仿宋" w:hint="eastAsia"/>
          <w:sz w:val="32"/>
          <w:szCs w:val="32"/>
        </w:rPr>
        <w:t>等有关规定应披露而未披露的、对本公司股份转让交易价格产生较大影响的信息。”</w:t>
      </w:r>
    </w:p>
    <w:p w:rsidR="00BC66CB" w:rsidRDefault="00BC66CB" w:rsidP="00BC66CB">
      <w:pPr>
        <w:snapToGrid w:val="0"/>
        <w:spacing w:line="360" w:lineRule="auto"/>
        <w:ind w:firstLineChars="200" w:firstLine="643"/>
        <w:rPr>
          <w:rFonts w:ascii="仿宋" w:eastAsia="仿宋" w:hAnsi="仿宋"/>
          <w:b/>
          <w:sz w:val="32"/>
          <w:szCs w:val="32"/>
        </w:rPr>
      </w:pPr>
      <w:r>
        <w:rPr>
          <w:rFonts w:ascii="仿宋" w:eastAsia="仿宋" w:hAnsi="仿宋" w:hint="eastAsia"/>
          <w:b/>
          <w:sz w:val="32"/>
          <w:szCs w:val="32"/>
        </w:rPr>
        <w:t>四、挂牌公司认为必要的风险提示（如适用）</w:t>
      </w:r>
    </w:p>
    <w:p w:rsidR="00BC66CB" w:rsidRDefault="00BC66CB" w:rsidP="00BC66CB">
      <w:pPr>
        <w:spacing w:line="520" w:lineRule="exact"/>
        <w:rPr>
          <w:rFonts w:ascii="仿宋" w:eastAsia="仿宋" w:hAnsi="仿宋"/>
          <w:b/>
          <w:sz w:val="32"/>
          <w:szCs w:val="32"/>
        </w:rPr>
      </w:pPr>
    </w:p>
    <w:p w:rsidR="00BC66CB" w:rsidRDefault="00BC66CB" w:rsidP="00BC66CB">
      <w:pPr>
        <w:snapToGrid w:val="0"/>
        <w:spacing w:line="360" w:lineRule="auto"/>
        <w:rPr>
          <w:rFonts w:ascii="仿宋" w:eastAsia="仿宋" w:hAnsi="仿宋"/>
          <w:b/>
          <w:sz w:val="32"/>
          <w:szCs w:val="32"/>
        </w:rPr>
      </w:pPr>
    </w:p>
    <w:p w:rsidR="00BC66CB" w:rsidRDefault="00BC66CB" w:rsidP="00BC66CB">
      <w:pPr>
        <w:snapToGrid w:val="0"/>
        <w:spacing w:line="360" w:lineRule="auto"/>
        <w:rPr>
          <w:rFonts w:ascii="仿宋" w:eastAsia="仿宋" w:hAnsi="仿宋"/>
          <w:b/>
          <w:sz w:val="32"/>
          <w:szCs w:val="32"/>
        </w:rPr>
      </w:pPr>
    </w:p>
    <w:p w:rsidR="00BC66CB" w:rsidRDefault="00BC66CB" w:rsidP="00BC66CB">
      <w:pPr>
        <w:tabs>
          <w:tab w:val="left" w:pos="1080"/>
        </w:tabs>
        <w:snapToGrid w:val="0"/>
        <w:spacing w:line="360" w:lineRule="auto"/>
        <w:jc w:val="right"/>
        <w:rPr>
          <w:rFonts w:ascii="仿宋" w:eastAsia="仿宋" w:hAnsi="仿宋"/>
          <w:sz w:val="32"/>
          <w:szCs w:val="32"/>
        </w:rPr>
      </w:pPr>
      <w:r>
        <w:rPr>
          <w:rFonts w:ascii="仿宋" w:eastAsia="仿宋" w:hAnsi="仿宋" w:hint="eastAsia"/>
          <w:sz w:val="32"/>
          <w:szCs w:val="32"/>
        </w:rPr>
        <w:t>XXXXXX股份有限公司董事会</w:t>
      </w:r>
    </w:p>
    <w:p w:rsidR="00BC66CB" w:rsidRDefault="00BC66CB" w:rsidP="00BC66CB">
      <w:pPr>
        <w:snapToGrid w:val="0"/>
        <w:spacing w:line="360" w:lineRule="auto"/>
        <w:rPr>
          <w:rFonts w:ascii="仿宋" w:eastAsia="仿宋" w:hAnsi="仿宋"/>
          <w:sz w:val="32"/>
          <w:szCs w:val="32"/>
        </w:rPr>
      </w:pPr>
      <w:r>
        <w:rPr>
          <w:rFonts w:ascii="仿宋" w:eastAsia="仿宋" w:hAnsi="仿宋" w:hint="eastAsia"/>
          <w:sz w:val="32"/>
          <w:szCs w:val="32"/>
        </w:rPr>
        <w:t xml:space="preserve">                                XXXX年XX月XX日</w:t>
      </w:r>
    </w:p>
    <w:p w:rsidR="00BC66CB" w:rsidRPr="00DC6537" w:rsidRDefault="00BC66CB" w:rsidP="00BC66CB">
      <w:pPr>
        <w:tabs>
          <w:tab w:val="left" w:pos="900"/>
        </w:tabs>
        <w:snapToGrid w:val="0"/>
        <w:spacing w:line="360" w:lineRule="auto"/>
        <w:rPr>
          <w:rFonts w:ascii="仿宋" w:eastAsia="仿宋" w:hAnsi="仿宋"/>
          <w:sz w:val="32"/>
          <w:szCs w:val="32"/>
        </w:rPr>
      </w:pPr>
      <w:r>
        <w:br w:type="page"/>
      </w:r>
      <w:r w:rsidRPr="00DC6537">
        <w:rPr>
          <w:rFonts w:ascii="宋体" w:hAnsi="宋体" w:cs="宋体" w:hint="eastAsia"/>
          <w:color w:val="000000"/>
          <w:kern w:val="0"/>
          <w:sz w:val="22"/>
        </w:rPr>
        <w:lastRenderedPageBreak/>
        <w:t>证券</w:t>
      </w:r>
      <w:r w:rsidRPr="00DC6537">
        <w:rPr>
          <w:rFonts w:ascii="宋体" w:hAnsi="宋体" w:cs="宋体"/>
          <w:color w:val="000000"/>
          <w:kern w:val="0"/>
          <w:sz w:val="22"/>
        </w:rPr>
        <w:t>代码</w:t>
      </w:r>
      <w:r w:rsidRPr="00DC6537">
        <w:rPr>
          <w:rFonts w:ascii="宋体" w:hAnsi="宋体" w:cs="宋体" w:hint="eastAsia"/>
          <w:color w:val="000000"/>
          <w:kern w:val="0"/>
          <w:sz w:val="22"/>
        </w:rPr>
        <w:t>：</w:t>
      </w:r>
      <w:r w:rsidRPr="00DC6537">
        <w:rPr>
          <w:rFonts w:ascii="宋体" w:hAnsi="宋体" w:cs="宋体"/>
          <w:color w:val="000000"/>
          <w:kern w:val="0"/>
          <w:sz w:val="22"/>
        </w:rPr>
        <w:t xml:space="preserve"> </w:t>
      </w:r>
      <w:r w:rsidRPr="00DC6537">
        <w:rPr>
          <w:rFonts w:ascii="宋体" w:hAnsi="宋体" w:cs="宋体" w:hint="eastAsia"/>
          <w:color w:val="000000"/>
          <w:kern w:val="0"/>
          <w:sz w:val="22"/>
        </w:rPr>
        <w:t xml:space="preserve">             证券简称:                       公告编号：</w:t>
      </w:r>
    </w:p>
    <w:p w:rsidR="00BC66CB" w:rsidRPr="00DC6537" w:rsidRDefault="00BC66CB" w:rsidP="00BC66CB">
      <w:pPr>
        <w:widowControl/>
        <w:rPr>
          <w:rFonts w:ascii="宋体" w:hAnsi="宋体" w:cs="宋体"/>
          <w:color w:val="000000"/>
          <w:kern w:val="0"/>
          <w:sz w:val="22"/>
        </w:rPr>
      </w:pPr>
    </w:p>
    <w:p w:rsidR="00BC66CB" w:rsidRPr="003F4DFD" w:rsidRDefault="00BC66CB" w:rsidP="00BC66CB">
      <w:pPr>
        <w:widowControl/>
        <w:jc w:val="center"/>
        <w:rPr>
          <w:rFonts w:ascii="宋体" w:hAnsi="宋体" w:cs="宋体"/>
          <w:b/>
          <w:color w:val="000000"/>
          <w:kern w:val="0"/>
          <w:sz w:val="28"/>
          <w:szCs w:val="28"/>
        </w:rPr>
      </w:pPr>
      <w:r w:rsidRPr="003F4DFD">
        <w:rPr>
          <w:rFonts w:ascii="宋体" w:hAnsi="宋体" w:cs="宋体" w:hint="eastAsia"/>
          <w:b/>
          <w:color w:val="FF0000"/>
          <w:kern w:val="0"/>
          <w:sz w:val="28"/>
          <w:szCs w:val="28"/>
        </w:rPr>
        <w:t>(</w:t>
      </w:r>
      <w:r w:rsidRPr="003F4DFD">
        <w:rPr>
          <w:rFonts w:ascii="宋体" w:hAnsi="宋体" w:cs="宋体"/>
          <w:b/>
          <w:color w:val="FF0000"/>
          <w:kern w:val="0"/>
          <w:sz w:val="28"/>
          <w:szCs w:val="28"/>
        </w:rPr>
        <w:t xml:space="preserve"> </w:t>
      </w:r>
      <w:r w:rsidRPr="003F4DFD">
        <w:rPr>
          <w:rFonts w:ascii="宋体" w:hAnsi="宋体" w:cs="宋体" w:hint="eastAsia"/>
          <w:b/>
          <w:color w:val="FF0000"/>
          <w:kern w:val="0"/>
          <w:sz w:val="28"/>
          <w:szCs w:val="28"/>
        </w:rPr>
        <w:t>)</w:t>
      </w:r>
      <w:r w:rsidRPr="003F4DFD">
        <w:rPr>
          <w:rFonts w:ascii="宋体" w:hAnsi="宋体" w:cs="宋体" w:hint="eastAsia"/>
          <w:b/>
          <w:color w:val="000000"/>
          <w:kern w:val="0"/>
          <w:sz w:val="28"/>
          <w:szCs w:val="28"/>
        </w:rPr>
        <w:t>股份</w:t>
      </w:r>
      <w:r w:rsidRPr="003F4DFD">
        <w:rPr>
          <w:rFonts w:ascii="宋体" w:hAnsi="宋体" w:cs="宋体"/>
          <w:b/>
          <w:color w:val="000000"/>
          <w:kern w:val="0"/>
          <w:sz w:val="28"/>
          <w:szCs w:val="28"/>
        </w:rPr>
        <w:t>有限公司</w:t>
      </w:r>
      <w:r w:rsidRPr="003F4DFD">
        <w:rPr>
          <w:rFonts w:ascii="宋体" w:hAnsi="宋体" w:cs="宋体" w:hint="eastAsia"/>
          <w:b/>
          <w:color w:val="000000"/>
          <w:kern w:val="0"/>
          <w:sz w:val="28"/>
          <w:szCs w:val="28"/>
        </w:rPr>
        <w:t>股票交易异常波动公告</w:t>
      </w:r>
    </w:p>
    <w:p w:rsidR="00BC66CB" w:rsidRPr="00365C65" w:rsidRDefault="00BC66CB" w:rsidP="00BC66CB">
      <w:pPr>
        <w:rPr>
          <w:rFonts w:ascii="宋体" w:hAnsi="宋体"/>
        </w:rPr>
      </w:pPr>
    </w:p>
    <w:p w:rsidR="00BC66CB" w:rsidRPr="00365C65" w:rsidRDefault="00BC66CB" w:rsidP="00BC66CB">
      <w:pP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C66CB" w:rsidRPr="007C16A2" w:rsidTr="004A629E">
        <w:tc>
          <w:tcPr>
            <w:tcW w:w="8296" w:type="dxa"/>
            <w:shd w:val="clear" w:color="auto" w:fill="auto"/>
          </w:tcPr>
          <w:p w:rsidR="00BC66CB" w:rsidRPr="001820B2" w:rsidRDefault="00BC66CB" w:rsidP="004A629E">
            <w:pPr>
              <w:ind w:firstLineChars="100" w:firstLine="210"/>
              <w:rPr>
                <w:rFonts w:ascii="宋体" w:hAnsi="宋体"/>
              </w:rPr>
            </w:pPr>
            <w:r w:rsidRPr="001820B2">
              <w:rPr>
                <w:rFonts w:ascii="宋体" w:hAnsi="宋体" w:hint="eastAsia"/>
              </w:rPr>
              <w:t>本公司及董事会全体成员保证公告内容的真实、准确和完整，没有虚假记载、误导性陈述或者重大遗漏，并对其内容的真实性、准确性和完整性承担个别及连带法律责任。</w:t>
            </w:r>
          </w:p>
          <w:p w:rsidR="00BC66CB" w:rsidRPr="001820B2" w:rsidRDefault="00BC66CB" w:rsidP="004A629E">
            <w:pPr>
              <w:ind w:firstLineChars="100" w:firstLine="210"/>
              <w:rPr>
                <w:rFonts w:ascii="宋体" w:hAnsi="宋体"/>
              </w:rPr>
            </w:pPr>
            <w:r w:rsidRPr="001820B2">
              <w:rPr>
                <w:rFonts w:ascii="宋体" w:hAnsi="宋体" w:hint="eastAsia"/>
                <w:color w:val="FF0000"/>
              </w:rPr>
              <w:t xml:space="preserve">董事（ ）因（ </w:t>
            </w:r>
            <w:r w:rsidRPr="001820B2">
              <w:rPr>
                <w:rFonts w:ascii="宋体" w:hAnsi="宋体"/>
                <w:color w:val="FF0000"/>
              </w:rPr>
              <w:t>）</w:t>
            </w:r>
            <w:r w:rsidRPr="001820B2">
              <w:rPr>
                <w:rFonts w:ascii="宋体" w:hAnsi="宋体" w:hint="eastAsia"/>
                <w:color w:val="FF0000"/>
              </w:rPr>
              <w:t>不能保证公告内容真实、准确、完整（如适用）。</w:t>
            </w:r>
          </w:p>
        </w:tc>
      </w:tr>
    </w:tbl>
    <w:p w:rsidR="00BC66CB" w:rsidRPr="00365C65" w:rsidRDefault="00BC66CB" w:rsidP="00BC66CB">
      <w:pPr>
        <w:rPr>
          <w:rFonts w:ascii="宋体" w:hAnsi="宋体"/>
        </w:rPr>
      </w:pPr>
    </w:p>
    <w:p w:rsidR="00BC66CB" w:rsidRPr="00365C65" w:rsidRDefault="00BC66CB" w:rsidP="00BC66CB">
      <w:pPr>
        <w:rPr>
          <w:rFonts w:ascii="宋体" w:hAnsi="宋体"/>
        </w:rPr>
      </w:pPr>
    </w:p>
    <w:p w:rsidR="00BC66CB" w:rsidRPr="00365C65" w:rsidRDefault="00BC66CB" w:rsidP="00BC66CB">
      <w:pPr>
        <w:pStyle w:val="a3"/>
        <w:numPr>
          <w:ilvl w:val="0"/>
          <w:numId w:val="39"/>
        </w:numPr>
        <w:ind w:firstLineChars="0"/>
        <w:rPr>
          <w:rFonts w:ascii="宋体" w:hAnsi="宋体"/>
          <w:b/>
        </w:rPr>
      </w:pPr>
      <w:r w:rsidRPr="00365C65">
        <w:rPr>
          <w:rFonts w:ascii="宋体" w:hAnsi="宋体" w:hint="eastAsia"/>
          <w:b/>
        </w:rPr>
        <w:t>股票交易异常波动的具体情况</w:t>
      </w:r>
    </w:p>
    <w:p w:rsidR="00BC66CB" w:rsidRPr="00365C65" w:rsidRDefault="00BC66CB" w:rsidP="00BC66CB">
      <w:pPr>
        <w:ind w:firstLineChars="250" w:firstLine="525"/>
        <w:rPr>
          <w:rFonts w:ascii="宋体" w:hAnsi="宋体"/>
          <w:b/>
        </w:rPr>
      </w:pPr>
      <w:r w:rsidRPr="00365C65">
        <w:rPr>
          <w:rFonts w:ascii="宋体" w:hAnsi="宋体"/>
          <w:color w:val="FF0000"/>
        </w:rPr>
        <w:t>（</w:t>
      </w:r>
      <w:r w:rsidRPr="00365C65">
        <w:rPr>
          <w:rFonts w:ascii="宋体" w:hAnsi="宋体" w:hint="eastAsia"/>
          <w:color w:val="FF0000"/>
        </w:rPr>
        <w:t>年/月/日</w:t>
      </w:r>
      <w:r w:rsidRPr="00365C65">
        <w:rPr>
          <w:rFonts w:ascii="宋体" w:hAnsi="宋体"/>
          <w:color w:val="FF0000"/>
        </w:rPr>
        <w:t>）</w:t>
      </w:r>
      <w:r w:rsidRPr="00365C65">
        <w:rPr>
          <w:rFonts w:ascii="宋体" w:hAnsi="宋体" w:hint="eastAsia"/>
        </w:rPr>
        <w:t>公司股票以</w:t>
      </w:r>
      <w:r w:rsidRPr="00365C65">
        <w:rPr>
          <w:rFonts w:ascii="宋体" w:hAnsi="宋体" w:hint="eastAsia"/>
          <w:color w:val="FF0000"/>
        </w:rPr>
        <w:t>（</w:t>
      </w:r>
      <w:r w:rsidRPr="00365C65">
        <w:rPr>
          <w:rFonts w:ascii="宋体" w:hAnsi="宋体"/>
          <w:color w:val="FF0000"/>
        </w:rPr>
        <w:t>）</w:t>
      </w:r>
      <w:r w:rsidRPr="00365C65">
        <w:rPr>
          <w:rFonts w:ascii="宋体" w:hAnsi="宋体" w:hint="eastAsia"/>
        </w:rPr>
        <w:t>元/股的价格成交</w:t>
      </w:r>
      <w:r w:rsidRPr="00365C65">
        <w:rPr>
          <w:rFonts w:ascii="宋体" w:hAnsi="宋体" w:hint="eastAsia"/>
          <w:color w:val="FF0000"/>
        </w:rPr>
        <w:t>（</w:t>
      </w:r>
      <w:r w:rsidRPr="00365C65">
        <w:rPr>
          <w:rFonts w:ascii="宋体" w:hAnsi="宋体"/>
          <w:color w:val="FF0000"/>
        </w:rPr>
        <w:t>）</w:t>
      </w:r>
      <w:r w:rsidRPr="00365C65">
        <w:rPr>
          <w:rFonts w:ascii="宋体" w:hAnsi="宋体" w:hint="eastAsia"/>
        </w:rPr>
        <w:t>股。股票交易异常波动表现为：</w:t>
      </w:r>
      <w:r w:rsidRPr="00365C65">
        <w:rPr>
          <w:rFonts w:ascii="宋体" w:hAnsi="宋体" w:hint="eastAsia"/>
          <w:color w:val="FF0000"/>
        </w:rPr>
        <w:t>(协议转让方式下,股票当日换手率超过10%/连续三个</w:t>
      </w:r>
      <w:proofErr w:type="gramStart"/>
      <w:r w:rsidRPr="00365C65">
        <w:rPr>
          <w:rFonts w:ascii="宋体" w:hAnsi="宋体" w:hint="eastAsia"/>
          <w:color w:val="FF0000"/>
        </w:rPr>
        <w:t>转让日</w:t>
      </w:r>
      <w:proofErr w:type="gramEnd"/>
      <w:r w:rsidRPr="00365C65">
        <w:rPr>
          <w:rFonts w:ascii="宋体" w:hAnsi="宋体" w:hint="eastAsia"/>
          <w:color w:val="FF0000"/>
        </w:rPr>
        <w:t>换手率累计超过20%/做市转让方式下，股票连续三个</w:t>
      </w:r>
      <w:proofErr w:type="gramStart"/>
      <w:r w:rsidRPr="00365C65">
        <w:rPr>
          <w:rFonts w:ascii="宋体" w:hAnsi="宋体" w:hint="eastAsia"/>
          <w:color w:val="FF0000"/>
        </w:rPr>
        <w:t>转让日</w:t>
      </w:r>
      <w:proofErr w:type="gramEnd"/>
      <w:r w:rsidRPr="00365C65">
        <w:rPr>
          <w:rFonts w:ascii="宋体" w:hAnsi="宋体" w:hint="eastAsia"/>
          <w:color w:val="FF0000"/>
        </w:rPr>
        <w:t>涨跌幅累计超过50%/</w:t>
      </w:r>
      <w:r w:rsidRPr="00365C65">
        <w:rPr>
          <w:rFonts w:ascii="宋体" w:hAnsi="宋体"/>
          <w:bCs/>
          <w:color w:val="FF0000"/>
        </w:rPr>
        <w:t>全国股份转让系统公司认定的其他情形</w:t>
      </w:r>
      <w:r w:rsidRPr="00365C65">
        <w:rPr>
          <w:rFonts w:ascii="宋体" w:hAnsi="宋体" w:hint="eastAsia"/>
          <w:bCs/>
          <w:color w:val="FF0000"/>
        </w:rPr>
        <w:t>)</w:t>
      </w:r>
      <w:r w:rsidRPr="00365C65">
        <w:rPr>
          <w:rFonts w:ascii="宋体" w:hAnsi="宋体"/>
          <w:bCs/>
          <w:color w:val="FF0000"/>
        </w:rPr>
        <w:t>。</w:t>
      </w:r>
    </w:p>
    <w:p w:rsidR="00BC66CB" w:rsidRPr="00365C65" w:rsidRDefault="00BC66CB" w:rsidP="00BC66CB">
      <w:pPr>
        <w:rPr>
          <w:rFonts w:ascii="宋体" w:hAnsi="宋体"/>
          <w:color w:val="FF0000"/>
        </w:rPr>
      </w:pPr>
    </w:p>
    <w:p w:rsidR="00BC66CB" w:rsidRPr="00365C65" w:rsidRDefault="00BC66CB" w:rsidP="00BC66CB">
      <w:pPr>
        <w:pStyle w:val="a3"/>
        <w:numPr>
          <w:ilvl w:val="0"/>
          <w:numId w:val="39"/>
        </w:numPr>
        <w:ind w:firstLineChars="0"/>
        <w:rPr>
          <w:rFonts w:ascii="宋体" w:hAnsi="宋体"/>
          <w:b/>
          <w:color w:val="000000"/>
        </w:rPr>
      </w:pPr>
      <w:r w:rsidRPr="00365C65">
        <w:rPr>
          <w:rFonts w:ascii="宋体" w:hAnsi="宋体" w:hint="eastAsia"/>
          <w:b/>
          <w:color w:val="000000"/>
        </w:rPr>
        <w:t>公司关注并核实的相关情况</w:t>
      </w:r>
    </w:p>
    <w:p w:rsidR="00BC66CB" w:rsidRPr="00365C65" w:rsidRDefault="00BC66CB" w:rsidP="00BC66CB">
      <w:pPr>
        <w:pStyle w:val="a3"/>
        <w:numPr>
          <w:ilvl w:val="0"/>
          <w:numId w:val="40"/>
        </w:numPr>
        <w:ind w:firstLineChars="0"/>
        <w:rPr>
          <w:rFonts w:ascii="宋体" w:hAnsi="宋体"/>
          <w:color w:val="000000"/>
        </w:rPr>
      </w:pPr>
      <w:r w:rsidRPr="00365C65">
        <w:rPr>
          <w:rFonts w:ascii="宋体" w:hAnsi="宋体" w:hint="eastAsia"/>
          <w:color w:val="000000"/>
        </w:rPr>
        <w:t>关注问题及结论</w:t>
      </w:r>
    </w:p>
    <w:p w:rsidR="00BC66CB" w:rsidRPr="00365C65" w:rsidRDefault="00BC66CB" w:rsidP="00BC66CB">
      <w:pPr>
        <w:rPr>
          <w:rFonts w:ascii="宋体" w:hAnsi="宋体"/>
          <w:color w:val="000000"/>
        </w:rPr>
      </w:pPr>
      <w:r w:rsidRPr="00365C65">
        <w:rPr>
          <w:rFonts w:ascii="宋体" w:hAnsi="宋体" w:hint="eastAsia"/>
          <w:color w:val="000000"/>
        </w:rPr>
        <w:t>关注问题：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66CB" w:rsidTr="004A629E">
        <w:tc>
          <w:tcPr>
            <w:tcW w:w="8522" w:type="dxa"/>
            <w:shd w:val="clear" w:color="auto" w:fill="auto"/>
          </w:tcPr>
          <w:p w:rsidR="00BC66CB" w:rsidRPr="001820B2" w:rsidRDefault="00BC66CB" w:rsidP="004A629E">
            <w:pPr>
              <w:rPr>
                <w:rFonts w:ascii="宋体" w:hAnsi="宋体"/>
                <w:color w:val="FF0000"/>
              </w:rPr>
            </w:pPr>
            <w:r w:rsidRPr="001820B2">
              <w:rPr>
                <w:rFonts w:ascii="宋体" w:hAnsi="宋体" w:hint="eastAsia"/>
                <w:color w:val="FF0000"/>
              </w:rPr>
              <w:t>如前期披露信息是否需要更正/补充；近期公共媒体是否报道了未公开重大信息；公司经营情况及内外部经营环境是否或预计将发生重大变化；公司、控股股东和实际控制人是否存在关于本公司的应披露而未披露或处于筹划阶段的重大事项；股票异常波动期间控股股东、实际控制人是否买卖公司股票；其他</w:t>
            </w:r>
          </w:p>
        </w:tc>
      </w:tr>
    </w:tbl>
    <w:p w:rsidR="00BC66CB" w:rsidRDefault="00BC66CB" w:rsidP="00BC66CB">
      <w:pPr>
        <w:rPr>
          <w:rFonts w:ascii="宋体" w:hAnsi="宋体"/>
        </w:rPr>
      </w:pPr>
    </w:p>
    <w:p w:rsidR="00BC66CB" w:rsidRPr="00365C65" w:rsidRDefault="00BC66CB" w:rsidP="00BC66CB">
      <w:pPr>
        <w:rPr>
          <w:rFonts w:ascii="宋体" w:hAnsi="宋体"/>
          <w:color w:val="000000"/>
        </w:rPr>
      </w:pPr>
      <w:r w:rsidRPr="00365C65">
        <w:rPr>
          <w:rFonts w:ascii="宋体" w:hAnsi="宋体" w:hint="eastAsia"/>
        </w:rPr>
        <w:t>核实对象：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66CB" w:rsidTr="004A629E">
        <w:tc>
          <w:tcPr>
            <w:tcW w:w="8522" w:type="dxa"/>
            <w:shd w:val="clear" w:color="auto" w:fill="auto"/>
          </w:tcPr>
          <w:p w:rsidR="00BC66CB" w:rsidRPr="001820B2" w:rsidRDefault="00BC66CB" w:rsidP="004A629E">
            <w:pPr>
              <w:rPr>
                <w:rFonts w:ascii="宋体" w:hAnsi="宋体"/>
                <w:color w:val="000000"/>
              </w:rPr>
            </w:pPr>
          </w:p>
        </w:tc>
      </w:tr>
    </w:tbl>
    <w:p w:rsidR="00BC66CB" w:rsidRDefault="00BC66CB" w:rsidP="00BC66CB">
      <w:pPr>
        <w:rPr>
          <w:rFonts w:ascii="宋体" w:hAnsi="宋体"/>
        </w:rPr>
      </w:pPr>
    </w:p>
    <w:p w:rsidR="00BC66CB" w:rsidRPr="00365C65" w:rsidRDefault="00BC66CB" w:rsidP="00BC66CB">
      <w:pPr>
        <w:rPr>
          <w:rFonts w:ascii="宋体" w:hAnsi="宋体"/>
          <w:color w:val="000000"/>
        </w:rPr>
      </w:pPr>
      <w:r w:rsidRPr="00365C65">
        <w:rPr>
          <w:rFonts w:ascii="宋体" w:hAnsi="宋体" w:hint="eastAsia"/>
        </w:rPr>
        <w:t>核实方式：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66CB" w:rsidTr="004A629E">
        <w:tc>
          <w:tcPr>
            <w:tcW w:w="8522" w:type="dxa"/>
            <w:shd w:val="clear" w:color="auto" w:fill="auto"/>
          </w:tcPr>
          <w:p w:rsidR="00BC66CB" w:rsidRPr="001820B2" w:rsidRDefault="00BC66CB" w:rsidP="004A629E">
            <w:pPr>
              <w:rPr>
                <w:rFonts w:ascii="宋体" w:hAnsi="宋体"/>
                <w:color w:val="000000"/>
              </w:rPr>
            </w:pPr>
          </w:p>
        </w:tc>
      </w:tr>
    </w:tbl>
    <w:p w:rsidR="00BC66CB" w:rsidRDefault="00BC66CB" w:rsidP="00BC66CB">
      <w:pPr>
        <w:rPr>
          <w:rFonts w:ascii="宋体" w:hAnsi="宋体"/>
        </w:rPr>
      </w:pPr>
    </w:p>
    <w:p w:rsidR="00BC66CB" w:rsidRPr="00365C65" w:rsidRDefault="00BC66CB" w:rsidP="00BC66CB">
      <w:pPr>
        <w:rPr>
          <w:rFonts w:ascii="宋体" w:hAnsi="宋体"/>
          <w:color w:val="000000"/>
        </w:rPr>
      </w:pPr>
      <w:r w:rsidRPr="00365C65">
        <w:rPr>
          <w:rFonts w:ascii="宋体" w:hAnsi="宋体" w:hint="eastAsia"/>
        </w:rPr>
        <w:t>核实结论：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66CB" w:rsidTr="004A629E">
        <w:tc>
          <w:tcPr>
            <w:tcW w:w="8522" w:type="dxa"/>
            <w:shd w:val="clear" w:color="auto" w:fill="auto"/>
          </w:tcPr>
          <w:p w:rsidR="00BC66CB" w:rsidRPr="001820B2" w:rsidRDefault="00BC66CB" w:rsidP="004A629E">
            <w:pPr>
              <w:rPr>
                <w:rFonts w:ascii="宋体" w:hAnsi="宋体"/>
                <w:color w:val="000000"/>
              </w:rPr>
            </w:pPr>
          </w:p>
        </w:tc>
      </w:tr>
    </w:tbl>
    <w:p w:rsidR="00BC66CB" w:rsidRPr="00365C65" w:rsidRDefault="00BC66CB" w:rsidP="00BC66CB">
      <w:pPr>
        <w:rPr>
          <w:rFonts w:ascii="宋体" w:hAnsi="宋体"/>
          <w:color w:val="000000"/>
        </w:rPr>
      </w:pPr>
    </w:p>
    <w:p w:rsidR="00BC66CB" w:rsidRPr="00365C65" w:rsidRDefault="00BC66CB" w:rsidP="00BC66CB">
      <w:pPr>
        <w:pStyle w:val="a3"/>
        <w:numPr>
          <w:ilvl w:val="0"/>
          <w:numId w:val="40"/>
        </w:numPr>
        <w:ind w:firstLineChars="0"/>
        <w:rPr>
          <w:rFonts w:ascii="宋体" w:hAnsi="宋体"/>
          <w:color w:val="000000"/>
        </w:rPr>
      </w:pPr>
      <w:r w:rsidRPr="00365C65">
        <w:rPr>
          <w:rFonts w:ascii="宋体" w:hAnsi="宋体" w:hint="eastAsia"/>
          <w:color w:val="000000"/>
        </w:rPr>
        <w:t>公司对股票交易异常波动的解释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66CB" w:rsidTr="004A629E">
        <w:tc>
          <w:tcPr>
            <w:tcW w:w="8522" w:type="dxa"/>
            <w:shd w:val="clear" w:color="auto" w:fill="auto"/>
          </w:tcPr>
          <w:p w:rsidR="00BC66CB" w:rsidRPr="001820B2" w:rsidRDefault="00BC66CB" w:rsidP="004A629E">
            <w:pPr>
              <w:rPr>
                <w:rFonts w:ascii="宋体" w:hAnsi="宋体"/>
                <w:color w:val="000000"/>
              </w:rPr>
            </w:pPr>
            <w:r w:rsidRPr="001820B2">
              <w:rPr>
                <w:rFonts w:ascii="宋体" w:hAnsi="宋体" w:hint="eastAsia"/>
                <w:color w:val="FF0000"/>
              </w:rPr>
              <w:t>说明公司对股票交易异常波动的解释</w:t>
            </w:r>
          </w:p>
        </w:tc>
      </w:tr>
    </w:tbl>
    <w:p w:rsidR="00BC66CB" w:rsidRPr="00365C65" w:rsidRDefault="00BC66CB" w:rsidP="00BC66CB">
      <w:pPr>
        <w:rPr>
          <w:rFonts w:ascii="宋体" w:hAnsi="宋体"/>
          <w:color w:val="000000"/>
        </w:rPr>
      </w:pPr>
    </w:p>
    <w:p w:rsidR="00BC66CB" w:rsidRPr="00365C65" w:rsidRDefault="00BC66CB" w:rsidP="00BC66CB">
      <w:pPr>
        <w:pStyle w:val="a3"/>
        <w:numPr>
          <w:ilvl w:val="0"/>
          <w:numId w:val="40"/>
        </w:numPr>
        <w:ind w:firstLineChars="0"/>
        <w:rPr>
          <w:rFonts w:ascii="宋体" w:hAnsi="宋体"/>
          <w:color w:val="FF0000"/>
        </w:rPr>
      </w:pPr>
      <w:r w:rsidRPr="00365C65">
        <w:rPr>
          <w:rFonts w:ascii="宋体" w:hAnsi="宋体" w:hint="eastAsia"/>
          <w:color w:val="FF0000"/>
        </w:rPr>
        <w:t>在关注、核实过程中发现涉及的其他应披露事项（如适用）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66CB" w:rsidTr="004A629E">
        <w:tc>
          <w:tcPr>
            <w:tcW w:w="8522" w:type="dxa"/>
            <w:shd w:val="clear" w:color="auto" w:fill="auto"/>
          </w:tcPr>
          <w:p w:rsidR="00BC66CB" w:rsidRPr="001820B2" w:rsidRDefault="00BC66CB" w:rsidP="004A629E">
            <w:pPr>
              <w:rPr>
                <w:rFonts w:ascii="宋体" w:hAnsi="宋体"/>
                <w:color w:val="FF0000"/>
              </w:rPr>
            </w:pPr>
            <w:r w:rsidRPr="001820B2">
              <w:rPr>
                <w:rFonts w:ascii="宋体" w:hAnsi="宋体" w:hint="eastAsia"/>
                <w:color w:val="FF0000"/>
              </w:rPr>
              <w:t>参照相关公告格式模板对有关事项逐项做出说明和披露</w:t>
            </w:r>
          </w:p>
        </w:tc>
      </w:tr>
    </w:tbl>
    <w:p w:rsidR="00BC66CB" w:rsidRPr="00365C65" w:rsidRDefault="00BC66CB" w:rsidP="00BC66CB">
      <w:pPr>
        <w:rPr>
          <w:rFonts w:ascii="宋体" w:hAnsi="宋体"/>
          <w:color w:val="FF0000"/>
        </w:rPr>
      </w:pPr>
    </w:p>
    <w:p w:rsidR="00BC66CB" w:rsidRPr="00365C65" w:rsidRDefault="00BC66CB" w:rsidP="00BC66CB">
      <w:pPr>
        <w:rPr>
          <w:rFonts w:ascii="宋体" w:hAnsi="宋体"/>
          <w:color w:val="FF0000"/>
        </w:rPr>
      </w:pPr>
    </w:p>
    <w:p w:rsidR="00BC66CB" w:rsidRPr="00365C65" w:rsidRDefault="00BC66CB" w:rsidP="00BC66CB">
      <w:pPr>
        <w:pStyle w:val="a3"/>
        <w:numPr>
          <w:ilvl w:val="0"/>
          <w:numId w:val="39"/>
        </w:numPr>
        <w:ind w:firstLineChars="0"/>
        <w:rPr>
          <w:rFonts w:ascii="宋体" w:hAnsi="宋体"/>
          <w:b/>
          <w:color w:val="000000"/>
        </w:rPr>
      </w:pPr>
      <w:r w:rsidRPr="00365C65">
        <w:rPr>
          <w:rFonts w:ascii="宋体" w:hAnsi="宋体" w:hint="eastAsia"/>
          <w:b/>
          <w:color w:val="000000"/>
        </w:rPr>
        <w:t>是否存在应披露而未披露的重大信息的声明</w:t>
      </w:r>
    </w:p>
    <w:p w:rsidR="00BC66CB" w:rsidRPr="00365C65" w:rsidRDefault="00BC66CB" w:rsidP="00BC66CB">
      <w:pPr>
        <w:ind w:firstLineChars="250" w:firstLine="525"/>
        <w:rPr>
          <w:rFonts w:ascii="宋体" w:hAnsi="宋体"/>
        </w:rPr>
      </w:pPr>
      <w:r w:rsidRPr="00365C65">
        <w:rPr>
          <w:rFonts w:ascii="宋体" w:hAnsi="宋体" w:hint="eastAsia"/>
          <w:color w:val="000000"/>
        </w:rPr>
        <w:t>本公司董事会确认，（除前述第二部分涉及的披露事项外）本公司没有任何根据《全国中小企业股份转让系统信息披露细则（试行）》等有关规定应披露而未披露的事项或与该事</w:t>
      </w:r>
      <w:r w:rsidRPr="00365C65">
        <w:rPr>
          <w:rFonts w:ascii="宋体" w:hAnsi="宋体" w:hint="eastAsia"/>
          <w:color w:val="000000"/>
        </w:rPr>
        <w:lastRenderedPageBreak/>
        <w:t>项有关的筹划、商谈、意向、协议等，董事会也未获悉本公司有根据《全国中小企业股份转让系统信息披露细则（试行）》等有关规定应披露而未披露的、对本公司股份转让交易价格产生较大影响的信息。</w:t>
      </w:r>
    </w:p>
    <w:p w:rsidR="00BC66CB" w:rsidRPr="00365C65" w:rsidRDefault="00BC66CB" w:rsidP="00BC66CB">
      <w:pPr>
        <w:ind w:firstLineChars="250" w:firstLine="525"/>
        <w:rPr>
          <w:rFonts w:ascii="宋体" w:hAnsi="宋体"/>
          <w:color w:val="000000"/>
        </w:rPr>
      </w:pPr>
    </w:p>
    <w:p w:rsidR="00BC66CB" w:rsidRPr="00365C65" w:rsidRDefault="00BC66CB" w:rsidP="00BC66CB">
      <w:pPr>
        <w:ind w:firstLineChars="250" w:firstLine="525"/>
        <w:rPr>
          <w:rFonts w:ascii="宋体" w:hAnsi="宋体"/>
          <w:color w:val="000000"/>
        </w:rPr>
      </w:pPr>
    </w:p>
    <w:p w:rsidR="00BC66CB" w:rsidRPr="00365C65" w:rsidRDefault="00BC66CB" w:rsidP="00BC66CB">
      <w:pPr>
        <w:pStyle w:val="a3"/>
        <w:numPr>
          <w:ilvl w:val="0"/>
          <w:numId w:val="39"/>
        </w:numPr>
        <w:ind w:firstLineChars="0"/>
        <w:rPr>
          <w:rFonts w:ascii="宋体" w:hAnsi="宋体"/>
          <w:b/>
          <w:color w:val="FF0000"/>
        </w:rPr>
      </w:pPr>
      <w:r w:rsidRPr="00365C65">
        <w:rPr>
          <w:rFonts w:ascii="宋体" w:hAnsi="宋体" w:hint="eastAsia"/>
          <w:b/>
          <w:color w:val="FF0000"/>
        </w:rPr>
        <w:t>挂牌公司认为必要的风险提示（如适用）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C66CB" w:rsidTr="004A629E">
        <w:tc>
          <w:tcPr>
            <w:tcW w:w="8522" w:type="dxa"/>
            <w:shd w:val="clear" w:color="auto" w:fill="auto"/>
          </w:tcPr>
          <w:p w:rsidR="00BC66CB" w:rsidRPr="001820B2" w:rsidRDefault="00BC66CB" w:rsidP="004A629E">
            <w:pPr>
              <w:rPr>
                <w:rFonts w:ascii="宋体" w:hAnsi="宋体"/>
                <w:b/>
                <w:color w:val="FF0000"/>
              </w:rPr>
            </w:pPr>
          </w:p>
        </w:tc>
      </w:tr>
    </w:tbl>
    <w:p w:rsidR="00BC66CB" w:rsidRPr="00365C65" w:rsidRDefault="00BC66CB" w:rsidP="00BC66CB">
      <w:pPr>
        <w:rPr>
          <w:rFonts w:ascii="宋体" w:hAnsi="宋体"/>
          <w:b/>
          <w:color w:val="FF0000"/>
        </w:rPr>
      </w:pPr>
    </w:p>
    <w:p w:rsidR="00BC66CB" w:rsidRPr="00365C65" w:rsidRDefault="00BC66CB" w:rsidP="00BC66CB">
      <w:pPr>
        <w:rPr>
          <w:rFonts w:ascii="宋体" w:hAnsi="宋体"/>
          <w:color w:val="000000"/>
        </w:rPr>
      </w:pPr>
    </w:p>
    <w:p w:rsidR="00BC66CB" w:rsidRPr="00365C65" w:rsidRDefault="00BC66CB" w:rsidP="00BC66CB">
      <w:pPr>
        <w:rPr>
          <w:rFonts w:ascii="宋体" w:hAnsi="宋体"/>
          <w:color w:val="000000"/>
        </w:rPr>
      </w:pPr>
    </w:p>
    <w:p w:rsidR="00BC66CB" w:rsidRPr="00365C65" w:rsidRDefault="00BC66CB" w:rsidP="00BC66CB">
      <w:pPr>
        <w:ind w:firstLineChars="2700" w:firstLine="5670"/>
        <w:rPr>
          <w:rFonts w:ascii="宋体" w:hAnsi="宋体"/>
          <w:color w:val="000000"/>
        </w:rPr>
      </w:pPr>
      <w:r w:rsidRPr="00365C65">
        <w:rPr>
          <w:rFonts w:ascii="宋体" w:hAnsi="宋体" w:hint="eastAsia"/>
          <w:color w:val="000000"/>
        </w:rPr>
        <w:t xml:space="preserve"> </w:t>
      </w:r>
    </w:p>
    <w:p w:rsidR="00BC66CB" w:rsidRPr="00365C65" w:rsidRDefault="00BC66CB" w:rsidP="00BC66CB">
      <w:pPr>
        <w:ind w:firstLineChars="2850" w:firstLine="5985"/>
        <w:rPr>
          <w:rFonts w:ascii="宋体" w:hAnsi="宋体"/>
          <w:color w:val="000000"/>
        </w:rPr>
      </w:pPr>
      <w:r w:rsidRPr="00365C65">
        <w:rPr>
          <w:rFonts w:ascii="宋体" w:hAnsi="宋体" w:hint="eastAsia"/>
          <w:color w:val="FF0000"/>
        </w:rPr>
        <w:t>（</w:t>
      </w:r>
      <w:r w:rsidRPr="00365C65">
        <w:rPr>
          <w:rFonts w:ascii="宋体" w:hAnsi="宋体"/>
          <w:color w:val="FF0000"/>
        </w:rPr>
        <w:t>）</w:t>
      </w:r>
      <w:r w:rsidRPr="00365C65">
        <w:rPr>
          <w:rFonts w:ascii="宋体" w:hAnsi="宋体"/>
          <w:color w:val="000000"/>
        </w:rPr>
        <w:t>股份有限公司董事会</w:t>
      </w:r>
    </w:p>
    <w:p w:rsidR="000C7854" w:rsidRPr="00BC66CB" w:rsidRDefault="00BC66CB" w:rsidP="00BC66CB">
      <w:r w:rsidRPr="00365C65">
        <w:rPr>
          <w:rFonts w:ascii="宋体" w:hAnsi="宋体"/>
          <w:color w:val="000000"/>
        </w:rPr>
        <w:t xml:space="preserve">                                                            </w:t>
      </w:r>
      <w:r w:rsidRPr="00365C65">
        <w:rPr>
          <w:rFonts w:ascii="宋体" w:hAnsi="宋体" w:hint="eastAsia"/>
          <w:color w:val="000000"/>
        </w:rPr>
        <w:t xml:space="preserve">      </w:t>
      </w:r>
      <w:r w:rsidRPr="00365C65">
        <w:rPr>
          <w:rFonts w:ascii="宋体" w:hAnsi="宋体" w:hint="eastAsia"/>
          <w:color w:val="FF0000"/>
        </w:rPr>
        <w:t xml:space="preserve"> （年/月</w:t>
      </w:r>
      <w:r w:rsidRPr="00365C65">
        <w:rPr>
          <w:rFonts w:ascii="宋体" w:hAnsi="宋体"/>
          <w:color w:val="FF0000"/>
        </w:rPr>
        <w:t>/</w:t>
      </w:r>
      <w:r w:rsidRPr="00365C65">
        <w:rPr>
          <w:rFonts w:ascii="宋体" w:hAnsi="宋体" w:hint="eastAsia"/>
          <w:color w:val="FF0000"/>
        </w:rPr>
        <w:t>日）</w:t>
      </w:r>
    </w:p>
    <w:sectPr w:rsidR="000C7854" w:rsidRPr="00BC66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C0" w:rsidRDefault="008021C0" w:rsidP="00D4411A">
      <w:r>
        <w:separator/>
      </w:r>
    </w:p>
  </w:endnote>
  <w:endnote w:type="continuationSeparator" w:id="0">
    <w:p w:rsidR="008021C0" w:rsidRDefault="008021C0" w:rsidP="00D4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Bold">
    <w:altName w:val="方正舒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C0" w:rsidRDefault="008021C0" w:rsidP="00D4411A">
      <w:r>
        <w:separator/>
      </w:r>
    </w:p>
  </w:footnote>
  <w:footnote w:type="continuationSeparator" w:id="0">
    <w:p w:rsidR="008021C0" w:rsidRDefault="008021C0" w:rsidP="00D4411A">
      <w:r>
        <w:continuationSeparator/>
      </w:r>
    </w:p>
  </w:footnote>
  <w:footnote w:id="1">
    <w:p w:rsidR="00BC66CB" w:rsidRDefault="00BC66CB" w:rsidP="00BC66CB">
      <w:pPr>
        <w:pStyle w:val="a4"/>
      </w:pPr>
      <w:r>
        <w:rPr>
          <w:rStyle w:val="a5"/>
        </w:rPr>
        <w:footnoteRef/>
      </w:r>
      <w:r>
        <w:rPr>
          <w:rFonts w:ascii="仿宋" w:eastAsia="仿宋" w:hAnsi="仿宋" w:hint="eastAsia"/>
        </w:rPr>
        <w:t>关注问题可参考：前期披露的信息是否存在需要更正、补充之处；近期公共传媒是否报道了可能或已经对本公司股票交易价格产生较大影响的未公开重大信息；近期公司经营情况及内外部经营环境是否或预计将要发生重大变化；公司、控股股东和实际控制人是否存在关于本公司的应披露而未披露的重大事项，或处于筹划阶段的重大事项，以及股票异常波动期间控股股东、实际控制人是否买卖公司股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4F"/>
    <w:multiLevelType w:val="hybridMultilevel"/>
    <w:tmpl w:val="7B700F26"/>
    <w:lvl w:ilvl="0" w:tplc="B13827FE">
      <w:start w:val="1"/>
      <w:numFmt w:val="decimal"/>
      <w:lvlText w:val="%1."/>
      <w:lvlJc w:val="left"/>
      <w:pPr>
        <w:ind w:left="162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1816C3"/>
    <w:multiLevelType w:val="hybridMultilevel"/>
    <w:tmpl w:val="0FA489A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C287EC9"/>
    <w:multiLevelType w:val="hybridMultilevel"/>
    <w:tmpl w:val="B6CC56E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C5153"/>
    <w:multiLevelType w:val="hybridMultilevel"/>
    <w:tmpl w:val="6734B2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954B53"/>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EBD09C9"/>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1076E8D"/>
    <w:multiLevelType w:val="hybridMultilevel"/>
    <w:tmpl w:val="6C42B8F2"/>
    <w:lvl w:ilvl="0" w:tplc="DEBEA82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11231012"/>
    <w:multiLevelType w:val="hybridMultilevel"/>
    <w:tmpl w:val="6734B2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31B313B"/>
    <w:multiLevelType w:val="hybridMultilevel"/>
    <w:tmpl w:val="B6CC56E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93639C"/>
    <w:multiLevelType w:val="hybridMultilevel"/>
    <w:tmpl w:val="9ECEB42A"/>
    <w:lvl w:ilvl="0" w:tplc="04090017">
      <w:start w:val="1"/>
      <w:numFmt w:val="chineseCountingThousand"/>
      <w:lvlText w:val="(%1)"/>
      <w:lvlJc w:val="left"/>
      <w:pPr>
        <w:ind w:left="420" w:hanging="420"/>
      </w:p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CE4B37"/>
    <w:multiLevelType w:val="hybridMultilevel"/>
    <w:tmpl w:val="15407E7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994AA5"/>
    <w:multiLevelType w:val="hybridMultilevel"/>
    <w:tmpl w:val="10D04C50"/>
    <w:lvl w:ilvl="0" w:tplc="04090017">
      <w:start w:val="1"/>
      <w:numFmt w:val="chineseCountingThousand"/>
      <w:lvlText w:val="(%1)"/>
      <w:lvlJc w:val="left"/>
      <w:pPr>
        <w:ind w:left="846" w:hanging="420"/>
      </w:pPr>
    </w:lvl>
    <w:lvl w:ilvl="1" w:tplc="F87EA7C8">
      <w:start w:val="1"/>
      <w:numFmt w:val="japaneseCounting"/>
      <w:lvlText w:val="%2、"/>
      <w:lvlJc w:val="left"/>
      <w:pPr>
        <w:ind w:left="1566" w:hanging="72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1EA004CF"/>
    <w:multiLevelType w:val="hybridMultilevel"/>
    <w:tmpl w:val="360CE4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3A1945"/>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B2323EF"/>
    <w:multiLevelType w:val="multilevel"/>
    <w:tmpl w:val="6F349D56"/>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nsid w:val="2F615A3B"/>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DF146A"/>
    <w:multiLevelType w:val="hybridMultilevel"/>
    <w:tmpl w:val="B6FA11D2"/>
    <w:lvl w:ilvl="0" w:tplc="04090013">
      <w:start w:val="1"/>
      <w:numFmt w:val="chineseCountingThousand"/>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F5404B"/>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40D141E8"/>
    <w:multiLevelType w:val="hybridMultilevel"/>
    <w:tmpl w:val="360CE4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2021E"/>
    <w:multiLevelType w:val="hybridMultilevel"/>
    <w:tmpl w:val="3DD0AFCE"/>
    <w:lvl w:ilvl="0" w:tplc="D5025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6463B18"/>
    <w:multiLevelType w:val="hybridMultilevel"/>
    <w:tmpl w:val="06402E7A"/>
    <w:lvl w:ilvl="0" w:tplc="04090013">
      <w:start w:val="1"/>
      <w:numFmt w:val="chineseCountingThousand"/>
      <w:lvlText w:val="%1、"/>
      <w:lvlJc w:val="left"/>
      <w:pPr>
        <w:ind w:left="420" w:hanging="420"/>
      </w:pPr>
    </w:lvl>
    <w:lvl w:ilvl="1" w:tplc="04090017">
      <w:start w:val="1"/>
      <w:numFmt w:val="chineseCountingThousand"/>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3833A9"/>
    <w:multiLevelType w:val="hybridMultilevel"/>
    <w:tmpl w:val="15407E7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CA801B2"/>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1277BC"/>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D434BAE"/>
    <w:multiLevelType w:val="hybridMultilevel"/>
    <w:tmpl w:val="83002E56"/>
    <w:lvl w:ilvl="0" w:tplc="EBDCEF52">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574E17"/>
    <w:multiLevelType w:val="hybridMultilevel"/>
    <w:tmpl w:val="B6FA11D2"/>
    <w:lvl w:ilvl="0" w:tplc="04090013">
      <w:start w:val="1"/>
      <w:numFmt w:val="chineseCountingThousand"/>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AA1206"/>
    <w:multiLevelType w:val="hybridMultilevel"/>
    <w:tmpl w:val="B6FA11D2"/>
    <w:lvl w:ilvl="0" w:tplc="04090013">
      <w:start w:val="1"/>
      <w:numFmt w:val="chineseCountingThousand"/>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DC4357"/>
    <w:multiLevelType w:val="hybridMultilevel"/>
    <w:tmpl w:val="37E825D8"/>
    <w:lvl w:ilvl="0" w:tplc="41282210">
      <w:start w:val="1"/>
      <w:numFmt w:val="chineseCountingThousand"/>
      <w:lvlText w:val="(%1)"/>
      <w:lvlJc w:val="left"/>
      <w:pPr>
        <w:ind w:left="840" w:hanging="420"/>
      </w:pPr>
      <w:rPr>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DD33955"/>
    <w:multiLevelType w:val="hybridMultilevel"/>
    <w:tmpl w:val="B6CC56E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FC55E47"/>
    <w:multiLevelType w:val="hybridMultilevel"/>
    <w:tmpl w:val="8CFC3744"/>
    <w:lvl w:ilvl="0" w:tplc="97FE7468">
      <w:start w:val="1"/>
      <w:numFmt w:val="chineseCountingThousand"/>
      <w:lvlText w:val="(%1)"/>
      <w:lvlJc w:val="left"/>
      <w:pPr>
        <w:ind w:left="420" w:hanging="42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1E2765A"/>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1">
    <w:nsid w:val="625E6BF8"/>
    <w:multiLevelType w:val="hybridMultilevel"/>
    <w:tmpl w:val="9ECEB42A"/>
    <w:lvl w:ilvl="0" w:tplc="04090017">
      <w:start w:val="1"/>
      <w:numFmt w:val="chineseCountingThousand"/>
      <w:lvlText w:val="(%1)"/>
      <w:lvlJc w:val="left"/>
      <w:pPr>
        <w:ind w:left="420" w:hanging="420"/>
      </w:p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811BB7"/>
    <w:multiLevelType w:val="hybridMultilevel"/>
    <w:tmpl w:val="0A2EEEF6"/>
    <w:lvl w:ilvl="0" w:tplc="78A2673C">
      <w:start w:val="2"/>
      <w:numFmt w:val="japaneseCounting"/>
      <w:lvlText w:val="%1、"/>
      <w:lvlJc w:val="left"/>
      <w:pPr>
        <w:ind w:left="1363" w:hanging="720"/>
      </w:pPr>
      <w:rPr>
        <w:rFonts w:hint="default"/>
      </w:rPr>
    </w:lvl>
    <w:lvl w:ilvl="1" w:tplc="EBA4916E">
      <w:start w:val="1"/>
      <w:numFmt w:val="decimal"/>
      <w:lvlText w:val="%2．"/>
      <w:lvlJc w:val="left"/>
      <w:pPr>
        <w:ind w:left="1783" w:hanging="720"/>
      </w:pPr>
      <w:rPr>
        <w:rFonts w:hint="default"/>
      </w:rPr>
    </w:lvl>
    <w:lvl w:ilvl="2" w:tplc="0409001B">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3">
    <w:nsid w:val="6B747CAD"/>
    <w:multiLevelType w:val="hybridMultilevel"/>
    <w:tmpl w:val="18F8442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4">
    <w:nsid w:val="6CA82E75"/>
    <w:multiLevelType w:val="hybridMultilevel"/>
    <w:tmpl w:val="B6FA11D2"/>
    <w:lvl w:ilvl="0" w:tplc="04090013">
      <w:start w:val="1"/>
      <w:numFmt w:val="chineseCountingThousand"/>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B7248B"/>
    <w:multiLevelType w:val="hybridMultilevel"/>
    <w:tmpl w:val="EB92C25E"/>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nsid w:val="6F347F62"/>
    <w:multiLevelType w:val="hybridMultilevel"/>
    <w:tmpl w:val="8CFC3744"/>
    <w:lvl w:ilvl="0" w:tplc="97FE7468">
      <w:start w:val="1"/>
      <w:numFmt w:val="chineseCountingThousand"/>
      <w:lvlText w:val="(%1)"/>
      <w:lvlJc w:val="left"/>
      <w:pPr>
        <w:ind w:left="420" w:hanging="42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6A3A47"/>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1DA185D"/>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9">
    <w:nsid w:val="7FF8320B"/>
    <w:multiLevelType w:val="hybridMultilevel"/>
    <w:tmpl w:val="B6FA11D2"/>
    <w:lvl w:ilvl="0" w:tplc="04090013">
      <w:start w:val="1"/>
      <w:numFmt w:val="chineseCountingThousand"/>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11"/>
  </w:num>
  <w:num w:numId="3">
    <w:abstractNumId w:val="5"/>
  </w:num>
  <w:num w:numId="4">
    <w:abstractNumId w:val="4"/>
  </w:num>
  <w:num w:numId="5">
    <w:abstractNumId w:val="0"/>
  </w:num>
  <w:num w:numId="6">
    <w:abstractNumId w:val="20"/>
  </w:num>
  <w:num w:numId="7">
    <w:abstractNumId w:val="18"/>
  </w:num>
  <w:num w:numId="8">
    <w:abstractNumId w:val="8"/>
  </w:num>
  <w:num w:numId="9">
    <w:abstractNumId w:val="3"/>
  </w:num>
  <w:num w:numId="10">
    <w:abstractNumId w:val="6"/>
  </w:num>
  <w:num w:numId="11">
    <w:abstractNumId w:val="7"/>
  </w:num>
  <w:num w:numId="12">
    <w:abstractNumId w:val="2"/>
  </w:num>
  <w:num w:numId="13">
    <w:abstractNumId w:val="38"/>
  </w:num>
  <w:num w:numId="14">
    <w:abstractNumId w:val="17"/>
  </w:num>
  <w:num w:numId="15">
    <w:abstractNumId w:val="23"/>
  </w:num>
  <w:num w:numId="16">
    <w:abstractNumId w:val="26"/>
  </w:num>
  <w:num w:numId="17">
    <w:abstractNumId w:val="12"/>
  </w:num>
  <w:num w:numId="18">
    <w:abstractNumId w:val="9"/>
  </w:num>
  <w:num w:numId="19">
    <w:abstractNumId w:val="31"/>
  </w:num>
  <w:num w:numId="20">
    <w:abstractNumId w:val="30"/>
  </w:num>
  <w:num w:numId="21">
    <w:abstractNumId w:val="16"/>
  </w:num>
  <w:num w:numId="22">
    <w:abstractNumId w:val="13"/>
  </w:num>
  <w:num w:numId="23">
    <w:abstractNumId w:val="22"/>
  </w:num>
  <w:num w:numId="24">
    <w:abstractNumId w:val="39"/>
  </w:num>
  <w:num w:numId="25">
    <w:abstractNumId w:val="37"/>
  </w:num>
  <w:num w:numId="26">
    <w:abstractNumId w:val="15"/>
  </w:num>
  <w:num w:numId="27">
    <w:abstractNumId w:val="24"/>
  </w:num>
  <w:num w:numId="28">
    <w:abstractNumId w:val="19"/>
  </w:num>
  <w:num w:numId="29">
    <w:abstractNumId w:val="34"/>
  </w:num>
  <w:num w:numId="30">
    <w:abstractNumId w:val="36"/>
  </w:num>
  <w:num w:numId="31">
    <w:abstractNumId w:val="29"/>
  </w:num>
  <w:num w:numId="32">
    <w:abstractNumId w:val="21"/>
  </w:num>
  <w:num w:numId="33">
    <w:abstractNumId w:val="1"/>
  </w:num>
  <w:num w:numId="34">
    <w:abstractNumId w:val="14"/>
  </w:num>
  <w:num w:numId="35">
    <w:abstractNumId w:val="35"/>
  </w:num>
  <w:num w:numId="36">
    <w:abstractNumId w:val="27"/>
  </w:num>
  <w:num w:numId="37">
    <w:abstractNumId w:val="32"/>
  </w:num>
  <w:num w:numId="38">
    <w:abstractNumId w:val="10"/>
  </w:num>
  <w:num w:numId="39">
    <w:abstractNumId w:val="2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68"/>
    <w:rsid w:val="000C7854"/>
    <w:rsid w:val="00104768"/>
    <w:rsid w:val="007512B9"/>
    <w:rsid w:val="008021C0"/>
    <w:rsid w:val="0099778C"/>
    <w:rsid w:val="00B0065A"/>
    <w:rsid w:val="00B37B0A"/>
    <w:rsid w:val="00BC66CB"/>
    <w:rsid w:val="00D4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768"/>
    <w:pPr>
      <w:ind w:firstLineChars="200" w:firstLine="420"/>
    </w:pPr>
  </w:style>
  <w:style w:type="character" w:customStyle="1" w:styleId="Char">
    <w:name w:val="脚注文本 Char"/>
    <w:link w:val="a4"/>
    <w:uiPriority w:val="99"/>
    <w:rsid w:val="00D4411A"/>
    <w:rPr>
      <w:rFonts w:ascii="Times New Roman" w:eastAsia="宋体" w:hAnsi="Times New Roman" w:cs="Times New Roman"/>
      <w:sz w:val="18"/>
      <w:szCs w:val="18"/>
    </w:rPr>
  </w:style>
  <w:style w:type="character" w:styleId="a5">
    <w:name w:val="footnote reference"/>
    <w:uiPriority w:val="99"/>
    <w:rsid w:val="00D4411A"/>
    <w:rPr>
      <w:vertAlign w:val="superscript"/>
    </w:rPr>
  </w:style>
  <w:style w:type="paragraph" w:styleId="a4">
    <w:name w:val="footnote text"/>
    <w:basedOn w:val="a"/>
    <w:link w:val="Char"/>
    <w:uiPriority w:val="99"/>
    <w:rsid w:val="00D4411A"/>
    <w:pPr>
      <w:snapToGrid w:val="0"/>
      <w:jc w:val="left"/>
    </w:pPr>
    <w:rPr>
      <w:sz w:val="18"/>
      <w:szCs w:val="18"/>
    </w:rPr>
  </w:style>
  <w:style w:type="character" w:customStyle="1" w:styleId="Char1">
    <w:name w:val="脚注文本 Char1"/>
    <w:basedOn w:val="a0"/>
    <w:uiPriority w:val="99"/>
    <w:semiHidden/>
    <w:rsid w:val="00D4411A"/>
    <w:rPr>
      <w:rFonts w:ascii="Times New Roman" w:eastAsia="宋体" w:hAnsi="Times New Roman" w:cs="Times New Roman"/>
      <w:sz w:val="18"/>
      <w:szCs w:val="18"/>
    </w:rPr>
  </w:style>
  <w:style w:type="paragraph" w:customStyle="1" w:styleId="zhengwen">
    <w:name w:val="zhengwen"/>
    <w:basedOn w:val="a"/>
    <w:rsid w:val="0099778C"/>
    <w:pPr>
      <w:spacing w:line="25" w:lineRule="atLeast"/>
    </w:pPr>
    <w:rPr>
      <w:rFonts w:ascii="宋体" w:hAnsi="宋体"/>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768"/>
    <w:pPr>
      <w:ind w:firstLineChars="200" w:firstLine="420"/>
    </w:pPr>
  </w:style>
  <w:style w:type="character" w:customStyle="1" w:styleId="Char">
    <w:name w:val="脚注文本 Char"/>
    <w:link w:val="a4"/>
    <w:uiPriority w:val="99"/>
    <w:rsid w:val="00D4411A"/>
    <w:rPr>
      <w:rFonts w:ascii="Times New Roman" w:eastAsia="宋体" w:hAnsi="Times New Roman" w:cs="Times New Roman"/>
      <w:sz w:val="18"/>
      <w:szCs w:val="18"/>
    </w:rPr>
  </w:style>
  <w:style w:type="character" w:styleId="a5">
    <w:name w:val="footnote reference"/>
    <w:uiPriority w:val="99"/>
    <w:rsid w:val="00D4411A"/>
    <w:rPr>
      <w:vertAlign w:val="superscript"/>
    </w:rPr>
  </w:style>
  <w:style w:type="paragraph" w:styleId="a4">
    <w:name w:val="footnote text"/>
    <w:basedOn w:val="a"/>
    <w:link w:val="Char"/>
    <w:uiPriority w:val="99"/>
    <w:rsid w:val="00D4411A"/>
    <w:pPr>
      <w:snapToGrid w:val="0"/>
      <w:jc w:val="left"/>
    </w:pPr>
    <w:rPr>
      <w:sz w:val="18"/>
      <w:szCs w:val="18"/>
    </w:rPr>
  </w:style>
  <w:style w:type="character" w:customStyle="1" w:styleId="Char1">
    <w:name w:val="脚注文本 Char1"/>
    <w:basedOn w:val="a0"/>
    <w:uiPriority w:val="99"/>
    <w:semiHidden/>
    <w:rsid w:val="00D4411A"/>
    <w:rPr>
      <w:rFonts w:ascii="Times New Roman" w:eastAsia="宋体" w:hAnsi="Times New Roman" w:cs="Times New Roman"/>
      <w:sz w:val="18"/>
      <w:szCs w:val="18"/>
    </w:rPr>
  </w:style>
  <w:style w:type="paragraph" w:customStyle="1" w:styleId="zhengwen">
    <w:name w:val="zhengwen"/>
    <w:basedOn w:val="a"/>
    <w:rsid w:val="0099778C"/>
    <w:pPr>
      <w:spacing w:line="25" w:lineRule="atLeast"/>
    </w:pPr>
    <w:rPr>
      <w:rFonts w:ascii="宋体" w:hAnsi="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2017-09-26T07:35:00Z</dcterms:created>
  <dcterms:modified xsi:type="dcterms:W3CDTF">2017-09-26T07:35:00Z</dcterms:modified>
</cp:coreProperties>
</file>