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3" w:type="dxa"/>
        <w:tblLayout w:type="fixed"/>
        <w:tblLook w:val="04A0"/>
      </w:tblPr>
      <w:tblGrid>
        <w:gridCol w:w="2640"/>
        <w:gridCol w:w="41"/>
        <w:gridCol w:w="5556"/>
        <w:gridCol w:w="1322"/>
        <w:gridCol w:w="1655"/>
        <w:gridCol w:w="998"/>
        <w:gridCol w:w="561"/>
        <w:gridCol w:w="842"/>
        <w:gridCol w:w="466"/>
      </w:tblGrid>
      <w:tr w:rsidR="00BC75E3" w:rsidRPr="00E2665B" w:rsidTr="003E599F">
        <w:trPr>
          <w:trHeight w:val="285"/>
        </w:trPr>
        <w:tc>
          <w:tcPr>
            <w:tcW w:w="2681"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附表</w:t>
            </w:r>
          </w:p>
        </w:tc>
        <w:tc>
          <w:tcPr>
            <w:tcW w:w="6878"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2653"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1403"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466" w:type="dxa"/>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r>
      <w:tr w:rsidR="00BC75E3" w:rsidRPr="00E2665B" w:rsidTr="003E599F">
        <w:trPr>
          <w:trHeight w:val="435"/>
        </w:trPr>
        <w:tc>
          <w:tcPr>
            <w:tcW w:w="14081" w:type="dxa"/>
            <w:gridSpan w:val="9"/>
            <w:tcBorders>
              <w:top w:val="nil"/>
              <w:left w:val="nil"/>
              <w:bottom w:val="single" w:sz="4" w:space="0" w:color="auto"/>
              <w:right w:val="nil"/>
            </w:tcBorders>
            <w:shd w:val="clear" w:color="auto" w:fill="auto"/>
            <w:noWrap/>
            <w:vAlign w:val="center"/>
            <w:hideMark/>
          </w:tcPr>
          <w:p w:rsidR="00BC75E3" w:rsidRPr="00E2665B" w:rsidRDefault="00BC75E3" w:rsidP="003E599F">
            <w:pPr>
              <w:widowControl/>
              <w:jc w:val="center"/>
              <w:rPr>
                <w:rFonts w:ascii="华文中宋" w:eastAsia="华文中宋" w:hAnsi="华文中宋" w:cs="宋体"/>
                <w:b/>
                <w:bCs/>
                <w:color w:val="000000"/>
                <w:kern w:val="0"/>
                <w:sz w:val="32"/>
                <w:szCs w:val="32"/>
              </w:rPr>
            </w:pPr>
            <w:r w:rsidRPr="00E2665B">
              <w:rPr>
                <w:rFonts w:ascii="华文中宋" w:eastAsia="华文中宋" w:hAnsi="华文中宋" w:cs="宋体" w:hint="eastAsia"/>
                <w:b/>
                <w:bCs/>
                <w:color w:val="000000"/>
                <w:kern w:val="0"/>
                <w:sz w:val="32"/>
                <w:szCs w:val="32"/>
              </w:rPr>
              <w:t>主承销商配售行为自评表</w:t>
            </w:r>
          </w:p>
        </w:tc>
      </w:tr>
      <w:tr w:rsidR="00BC75E3" w:rsidRPr="00E2665B" w:rsidTr="003E599F">
        <w:trPr>
          <w:trHeight w:val="39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承销项目名称</w:t>
            </w:r>
          </w:p>
        </w:tc>
        <w:tc>
          <w:tcPr>
            <w:tcW w:w="5597" w:type="dxa"/>
            <w:gridSpan w:val="2"/>
            <w:tcBorders>
              <w:top w:val="nil"/>
              <w:left w:val="nil"/>
              <w:bottom w:val="single" w:sz="4" w:space="0" w:color="auto"/>
              <w:right w:val="nil"/>
            </w:tcBorders>
            <w:shd w:val="clear" w:color="auto" w:fill="auto"/>
            <w:noWrap/>
            <w:vAlign w:val="center"/>
            <w:hideMark/>
          </w:tcPr>
          <w:p w:rsidR="00BC75E3" w:rsidRPr="00E2665B" w:rsidRDefault="00BC75E3" w:rsidP="003E599F">
            <w:pPr>
              <w:widowControl/>
              <w:jc w:val="center"/>
              <w:rPr>
                <w:rFonts w:ascii="华文中宋" w:eastAsia="华文中宋" w:hAnsi="华文中宋" w:cs="宋体"/>
                <w:b/>
                <w:bCs/>
                <w:color w:val="000000"/>
                <w:kern w:val="0"/>
                <w:sz w:val="28"/>
                <w:szCs w:val="28"/>
              </w:rPr>
            </w:pPr>
            <w:r w:rsidRPr="00E2665B">
              <w:rPr>
                <w:rFonts w:ascii="华文中宋" w:eastAsia="华文中宋" w:hAnsi="华文中宋" w:cs="宋体" w:hint="eastAsia"/>
                <w:b/>
                <w:bCs/>
                <w:color w:val="000000"/>
                <w:kern w:val="0"/>
                <w:sz w:val="28"/>
                <w:szCs w:val="28"/>
              </w:rPr>
              <w:t xml:space="preserve">　</w:t>
            </w:r>
          </w:p>
        </w:tc>
        <w:tc>
          <w:tcPr>
            <w:tcW w:w="2977" w:type="dxa"/>
            <w:gridSpan w:val="2"/>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填报时间</w:t>
            </w:r>
          </w:p>
        </w:tc>
        <w:tc>
          <w:tcPr>
            <w:tcW w:w="28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83"/>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评价指标</w:t>
            </w:r>
          </w:p>
        </w:tc>
        <w:tc>
          <w:tcPr>
            <w:tcW w:w="5597"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评价事项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减分情况</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自评结果</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b/>
                <w:bCs/>
                <w:color w:val="000000"/>
                <w:kern w:val="0"/>
                <w:sz w:val="24"/>
              </w:rPr>
            </w:pPr>
            <w:r w:rsidRPr="00E2665B">
              <w:rPr>
                <w:rFonts w:ascii="宋体" w:hAnsi="宋体" w:cs="宋体" w:hint="eastAsia"/>
                <w:b/>
                <w:bCs/>
                <w:color w:val="000000"/>
                <w:kern w:val="0"/>
                <w:sz w:val="24"/>
              </w:rPr>
              <w:t>备注</w:t>
            </w:r>
          </w:p>
        </w:tc>
      </w:tr>
      <w:tr w:rsidR="00BC75E3" w:rsidRPr="00E2665B" w:rsidTr="003E599F">
        <w:trPr>
          <w:trHeight w:val="735"/>
        </w:trPr>
        <w:tc>
          <w:tcPr>
            <w:tcW w:w="2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制度完备性</w:t>
            </w: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是否建立决策机制</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未建立，减10分；不完备；减5分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45"/>
        </w:trPr>
        <w:tc>
          <w:tcPr>
            <w:tcW w:w="2640" w:type="dxa"/>
            <w:vMerge/>
            <w:tcBorders>
              <w:top w:val="nil"/>
              <w:left w:val="single" w:sz="4" w:space="0" w:color="auto"/>
              <w:bottom w:val="single" w:sz="4" w:space="0" w:color="000000"/>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是否制定配售规则</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未建立，减10分；不完备；减5分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45"/>
        </w:trPr>
        <w:tc>
          <w:tcPr>
            <w:tcW w:w="2640" w:type="dxa"/>
            <w:vMerge/>
            <w:tcBorders>
              <w:top w:val="nil"/>
              <w:left w:val="single" w:sz="4" w:space="0" w:color="auto"/>
              <w:bottom w:val="single" w:sz="4" w:space="0" w:color="000000"/>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是否制定配售工作流程</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未建立，减10分；不完备；减5分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90"/>
        </w:trPr>
        <w:tc>
          <w:tcPr>
            <w:tcW w:w="2640" w:type="dxa"/>
            <w:vMerge/>
            <w:tcBorders>
              <w:top w:val="nil"/>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是否建立与配售制度相关的内部控制制度</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未建立，减10分；不完备；减5分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30"/>
        </w:trPr>
        <w:tc>
          <w:tcPr>
            <w:tcW w:w="2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配售过程合</w:t>
            </w:r>
            <w:proofErr w:type="gramStart"/>
            <w:r w:rsidRPr="00E2665B">
              <w:rPr>
                <w:rFonts w:ascii="宋体" w:hAnsi="宋体" w:cs="宋体" w:hint="eastAsia"/>
                <w:color w:val="000000"/>
                <w:kern w:val="0"/>
                <w:sz w:val="24"/>
              </w:rPr>
              <w:t>规</w:t>
            </w:r>
            <w:proofErr w:type="gramEnd"/>
            <w:r w:rsidRPr="00E2665B">
              <w:rPr>
                <w:rFonts w:ascii="宋体" w:hAnsi="宋体" w:cs="宋体" w:hint="eastAsia"/>
                <w:color w:val="000000"/>
                <w:kern w:val="0"/>
                <w:sz w:val="24"/>
              </w:rPr>
              <w:t>性</w:t>
            </w: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合</w:t>
            </w:r>
            <w:proofErr w:type="gramStart"/>
            <w:r w:rsidRPr="00E2665B">
              <w:rPr>
                <w:rFonts w:ascii="宋体" w:hAnsi="宋体" w:cs="宋体" w:hint="eastAsia"/>
                <w:color w:val="000000"/>
                <w:kern w:val="0"/>
                <w:sz w:val="24"/>
              </w:rPr>
              <w:t>规</w:t>
            </w:r>
            <w:proofErr w:type="gramEnd"/>
            <w:r w:rsidRPr="00E2665B">
              <w:rPr>
                <w:rFonts w:ascii="宋体" w:hAnsi="宋体" w:cs="宋体" w:hint="eastAsia"/>
                <w:color w:val="000000"/>
                <w:kern w:val="0"/>
                <w:sz w:val="24"/>
              </w:rPr>
              <w:t>部门是否全程参与</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未全程参与，减5分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15"/>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是否对配售对象资质进行审核</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未审核，减5分；未全部审核，减2分</w:t>
            </w:r>
          </w:p>
        </w:tc>
        <w:tc>
          <w:tcPr>
            <w:tcW w:w="1559"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1308" w:type="dxa"/>
            <w:gridSpan w:val="2"/>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945"/>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是否对公</w:t>
            </w:r>
            <w:proofErr w:type="gramStart"/>
            <w:r w:rsidRPr="00E2665B">
              <w:rPr>
                <w:rFonts w:ascii="宋体" w:hAnsi="宋体" w:cs="宋体" w:hint="eastAsia"/>
                <w:color w:val="000000"/>
                <w:kern w:val="0"/>
                <w:sz w:val="24"/>
              </w:rPr>
              <w:t>募</w:t>
            </w:r>
            <w:proofErr w:type="gramEnd"/>
            <w:r w:rsidRPr="00E2665B">
              <w:rPr>
                <w:rFonts w:ascii="宋体" w:hAnsi="宋体" w:cs="宋体" w:hint="eastAsia"/>
                <w:color w:val="000000"/>
                <w:kern w:val="0"/>
                <w:sz w:val="24"/>
              </w:rPr>
              <w:t>基金、社保基金、企业年金基金和保险资金进行优先配售</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未优先配售，减5分</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945"/>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其他类配售对象的获配比</w:t>
            </w:r>
            <w:proofErr w:type="gramStart"/>
            <w:r w:rsidRPr="00E2665B">
              <w:rPr>
                <w:rFonts w:ascii="宋体" w:hAnsi="宋体" w:cs="宋体" w:hint="eastAsia"/>
                <w:color w:val="000000"/>
                <w:kern w:val="0"/>
                <w:sz w:val="24"/>
              </w:rPr>
              <w:t>例是否</w:t>
            </w:r>
            <w:proofErr w:type="gramEnd"/>
            <w:r w:rsidRPr="00E2665B">
              <w:rPr>
                <w:rFonts w:ascii="宋体" w:hAnsi="宋体" w:cs="宋体" w:hint="eastAsia"/>
                <w:color w:val="000000"/>
                <w:kern w:val="0"/>
                <w:sz w:val="24"/>
              </w:rPr>
              <w:t>超过公募社保类和年金保险类投资者的获配比例</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超过，减5分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499"/>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是否对同类配售对象配售股票的比例相同</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不相同，减5分</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499"/>
        </w:trPr>
        <w:tc>
          <w:tcPr>
            <w:tcW w:w="26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禁止性行为</w:t>
            </w:r>
          </w:p>
        </w:tc>
        <w:tc>
          <w:tcPr>
            <w:tcW w:w="5597" w:type="dxa"/>
            <w:gridSpan w:val="2"/>
            <w:tcBorders>
              <w:top w:val="single" w:sz="4" w:space="0" w:color="auto"/>
              <w:left w:val="single" w:sz="4" w:space="0" w:color="000000"/>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以自有资金或者变相通过自有资金参与配售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减30分</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499"/>
        </w:trPr>
        <w:tc>
          <w:tcPr>
            <w:tcW w:w="2640" w:type="dxa"/>
            <w:vMerge/>
            <w:tcBorders>
              <w:top w:val="nil"/>
              <w:left w:val="single" w:sz="4" w:space="0" w:color="000000"/>
              <w:bottom w:val="single" w:sz="4" w:space="0" w:color="000000"/>
              <w:right w:val="single" w:sz="4" w:space="0" w:color="000000"/>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single" w:sz="4" w:space="0" w:color="000000"/>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与网下投资者相互协商，串通进行配售</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减30分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499"/>
        </w:trPr>
        <w:tc>
          <w:tcPr>
            <w:tcW w:w="2640" w:type="dxa"/>
            <w:vMerge/>
            <w:tcBorders>
              <w:top w:val="nil"/>
              <w:left w:val="single" w:sz="4" w:space="0" w:color="000000"/>
              <w:bottom w:val="single" w:sz="4" w:space="0" w:color="000000"/>
              <w:right w:val="single" w:sz="4" w:space="0" w:color="000000"/>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single" w:sz="4" w:space="0" w:color="000000"/>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存在利益输送</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减50分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499"/>
        </w:trPr>
        <w:tc>
          <w:tcPr>
            <w:tcW w:w="2640" w:type="dxa"/>
            <w:vMerge/>
            <w:tcBorders>
              <w:top w:val="nil"/>
              <w:left w:val="single" w:sz="4" w:space="0" w:color="000000"/>
              <w:bottom w:val="single" w:sz="4" w:space="0" w:color="000000"/>
              <w:right w:val="single" w:sz="4" w:space="0" w:color="000000"/>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single" w:sz="4" w:space="0" w:color="000000"/>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通过配售谋取回扣、资助、补偿等不正当利益</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减50分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870"/>
        </w:trPr>
        <w:tc>
          <w:tcPr>
            <w:tcW w:w="2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信息披露合</w:t>
            </w:r>
            <w:proofErr w:type="gramStart"/>
            <w:r w:rsidRPr="00E2665B">
              <w:rPr>
                <w:rFonts w:ascii="宋体" w:hAnsi="宋体" w:cs="宋体" w:hint="eastAsia"/>
                <w:color w:val="000000"/>
                <w:kern w:val="0"/>
                <w:sz w:val="24"/>
              </w:rPr>
              <w:t>规</w:t>
            </w:r>
            <w:proofErr w:type="gramEnd"/>
            <w:r w:rsidRPr="00E2665B">
              <w:rPr>
                <w:rFonts w:ascii="宋体" w:hAnsi="宋体" w:cs="宋体" w:hint="eastAsia"/>
                <w:color w:val="000000"/>
                <w:kern w:val="0"/>
                <w:sz w:val="24"/>
              </w:rPr>
              <w:t>性</w:t>
            </w: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是否在披露招股意向书同时在相关发行公告中披露配售原则、配售方式</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未披露，减5分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1050"/>
        </w:trPr>
        <w:tc>
          <w:tcPr>
            <w:tcW w:w="2640" w:type="dxa"/>
            <w:vMerge/>
            <w:tcBorders>
              <w:top w:val="nil"/>
              <w:left w:val="single" w:sz="4" w:space="0" w:color="auto"/>
              <w:bottom w:val="single" w:sz="4" w:space="0" w:color="000000"/>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是否在发行结果公告中披露获配机构投资者名称、个人投资者个人信息以及每个获配投资者的报价、申购数量和获配数量等信息</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未披露，减5分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690"/>
        </w:trPr>
        <w:tc>
          <w:tcPr>
            <w:tcW w:w="2640" w:type="dxa"/>
            <w:vMerge/>
            <w:tcBorders>
              <w:top w:val="nil"/>
              <w:left w:val="single" w:sz="4" w:space="0" w:color="auto"/>
              <w:bottom w:val="single" w:sz="4" w:space="0" w:color="000000"/>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是否在发行结果公告中明确说明配售结果是否符合事先公布的配售原则</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未披露，减5分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1035"/>
        </w:trPr>
        <w:tc>
          <w:tcPr>
            <w:tcW w:w="2640" w:type="dxa"/>
            <w:vMerge/>
            <w:tcBorders>
              <w:top w:val="nil"/>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是否在发行结果公告中列表公示并着重说明提供有效报价但未参与申购，或实际申购数量明显少于报价时拟申购数量的网下投资者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未披露，减5分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70"/>
        </w:trPr>
        <w:tc>
          <w:tcPr>
            <w:tcW w:w="2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资料留存完整性</w:t>
            </w:r>
          </w:p>
        </w:tc>
        <w:tc>
          <w:tcPr>
            <w:tcW w:w="5597" w:type="dxa"/>
            <w:gridSpan w:val="2"/>
            <w:tcBorders>
              <w:top w:val="nil"/>
              <w:left w:val="single" w:sz="4" w:space="0" w:color="auto"/>
              <w:bottom w:val="nil"/>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是否完整留存网下投资者报价及申购信息</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未留存，减5分；不完整；减2分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70"/>
        </w:trPr>
        <w:tc>
          <w:tcPr>
            <w:tcW w:w="2640" w:type="dxa"/>
            <w:vMerge/>
            <w:tcBorders>
              <w:top w:val="single" w:sz="4" w:space="0" w:color="000000"/>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是否完整留存配售对象基本信息</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未留存，减5分；不完整；减2分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70"/>
        </w:trPr>
        <w:tc>
          <w:tcPr>
            <w:tcW w:w="2640" w:type="dxa"/>
            <w:vMerge/>
            <w:tcBorders>
              <w:top w:val="single" w:sz="4" w:space="0" w:color="000000"/>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是否完整留存配售决策过程文件</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未留存，减5分；不完整；减2分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55"/>
        </w:trPr>
        <w:tc>
          <w:tcPr>
            <w:tcW w:w="2640" w:type="dxa"/>
            <w:vMerge/>
            <w:tcBorders>
              <w:top w:val="single" w:sz="4" w:space="0" w:color="000000"/>
              <w:left w:val="single" w:sz="4" w:space="0" w:color="auto"/>
              <w:bottom w:val="single" w:sz="4" w:space="0" w:color="auto"/>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是否留存法律意见书</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未留存，减2分</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55"/>
        </w:trPr>
        <w:tc>
          <w:tcPr>
            <w:tcW w:w="2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配售行为诚信情况</w:t>
            </w:r>
          </w:p>
        </w:tc>
        <w:tc>
          <w:tcPr>
            <w:tcW w:w="5597" w:type="dxa"/>
            <w:gridSpan w:val="2"/>
            <w:tcBorders>
              <w:top w:val="single" w:sz="4" w:space="0" w:color="auto"/>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是否按照事先披露的配售原则对配售对象进行分类</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未按照，减10分</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55"/>
        </w:trPr>
        <w:tc>
          <w:tcPr>
            <w:tcW w:w="2640" w:type="dxa"/>
            <w:vMerge/>
            <w:tcBorders>
              <w:top w:val="nil"/>
              <w:left w:val="single" w:sz="4" w:space="0" w:color="auto"/>
              <w:bottom w:val="single" w:sz="4" w:space="0" w:color="000000"/>
              <w:right w:val="single" w:sz="4" w:space="0" w:color="auto"/>
            </w:tcBorders>
            <w:vAlign w:val="center"/>
            <w:hideMark/>
          </w:tcPr>
          <w:p w:rsidR="00BC75E3" w:rsidRPr="00E2665B" w:rsidRDefault="00BC75E3" w:rsidP="003E599F">
            <w:pPr>
              <w:widowControl/>
              <w:jc w:val="left"/>
              <w:rPr>
                <w:rFonts w:ascii="宋体" w:hAnsi="宋体" w:cs="宋体"/>
                <w:color w:val="000000"/>
                <w:kern w:val="0"/>
                <w:sz w:val="24"/>
              </w:rPr>
            </w:pPr>
          </w:p>
        </w:tc>
        <w:tc>
          <w:tcPr>
            <w:tcW w:w="559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未按事先披露的配售原则和配售方式进行配售</w:t>
            </w:r>
          </w:p>
        </w:tc>
        <w:tc>
          <w:tcPr>
            <w:tcW w:w="2977" w:type="dxa"/>
            <w:gridSpan w:val="2"/>
            <w:tcBorders>
              <w:top w:val="nil"/>
              <w:left w:val="nil"/>
              <w:bottom w:val="single" w:sz="4" w:space="0" w:color="auto"/>
              <w:right w:val="single" w:sz="4" w:space="0" w:color="auto"/>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减30分</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5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center"/>
              <w:rPr>
                <w:rFonts w:ascii="宋体" w:hAnsi="宋体" w:cs="宋体"/>
                <w:color w:val="000000"/>
                <w:kern w:val="0"/>
                <w:sz w:val="24"/>
              </w:rPr>
            </w:pPr>
            <w:r w:rsidRPr="00E2665B">
              <w:rPr>
                <w:rFonts w:ascii="宋体" w:hAnsi="宋体" w:cs="宋体" w:hint="eastAsia"/>
                <w:color w:val="000000"/>
                <w:kern w:val="0"/>
                <w:sz w:val="24"/>
              </w:rPr>
              <w:t>总分</w:t>
            </w:r>
          </w:p>
        </w:tc>
        <w:tc>
          <w:tcPr>
            <w:tcW w:w="8574" w:type="dxa"/>
            <w:gridSpan w:val="4"/>
            <w:tcBorders>
              <w:top w:val="single" w:sz="4" w:space="0" w:color="auto"/>
              <w:left w:val="nil"/>
              <w:bottom w:val="single" w:sz="4" w:space="0" w:color="auto"/>
              <w:right w:val="nil"/>
            </w:tcBorders>
            <w:shd w:val="clear" w:color="auto" w:fill="auto"/>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 xml:space="preserve">　</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c>
          <w:tcPr>
            <w:tcW w:w="1308" w:type="dxa"/>
            <w:gridSpan w:val="2"/>
            <w:tcBorders>
              <w:top w:val="nil"/>
              <w:left w:val="nil"/>
              <w:bottom w:val="single" w:sz="4" w:space="0" w:color="auto"/>
              <w:right w:val="single" w:sz="4" w:space="0" w:color="auto"/>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w:t>
            </w:r>
          </w:p>
        </w:tc>
      </w:tr>
      <w:tr w:rsidR="00BC75E3" w:rsidRPr="00E2665B" w:rsidTr="003E599F">
        <w:trPr>
          <w:trHeight w:val="285"/>
        </w:trPr>
        <w:tc>
          <w:tcPr>
            <w:tcW w:w="9559" w:type="dxa"/>
            <w:gridSpan w:val="4"/>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4"/>
              </w:rPr>
            </w:pPr>
            <w:r w:rsidRPr="00E2665B">
              <w:rPr>
                <w:rFonts w:ascii="宋体" w:hAnsi="宋体" w:cs="宋体" w:hint="eastAsia"/>
                <w:color w:val="000000"/>
                <w:kern w:val="0"/>
                <w:sz w:val="24"/>
              </w:rPr>
              <w:t>注：1、评价期间主承销商基准分为100分。</w:t>
            </w:r>
          </w:p>
        </w:tc>
        <w:tc>
          <w:tcPr>
            <w:tcW w:w="1655" w:type="dxa"/>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1559"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1308"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r>
      <w:tr w:rsidR="00BC75E3" w:rsidRPr="00E2665B" w:rsidTr="003E599F">
        <w:trPr>
          <w:trHeight w:val="270"/>
        </w:trPr>
        <w:tc>
          <w:tcPr>
            <w:tcW w:w="11214" w:type="dxa"/>
            <w:gridSpan w:val="5"/>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r w:rsidRPr="00E2665B">
              <w:rPr>
                <w:rFonts w:ascii="宋体" w:hAnsi="宋体" w:cs="宋体" w:hint="eastAsia"/>
                <w:color w:val="000000"/>
                <w:kern w:val="0"/>
                <w:sz w:val="22"/>
                <w:szCs w:val="22"/>
              </w:rPr>
              <w:t xml:space="preserve">    2、未出现减分情况，在“评价结果”一栏中打√；出现减分情况，在自评结果一栏标明所减分值。</w:t>
            </w:r>
          </w:p>
        </w:tc>
        <w:tc>
          <w:tcPr>
            <w:tcW w:w="1559"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c>
          <w:tcPr>
            <w:tcW w:w="1308" w:type="dxa"/>
            <w:gridSpan w:val="2"/>
            <w:tcBorders>
              <w:top w:val="nil"/>
              <w:left w:val="nil"/>
              <w:bottom w:val="nil"/>
              <w:right w:val="nil"/>
            </w:tcBorders>
            <w:shd w:val="clear" w:color="auto" w:fill="auto"/>
            <w:noWrap/>
            <w:vAlign w:val="center"/>
            <w:hideMark/>
          </w:tcPr>
          <w:p w:rsidR="00BC75E3" w:rsidRPr="00E2665B" w:rsidRDefault="00BC75E3" w:rsidP="003E599F">
            <w:pPr>
              <w:widowControl/>
              <w:jc w:val="left"/>
              <w:rPr>
                <w:rFonts w:ascii="宋体" w:hAnsi="宋体" w:cs="宋体"/>
                <w:color w:val="000000"/>
                <w:kern w:val="0"/>
                <w:sz w:val="22"/>
                <w:szCs w:val="22"/>
              </w:rPr>
            </w:pPr>
          </w:p>
        </w:tc>
      </w:tr>
    </w:tbl>
    <w:p w:rsidR="00C46CD6" w:rsidRPr="00BC75E3" w:rsidRDefault="00C46CD6"/>
    <w:sectPr w:rsidR="00C46CD6" w:rsidRPr="00BC75E3" w:rsidSect="00BC75E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75E3"/>
    <w:rsid w:val="00BC75E3"/>
    <w:rsid w:val="00C46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许晓鹏</dc:creator>
  <cp:lastModifiedBy>许晓鹏</cp:lastModifiedBy>
  <cp:revision>1</cp:revision>
  <dcterms:created xsi:type="dcterms:W3CDTF">2017-10-13T02:11:00Z</dcterms:created>
  <dcterms:modified xsi:type="dcterms:W3CDTF">2017-10-13T02:12:00Z</dcterms:modified>
</cp:coreProperties>
</file>