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BD" w:rsidRDefault="00F64EBD">
      <w:pPr>
        <w:spacing w:line="560" w:lineRule="exact"/>
        <w:jc w:val="right"/>
        <w:rPr>
          <w:rFonts w:ascii="黑体" w:eastAsia="黑体" w:hAnsi="黑体"/>
          <w:b/>
          <w:sz w:val="32"/>
          <w:szCs w:val="32"/>
        </w:rPr>
      </w:pPr>
    </w:p>
    <w:p w:rsidR="00F64EBD" w:rsidRDefault="00F64EBD">
      <w:pPr>
        <w:spacing w:line="560" w:lineRule="exact"/>
        <w:jc w:val="right"/>
        <w:rPr>
          <w:rFonts w:ascii="黑体" w:eastAsia="黑体" w:hAnsi="黑体"/>
          <w:b/>
          <w:sz w:val="32"/>
          <w:szCs w:val="32"/>
        </w:rPr>
      </w:pPr>
    </w:p>
    <w:p w:rsidR="00F64EBD" w:rsidRDefault="00F64EBD">
      <w:pPr>
        <w:spacing w:line="600" w:lineRule="exact"/>
        <w:jc w:val="left"/>
        <w:rPr>
          <w:rFonts w:ascii="仿宋_GB2312" w:eastAsia="仿宋_GB2312"/>
          <w:b/>
          <w:sz w:val="30"/>
          <w:szCs w:val="30"/>
        </w:rPr>
      </w:pPr>
      <w:r>
        <w:rPr>
          <w:rFonts w:ascii="仿宋_GB2312" w:eastAsia="仿宋_GB2312" w:hint="eastAsia"/>
          <w:b/>
          <w:sz w:val="30"/>
          <w:szCs w:val="30"/>
        </w:rPr>
        <w:t>附件</w:t>
      </w:r>
    </w:p>
    <w:p w:rsidR="00F64EBD" w:rsidRDefault="00F64EBD">
      <w:pPr>
        <w:spacing w:line="600" w:lineRule="exact"/>
        <w:jc w:val="left"/>
        <w:rPr>
          <w:rFonts w:ascii="仿宋_GB2312" w:eastAsia="仿宋_GB2312"/>
          <w:sz w:val="30"/>
          <w:szCs w:val="30"/>
        </w:rPr>
      </w:pPr>
    </w:p>
    <w:p w:rsidR="00F64EBD" w:rsidRDefault="00F64EBD">
      <w:pPr>
        <w:spacing w:line="60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上海证券交易所上市公司可转换公司债</w:t>
      </w:r>
      <w:proofErr w:type="gramStart"/>
      <w:r>
        <w:rPr>
          <w:rFonts w:ascii="方正大标宋简体" w:eastAsia="方正大标宋简体" w:hAnsi="黑体" w:hint="eastAsia"/>
          <w:sz w:val="42"/>
          <w:szCs w:val="42"/>
        </w:rPr>
        <w:t>券</w:t>
      </w:r>
      <w:proofErr w:type="gramEnd"/>
    </w:p>
    <w:p w:rsidR="00F64EBD" w:rsidRDefault="00F64EBD">
      <w:pPr>
        <w:spacing w:line="60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发行实施细则</w:t>
      </w:r>
    </w:p>
    <w:p w:rsidR="00F64EBD" w:rsidRDefault="00F64EBD">
      <w:pPr>
        <w:spacing w:line="600" w:lineRule="exact"/>
        <w:jc w:val="center"/>
        <w:rPr>
          <w:rFonts w:ascii="仿宋_GB2312" w:eastAsia="仿宋_GB2312"/>
          <w:b/>
          <w:sz w:val="32"/>
          <w:szCs w:val="32"/>
        </w:rPr>
      </w:pPr>
    </w:p>
    <w:p w:rsidR="00F64EBD" w:rsidRDefault="00F64EBD">
      <w:pPr>
        <w:spacing w:line="600" w:lineRule="exact"/>
        <w:jc w:val="center"/>
        <w:rPr>
          <w:rFonts w:ascii="黑体" w:eastAsia="黑体"/>
          <w:b/>
          <w:sz w:val="30"/>
          <w:szCs w:val="30"/>
        </w:rPr>
      </w:pPr>
      <w:r>
        <w:rPr>
          <w:rFonts w:ascii="黑体" w:eastAsia="黑体" w:hint="eastAsia"/>
          <w:b/>
          <w:sz w:val="30"/>
          <w:szCs w:val="30"/>
        </w:rPr>
        <w:t>第一章 总则</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第一条 为规范上海证券交易所（以下简称本所）上市公司可转换公司债</w:t>
      </w:r>
      <w:proofErr w:type="gramStart"/>
      <w:r>
        <w:rPr>
          <w:rFonts w:ascii="仿宋_GB2312" w:eastAsia="仿宋_GB2312" w:hint="eastAsia"/>
          <w:sz w:val="30"/>
          <w:szCs w:val="30"/>
        </w:rPr>
        <w:t>券</w:t>
      </w:r>
      <w:proofErr w:type="gramEnd"/>
      <w:r>
        <w:rPr>
          <w:rFonts w:ascii="仿宋_GB2312" w:eastAsia="仿宋_GB2312" w:hint="eastAsia"/>
          <w:sz w:val="30"/>
          <w:szCs w:val="30"/>
        </w:rPr>
        <w:t>（以下简称可转债）发行业务，根据《证券法》《上市公司证券发行管理办法》《证券发行与承销管理办法》等相关规定，制定本细则。</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第二条 可转</w:t>
      </w:r>
      <w:proofErr w:type="gramStart"/>
      <w:r>
        <w:rPr>
          <w:rFonts w:ascii="仿宋_GB2312" w:eastAsia="仿宋_GB2312" w:hint="eastAsia"/>
          <w:sz w:val="30"/>
          <w:szCs w:val="30"/>
        </w:rPr>
        <w:t>债通过</w:t>
      </w:r>
      <w:proofErr w:type="gramEnd"/>
      <w:r>
        <w:rPr>
          <w:rFonts w:ascii="仿宋_GB2312" w:eastAsia="仿宋_GB2312" w:hint="eastAsia"/>
          <w:sz w:val="30"/>
          <w:szCs w:val="30"/>
        </w:rPr>
        <w:t>本所交易系统并采用网上申购方式发行，或同时采用网上申购和网下申购方式发行的，适用本细则。网下发行由发行人与主承销商自行组织。</w:t>
      </w:r>
    </w:p>
    <w:p w:rsidR="00F64EBD" w:rsidRDefault="00F64EBD">
      <w:pPr>
        <w:spacing w:line="600" w:lineRule="exact"/>
        <w:ind w:firstLine="555"/>
        <w:rPr>
          <w:rFonts w:ascii="仿宋_GB2312" w:eastAsia="仿宋_GB2312"/>
          <w:sz w:val="30"/>
          <w:szCs w:val="30"/>
        </w:rPr>
      </w:pPr>
      <w:r>
        <w:rPr>
          <w:rFonts w:ascii="仿宋_GB2312" w:eastAsia="仿宋_GB2312" w:hint="eastAsia"/>
          <w:sz w:val="30"/>
          <w:szCs w:val="30"/>
        </w:rPr>
        <w:t>可交换公司债券（以下简称可交换债）通过本所交易系统并采用网上申购发行，或同时采用网上申购和网下申购方式发行的，按照本细则关于可转债的规定执行，但第三条、第十条第二款、第十五条第一款有关</w:t>
      </w:r>
      <w:proofErr w:type="gramStart"/>
      <w:r>
        <w:rPr>
          <w:rFonts w:ascii="仿宋_GB2312" w:eastAsia="仿宋_GB2312" w:hint="eastAsia"/>
          <w:sz w:val="30"/>
          <w:szCs w:val="30"/>
        </w:rPr>
        <w:t>可转债向原</w:t>
      </w:r>
      <w:proofErr w:type="gramEnd"/>
      <w:r>
        <w:rPr>
          <w:rFonts w:ascii="仿宋_GB2312" w:eastAsia="仿宋_GB2312" w:hint="eastAsia"/>
          <w:sz w:val="30"/>
          <w:szCs w:val="30"/>
        </w:rPr>
        <w:t>股东优先配售的规定，以及第二十三条第三款、第二十四条第一款的规定不适用。</w:t>
      </w:r>
    </w:p>
    <w:p w:rsidR="00F64EBD" w:rsidRDefault="00F64EBD">
      <w:pPr>
        <w:spacing w:line="600" w:lineRule="exact"/>
        <w:jc w:val="center"/>
        <w:rPr>
          <w:rFonts w:ascii="黑体" w:eastAsia="黑体"/>
          <w:b/>
          <w:sz w:val="30"/>
          <w:szCs w:val="30"/>
        </w:rPr>
      </w:pPr>
      <w:r>
        <w:rPr>
          <w:rFonts w:ascii="黑体" w:eastAsia="黑体" w:hint="eastAsia"/>
          <w:b/>
          <w:sz w:val="30"/>
          <w:szCs w:val="30"/>
        </w:rPr>
        <w:t>第二章 基本规则</w:t>
      </w:r>
    </w:p>
    <w:p w:rsidR="00F64EBD" w:rsidRDefault="00F64EBD">
      <w:pPr>
        <w:spacing w:line="600" w:lineRule="exact"/>
        <w:jc w:val="left"/>
        <w:rPr>
          <w:rFonts w:ascii="仿宋_GB2312" w:eastAsia="仿宋_GB2312"/>
          <w:sz w:val="30"/>
          <w:szCs w:val="30"/>
        </w:rPr>
      </w:pPr>
      <w:r>
        <w:rPr>
          <w:rFonts w:ascii="仿宋_GB2312" w:eastAsia="仿宋_GB2312" w:hint="eastAsia"/>
          <w:sz w:val="30"/>
          <w:szCs w:val="30"/>
        </w:rPr>
        <w:t xml:space="preserve">    第三条 上市公司发行可转债，可以全部或者部分向原持有公司股票的股东（以下简称原股东）优先配售，优先配售比例应</w:t>
      </w:r>
      <w:r>
        <w:rPr>
          <w:rFonts w:ascii="仿宋_GB2312" w:eastAsia="仿宋_GB2312" w:hint="eastAsia"/>
          <w:sz w:val="30"/>
          <w:szCs w:val="30"/>
        </w:rPr>
        <w:lastRenderedPageBreak/>
        <w:t>当在发行方案中披露。</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原股东参与优先配售后，余额部分用于网上、网下申购。原股东除可参与优先配售外，也可参与优先配售后的余额申购。</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第四条 可转债发行方案中应明确承销方式，以及网上、网下有效申购不足发行总量部分的处理安排。</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第五条 可转债发行方案中应合</w:t>
      </w:r>
      <w:proofErr w:type="gramStart"/>
      <w:r>
        <w:rPr>
          <w:rFonts w:ascii="仿宋_GB2312" w:eastAsia="仿宋_GB2312" w:hint="eastAsia"/>
          <w:sz w:val="30"/>
          <w:szCs w:val="30"/>
        </w:rPr>
        <w:t>理确定</w:t>
      </w:r>
      <w:proofErr w:type="gramEnd"/>
      <w:r>
        <w:rPr>
          <w:rFonts w:ascii="仿宋_GB2312" w:eastAsia="仿宋_GB2312" w:hint="eastAsia"/>
          <w:sz w:val="30"/>
          <w:szCs w:val="30"/>
        </w:rPr>
        <w:t>并披露申购上限。网上申购最小单位为1手（1000元），申购数量应当为1手或1手的整数</w:t>
      </w:r>
      <w:proofErr w:type="gramStart"/>
      <w:r>
        <w:rPr>
          <w:rFonts w:ascii="仿宋_GB2312" w:eastAsia="仿宋_GB2312" w:hint="eastAsia"/>
          <w:sz w:val="30"/>
          <w:szCs w:val="30"/>
        </w:rPr>
        <w:t>倍</w:t>
      </w:r>
      <w:proofErr w:type="gramEnd"/>
      <w:r>
        <w:rPr>
          <w:rFonts w:ascii="仿宋_GB2312" w:eastAsia="仿宋_GB2312" w:hint="eastAsia"/>
          <w:sz w:val="30"/>
          <w:szCs w:val="30"/>
        </w:rPr>
        <w:t>，网上申购数量不得高于发行方案中确定的申购上限，如超过则该笔申购无效。</w:t>
      </w:r>
    </w:p>
    <w:p w:rsidR="00F64EBD" w:rsidRDefault="00F64EBD">
      <w:pPr>
        <w:spacing w:line="600" w:lineRule="exact"/>
        <w:ind w:firstLine="560"/>
        <w:rPr>
          <w:rFonts w:ascii="仿宋_GB2312" w:eastAsia="仿宋_GB2312"/>
          <w:sz w:val="30"/>
          <w:szCs w:val="30"/>
        </w:rPr>
      </w:pPr>
      <w:r>
        <w:rPr>
          <w:rFonts w:ascii="仿宋_GB2312" w:eastAsia="仿宋_GB2312" w:hint="eastAsia"/>
          <w:sz w:val="30"/>
          <w:szCs w:val="30"/>
        </w:rPr>
        <w:t>为保证申购的有序进行，本所可根据市场情况和技术系统承载能力对申购单位、最大申购数量、申购时间进行调整，并向市场公告。</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第六条 投资者参与可转债网上申购只能使用一个证券账户。同一投资者使用多个证券账户参与同一只可转债申购的，以及投资者使用同一证券账户多次参与同一只可转债申购的，以该投资者的第一笔申购为有效申购，其余申购均为无效申购。</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确认多个证券账户为同一投资者持有的原则为证券账户注册资料中的“账户持有人名称”“有效身份证明文件号码”均相同。</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第七条 不合格、休眠和注销的证券账户不得参与可转债的申购。</w:t>
      </w:r>
    </w:p>
    <w:p w:rsidR="00F64EBD" w:rsidRDefault="00F64EBD">
      <w:pPr>
        <w:spacing w:line="600" w:lineRule="exact"/>
        <w:ind w:firstLine="560"/>
        <w:rPr>
          <w:rFonts w:ascii="仿宋_GB2312" w:eastAsia="仿宋_GB2312"/>
          <w:sz w:val="30"/>
          <w:szCs w:val="30"/>
        </w:rPr>
      </w:pPr>
      <w:r>
        <w:rPr>
          <w:rFonts w:ascii="仿宋_GB2312" w:eastAsia="仿宋_GB2312" w:hint="eastAsia"/>
          <w:sz w:val="30"/>
          <w:szCs w:val="30"/>
        </w:rPr>
        <w:t>第八条 投资者可以使用所持上海市场证券账户在T日（T日为发行方案确定的网上申购日，下同）申购在本所发行的可转</w:t>
      </w:r>
      <w:r>
        <w:rPr>
          <w:rFonts w:ascii="仿宋_GB2312" w:eastAsia="仿宋_GB2312" w:hint="eastAsia"/>
          <w:sz w:val="30"/>
          <w:szCs w:val="30"/>
        </w:rPr>
        <w:lastRenderedPageBreak/>
        <w:t>债。申购时间为T日9:30-11:30、13:00-15:00。</w:t>
      </w:r>
    </w:p>
    <w:p w:rsidR="00F64EBD" w:rsidRDefault="00F64EBD">
      <w:pPr>
        <w:spacing w:line="600" w:lineRule="exact"/>
        <w:ind w:firstLine="560"/>
        <w:rPr>
          <w:rFonts w:ascii="仿宋_GB2312" w:eastAsia="仿宋_GB2312"/>
          <w:sz w:val="30"/>
          <w:szCs w:val="30"/>
        </w:rPr>
      </w:pPr>
      <w:r>
        <w:rPr>
          <w:rFonts w:ascii="仿宋_GB2312" w:eastAsia="仿宋_GB2312" w:hint="eastAsia"/>
          <w:sz w:val="30"/>
          <w:szCs w:val="30"/>
        </w:rPr>
        <w:t>第九条 申购时间内，投资者以发行价格填写网上申购的委托单。一经申报，不得撤单。申购配号根据实际有效申购进行，每一有效申购单位配一个号，对所有有效申购单位按时间顺序连续配号。</w:t>
      </w:r>
    </w:p>
    <w:p w:rsidR="00F64EBD" w:rsidRDefault="00F64EBD">
      <w:pPr>
        <w:spacing w:line="600" w:lineRule="exact"/>
        <w:ind w:firstLine="560"/>
        <w:rPr>
          <w:rFonts w:ascii="仿宋_GB2312" w:eastAsia="仿宋_GB2312"/>
          <w:sz w:val="30"/>
          <w:szCs w:val="30"/>
        </w:rPr>
      </w:pPr>
      <w:r>
        <w:rPr>
          <w:rFonts w:ascii="仿宋_GB2312" w:eastAsia="仿宋_GB2312" w:hint="eastAsia"/>
          <w:sz w:val="30"/>
          <w:szCs w:val="30"/>
        </w:rPr>
        <w:t>第十条 投资者在进行可转债网上申购时无需缴付申购资金。</w:t>
      </w:r>
    </w:p>
    <w:p w:rsidR="00F64EBD" w:rsidRDefault="00F64EBD">
      <w:pPr>
        <w:spacing w:line="600" w:lineRule="exact"/>
        <w:ind w:firstLine="560"/>
        <w:rPr>
          <w:rFonts w:ascii="仿宋_GB2312" w:eastAsia="仿宋_GB2312"/>
          <w:sz w:val="30"/>
          <w:szCs w:val="30"/>
        </w:rPr>
      </w:pPr>
      <w:r>
        <w:rPr>
          <w:rFonts w:ascii="仿宋_GB2312" w:eastAsia="仿宋_GB2312" w:hint="eastAsia"/>
          <w:sz w:val="30"/>
          <w:szCs w:val="30"/>
        </w:rPr>
        <w:t>原股东参与优先配售的部分，应当在T日申购时缴付足额资金。原股东参与优先配售后的余额网上申购部分无需缴付申购资金。</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第十一条 参与网上申购的投资者应自主表达申购意向，证券公司不得接受投资者的全权委托代其进行申购。</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对于参与网上申购的投资者，证券公司在中签认购资金交收日前（含T+3日），不得为其申报撤销指定交易以及注销相应证券账户。</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第十二条 主承销商根据有效申购总量和回拨后的网上发行数量确定中签率，并根据总配号量和中签</w:t>
      </w:r>
      <w:proofErr w:type="gramStart"/>
      <w:r>
        <w:rPr>
          <w:rFonts w:ascii="仿宋_GB2312" w:eastAsia="仿宋_GB2312" w:hint="eastAsia"/>
          <w:sz w:val="30"/>
          <w:szCs w:val="30"/>
        </w:rPr>
        <w:t>率组织</w:t>
      </w:r>
      <w:proofErr w:type="gramEnd"/>
      <w:r>
        <w:rPr>
          <w:rFonts w:ascii="仿宋_GB2312" w:eastAsia="仿宋_GB2312" w:hint="eastAsia"/>
          <w:sz w:val="30"/>
          <w:szCs w:val="30"/>
        </w:rPr>
        <w:t>摇号抽签，公布中签结果。</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第十三条 投资者申购可转债中签后，应根据中国证券登记结算有限责任公司（以下简称中国结算）上海分公司的规定，确保其资金账户在T+2日日终有足额认购资金。投资者认购资金不足的，不足部分视为放弃认购，由此产生的后果及相关法律责任，由投资者自行承担。</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投资者放弃认购及中国结算上海分公司做无效认购处理的</w:t>
      </w:r>
      <w:r>
        <w:rPr>
          <w:rFonts w:ascii="仿宋_GB2312" w:eastAsia="仿宋_GB2312" w:hint="eastAsia"/>
          <w:sz w:val="30"/>
          <w:szCs w:val="30"/>
        </w:rPr>
        <w:lastRenderedPageBreak/>
        <w:t>可转债，按发行方案确定的方式处理。</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第十四条 投资者连续12个月内累计出现3次</w:t>
      </w:r>
      <w:proofErr w:type="gramStart"/>
      <w:r>
        <w:rPr>
          <w:rFonts w:ascii="仿宋_GB2312" w:eastAsia="仿宋_GB2312" w:hint="eastAsia"/>
          <w:sz w:val="30"/>
          <w:szCs w:val="30"/>
        </w:rPr>
        <w:t>中签但</w:t>
      </w:r>
      <w:proofErr w:type="gramEnd"/>
      <w:r>
        <w:rPr>
          <w:rFonts w:ascii="仿宋_GB2312" w:eastAsia="仿宋_GB2312" w:hint="eastAsia"/>
          <w:sz w:val="30"/>
          <w:szCs w:val="30"/>
        </w:rPr>
        <w:t>未足额缴款的情形时，自中国结算上海分公司</w:t>
      </w:r>
      <w:proofErr w:type="gramStart"/>
      <w:r>
        <w:rPr>
          <w:rFonts w:ascii="仿宋_GB2312" w:eastAsia="仿宋_GB2312" w:hint="eastAsia"/>
          <w:sz w:val="30"/>
          <w:szCs w:val="30"/>
        </w:rPr>
        <w:t>收到弃购申报</w:t>
      </w:r>
      <w:proofErr w:type="gramEnd"/>
      <w:r>
        <w:rPr>
          <w:rFonts w:ascii="仿宋_GB2312" w:eastAsia="仿宋_GB2312" w:hint="eastAsia"/>
          <w:sz w:val="30"/>
          <w:szCs w:val="30"/>
        </w:rPr>
        <w:t>的次日起6个月（按180个自然日计算，含次日）内不得参与新股、可转债、可交换债的申购。</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本所根据中国结算上海分公司提供的不得参与新股、可转债和可交换债申购的投资者名单，在申购后、配号前对相应申购做无效处理。</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放弃认购情形以投资者为单位进行判断，即投资者持有多个证券账户的，其名下任何一个证券账户（含不合格、注销证券账户）发生放弃认购情形的，均纳入该投资者放弃认购次数。</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证券公司客户定向资产管理专用账户以及企业年金账户，证券账户注册资料中“账户持有人名称”相同且“有效身份证明文件号码”相同的，按不同投资者进行统计。</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放弃认购的次数按照投资者实际放弃认购新股、可转债与可交换债的次数合并计算。</w:t>
      </w:r>
    </w:p>
    <w:p w:rsidR="00F64EBD" w:rsidRDefault="00F64EBD">
      <w:pPr>
        <w:spacing w:line="600" w:lineRule="exact"/>
        <w:jc w:val="center"/>
        <w:rPr>
          <w:rFonts w:ascii="黑体" w:eastAsia="黑体"/>
          <w:b/>
          <w:sz w:val="30"/>
          <w:szCs w:val="30"/>
        </w:rPr>
      </w:pPr>
      <w:r>
        <w:rPr>
          <w:rFonts w:ascii="黑体" w:eastAsia="黑体" w:hint="eastAsia"/>
          <w:b/>
          <w:sz w:val="30"/>
          <w:szCs w:val="30"/>
        </w:rPr>
        <w:t>第三章 业务流程</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第十五条 T日，申购可转债的投资者，以及参与可转债优先配售的原股东，可以通过其指定交易的证券公司在申购时间内进行申购委托。</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本所于T日确定网上投资者的有效申购数量，盘后向证券公司发送配号结果数据，各证券公司营业部应于T日向投资者发布配号结果。</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第十六条 T日投资者有效申购数量与网上、网下配售</w:t>
      </w:r>
      <w:proofErr w:type="gramStart"/>
      <w:r>
        <w:rPr>
          <w:rFonts w:ascii="仿宋_GB2312" w:eastAsia="仿宋_GB2312" w:hint="eastAsia"/>
          <w:sz w:val="30"/>
          <w:szCs w:val="30"/>
        </w:rPr>
        <w:t>额确定</w:t>
      </w:r>
      <w:proofErr w:type="gramEnd"/>
      <w:r>
        <w:rPr>
          <w:rFonts w:ascii="仿宋_GB2312" w:eastAsia="仿宋_GB2312" w:hint="eastAsia"/>
          <w:sz w:val="30"/>
          <w:szCs w:val="30"/>
        </w:rPr>
        <w:t>后，按照以下原则配售可转债：</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（一）当网上申购总量等于网上发行总量时，按投资者的实际申购量配售；</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（二）当网上申购总量小于网上发行总量时，按投资者的实际申购量配售后，余额部分按照可转债募集说明书与发行方案确定的方式处理；</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（三）当网上申购总量大于网上发行总量时，按投资者摇号中签结果确定配售数量。</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第十七条 T+1日，发行人与主承销商公布申购中签率，并在网上有效申购总量大于网上发行总量时，在公证部门监督下根据总配号量和中签</w:t>
      </w:r>
      <w:proofErr w:type="gramStart"/>
      <w:r>
        <w:rPr>
          <w:rFonts w:ascii="仿宋_GB2312" w:eastAsia="仿宋_GB2312" w:hint="eastAsia"/>
          <w:sz w:val="30"/>
          <w:szCs w:val="30"/>
        </w:rPr>
        <w:t>率组织</w:t>
      </w:r>
      <w:proofErr w:type="gramEnd"/>
      <w:r>
        <w:rPr>
          <w:rFonts w:ascii="仿宋_GB2312" w:eastAsia="仿宋_GB2312" w:hint="eastAsia"/>
          <w:sz w:val="30"/>
          <w:szCs w:val="30"/>
        </w:rPr>
        <w:t>摇号抽签，每个中签号可以申购1手可转债。</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本所将于T+1日盘后向证券公司发送中签结果数据，各证券公司营业部应于T+1日向投资者通知中签结果。</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第十八条 T+2日，发行人与主承销商公布中签结果，投资者应根据中签结果准备认购资金。T+2日日终，中签的投资者应确保其资金账户有足额的认购资金，不足部分视为放弃认购。</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第十九条 T+3日，网上申购投资者完成申购交收。</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第二十条 发行人与主承销商于T+4日向市场公布发行结果。</w:t>
      </w:r>
    </w:p>
    <w:p w:rsidR="00F64EBD" w:rsidRDefault="00F64EBD">
      <w:pPr>
        <w:spacing w:line="600" w:lineRule="exact"/>
        <w:ind w:firstLine="570"/>
        <w:rPr>
          <w:rFonts w:ascii="仿宋_GB2312" w:eastAsia="仿宋_GB2312"/>
          <w:sz w:val="30"/>
          <w:szCs w:val="30"/>
        </w:rPr>
      </w:pPr>
      <w:r>
        <w:rPr>
          <w:rFonts w:ascii="仿宋_GB2312" w:eastAsia="仿宋_GB2312" w:hint="eastAsia"/>
          <w:sz w:val="30"/>
          <w:szCs w:val="30"/>
        </w:rPr>
        <w:t>T+4日8：30后，主承销商可依据承销协议将可转债认购资金扣除承销费用后划转到发行人指定的银行账户。</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第二十一条 对于主承销商根据发行方案采取余额包销的可</w:t>
      </w:r>
      <w:r>
        <w:rPr>
          <w:rFonts w:ascii="仿宋_GB2312" w:eastAsia="仿宋_GB2312" w:hint="eastAsia"/>
          <w:sz w:val="30"/>
          <w:szCs w:val="30"/>
        </w:rPr>
        <w:lastRenderedPageBreak/>
        <w:t>转债，网上发行结束后，主承销商自行与发行人完成相关资金的划付，并由发行人根据中国结算上海分公司的规定提交可转</w:t>
      </w:r>
      <w:proofErr w:type="gramStart"/>
      <w:r>
        <w:rPr>
          <w:rFonts w:ascii="仿宋_GB2312" w:eastAsia="仿宋_GB2312" w:hint="eastAsia"/>
          <w:sz w:val="30"/>
          <w:szCs w:val="30"/>
        </w:rPr>
        <w:t>债登记</w:t>
      </w:r>
      <w:proofErr w:type="gramEnd"/>
      <w:r>
        <w:rPr>
          <w:rFonts w:ascii="仿宋_GB2312" w:eastAsia="仿宋_GB2312" w:hint="eastAsia"/>
          <w:sz w:val="30"/>
          <w:szCs w:val="30"/>
        </w:rPr>
        <w:t>申请。</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第二十二条 可转债中止发行的资金退回和证券注销，按照中国结算上海分公司的业务规则办理。</w:t>
      </w:r>
    </w:p>
    <w:p w:rsidR="00F64EBD" w:rsidRDefault="00F64EBD">
      <w:pPr>
        <w:spacing w:line="600" w:lineRule="exact"/>
        <w:jc w:val="center"/>
        <w:rPr>
          <w:rFonts w:ascii="黑体" w:eastAsia="黑体"/>
          <w:b/>
          <w:sz w:val="30"/>
          <w:szCs w:val="30"/>
        </w:rPr>
      </w:pPr>
      <w:r>
        <w:rPr>
          <w:rFonts w:ascii="黑体" w:eastAsia="黑体" w:hint="eastAsia"/>
          <w:b/>
          <w:sz w:val="30"/>
          <w:szCs w:val="30"/>
        </w:rPr>
        <w:t>第四章 网上发行与网下发行的衔接</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第二十三条 机构投资者可以参与主承销商自行组织的网下申购，具体条件、程序应在可转债募集说明书与发行方案中确定并披露。</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对于网下投资者，承销商可向网下单一申购账户收取不超过50万元的申购保证金，并在发行方案中明确网下投资者违约时申购保证金的处理方式。</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可转债网下申购日与网上申购日相同，为发行方案确定的T日。</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可交换债网下申购首日与网上申购日相同，为发行方案确定的T日，网下发行天数由募集说明书具体规定。</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第二十四条 可转债发行人和主承销商可以根据网上、网下实际申购情况，按照网上发行中签率和网下配售比例趋于一致的原则确定最终的网上和网下发行数量。</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可交换债发行人和主承销商可以根据网上、网下实际申购情况，按照募集说明书约定的方式确定最终的网上和网下发行数量。</w:t>
      </w:r>
    </w:p>
    <w:p w:rsidR="00F64EBD" w:rsidRDefault="00F64EBD">
      <w:pPr>
        <w:spacing w:line="600" w:lineRule="exact"/>
        <w:ind w:firstLine="550"/>
        <w:rPr>
          <w:rFonts w:ascii="仿宋_GB2312" w:eastAsia="仿宋_GB2312"/>
          <w:sz w:val="30"/>
          <w:szCs w:val="30"/>
        </w:rPr>
      </w:pPr>
      <w:r>
        <w:rPr>
          <w:rFonts w:ascii="仿宋_GB2312" w:eastAsia="仿宋_GB2312" w:hint="eastAsia"/>
          <w:sz w:val="30"/>
          <w:szCs w:val="30"/>
        </w:rPr>
        <w:t>发行人和主承销商应在T日盘后，将网上发行与网下发行的可转</w:t>
      </w:r>
      <w:proofErr w:type="gramStart"/>
      <w:r>
        <w:rPr>
          <w:rFonts w:ascii="仿宋_GB2312" w:eastAsia="仿宋_GB2312" w:hint="eastAsia"/>
          <w:sz w:val="30"/>
          <w:szCs w:val="30"/>
        </w:rPr>
        <w:t>债数量</w:t>
      </w:r>
      <w:proofErr w:type="gramEnd"/>
      <w:r>
        <w:rPr>
          <w:rFonts w:ascii="仿宋_GB2312" w:eastAsia="仿宋_GB2312" w:hint="eastAsia"/>
          <w:sz w:val="30"/>
          <w:szCs w:val="30"/>
        </w:rPr>
        <w:t>通知本所。</w:t>
      </w:r>
    </w:p>
    <w:p w:rsidR="00F64EBD" w:rsidRDefault="00F64EBD">
      <w:pPr>
        <w:spacing w:line="600" w:lineRule="exact"/>
        <w:jc w:val="center"/>
        <w:rPr>
          <w:rFonts w:ascii="黑体" w:eastAsia="黑体"/>
          <w:b/>
          <w:sz w:val="30"/>
          <w:szCs w:val="30"/>
        </w:rPr>
      </w:pPr>
      <w:r>
        <w:rPr>
          <w:rFonts w:ascii="黑体" w:eastAsia="黑体" w:hint="eastAsia"/>
          <w:b/>
          <w:sz w:val="30"/>
          <w:szCs w:val="30"/>
        </w:rPr>
        <w:lastRenderedPageBreak/>
        <w:t>第五章 附则</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第二十五条 投资者应根据中国结算相关规定管理其证券账户。</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因使用多个证券账户申购同一只可转债，以同一证券账户多次申购同一只可转债，或者因申购量超过申购限额，导致相关申购无效的，由投资者自行承担相关责任。</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第二十六条 投资者因违反第十四条规定导致其网上申购无效的，由投资者自行承担相关后果与责任。</w:t>
      </w:r>
    </w:p>
    <w:p w:rsidR="00F64EBD" w:rsidRDefault="00F64EBD">
      <w:pPr>
        <w:spacing w:line="600" w:lineRule="exact"/>
        <w:ind w:firstLineChars="200" w:firstLine="600"/>
        <w:rPr>
          <w:rFonts w:ascii="仿宋_GB2312" w:eastAsia="仿宋_GB2312"/>
          <w:sz w:val="30"/>
          <w:szCs w:val="30"/>
        </w:rPr>
      </w:pPr>
      <w:r>
        <w:rPr>
          <w:rFonts w:ascii="仿宋_GB2312" w:eastAsia="仿宋_GB2312" w:hint="eastAsia"/>
          <w:sz w:val="30"/>
          <w:szCs w:val="30"/>
        </w:rPr>
        <w:t>第二十七条 证券公司因违反第十一条规定接受投资者全权委托代其进行可转债申购的，由证券公司承担相关责任。</w:t>
      </w:r>
    </w:p>
    <w:p w:rsidR="00F64EBD" w:rsidRDefault="00F64EBD">
      <w:pPr>
        <w:spacing w:line="600" w:lineRule="exact"/>
        <w:ind w:firstLine="555"/>
        <w:rPr>
          <w:rFonts w:ascii="仿宋_GB2312" w:eastAsia="仿宋_GB2312"/>
          <w:sz w:val="30"/>
          <w:szCs w:val="30"/>
        </w:rPr>
      </w:pPr>
      <w:r>
        <w:rPr>
          <w:rFonts w:ascii="仿宋_GB2312" w:eastAsia="仿宋_GB2312" w:hint="eastAsia"/>
          <w:sz w:val="30"/>
          <w:szCs w:val="30"/>
        </w:rPr>
        <w:t>证券公司违反本细则的，本所可按照《上海证券交易所会员管理规则》等规定，采取相应的监管措施或纪律处分。</w:t>
      </w:r>
    </w:p>
    <w:p w:rsidR="00F64EBD" w:rsidRDefault="00F64EBD">
      <w:pPr>
        <w:spacing w:line="600" w:lineRule="exact"/>
        <w:ind w:firstLine="555"/>
        <w:rPr>
          <w:rFonts w:ascii="仿宋_GB2312" w:eastAsia="仿宋_GB2312"/>
          <w:sz w:val="30"/>
          <w:szCs w:val="30"/>
        </w:rPr>
      </w:pPr>
      <w:r>
        <w:rPr>
          <w:rFonts w:ascii="仿宋_GB2312" w:eastAsia="仿宋_GB2312" w:hint="eastAsia"/>
          <w:sz w:val="30"/>
          <w:szCs w:val="30"/>
        </w:rPr>
        <w:t>第二十八条 可转债发行中涉及的登记结算业务按照中国结算上海分公司的相关业务规则办理。</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第二十九条 本细则由本所负责解释。</w:t>
      </w:r>
    </w:p>
    <w:p w:rsidR="00F64EBD" w:rsidRDefault="00F64EBD">
      <w:pPr>
        <w:spacing w:line="600" w:lineRule="exact"/>
        <w:rPr>
          <w:rFonts w:ascii="仿宋_GB2312" w:eastAsia="仿宋_GB2312"/>
          <w:sz w:val="30"/>
          <w:szCs w:val="30"/>
        </w:rPr>
      </w:pPr>
      <w:r>
        <w:rPr>
          <w:rFonts w:ascii="仿宋_GB2312" w:eastAsia="仿宋_GB2312" w:hint="eastAsia"/>
          <w:sz w:val="30"/>
          <w:szCs w:val="30"/>
        </w:rPr>
        <w:t xml:space="preserve">　　第三十条 本细则自发布之日起施行。本所此前发布的涉及可转债发行的相关规定与本细则不一致的，以本细则为准。</w:t>
      </w:r>
    </w:p>
    <w:p w:rsidR="00F64EBD" w:rsidRDefault="00F64EBD">
      <w:pPr>
        <w:spacing w:line="600" w:lineRule="exact"/>
        <w:rPr>
          <w:rFonts w:ascii="仿宋_GB2312" w:eastAsia="仿宋_GB2312"/>
          <w:bCs/>
          <w:color w:val="000000"/>
          <w:sz w:val="28"/>
          <w:szCs w:val="28"/>
        </w:rPr>
      </w:pPr>
    </w:p>
    <w:sectPr w:rsidR="00F64EBD" w:rsidSect="00C062EC">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80E" w:rsidRDefault="0077580E">
      <w:r>
        <w:separator/>
      </w:r>
    </w:p>
  </w:endnote>
  <w:endnote w:type="continuationSeparator" w:id="1">
    <w:p w:rsidR="0077580E" w:rsidRDefault="0077580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中等线简">
    <w:altName w:val="Arial Unicode MS"/>
    <w:charset w:val="86"/>
    <w:family w:val="modern"/>
    <w:pitch w:val="default"/>
    <w:sig w:usb0="00000001" w:usb1="080E0800" w:usb2="00000012" w:usb3="00000000" w:csb0="0004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D" w:rsidRDefault="00F64EBD">
    <w:pPr>
      <w:pStyle w:val="a9"/>
      <w:framePr w:wrap="around" w:vAnchor="text" w:hAnchor="margin" w:xAlign="center" w:y="1"/>
      <w:rPr>
        <w:rStyle w:val="a7"/>
      </w:rPr>
    </w:pPr>
  </w:p>
  <w:p w:rsidR="00F64EBD" w:rsidRDefault="00F64EBD">
    <w:pPr>
      <w:pStyle w:val="a9"/>
    </w:pPr>
    <w:r>
      <w:rPr>
        <w:rFonts w:ascii="仿宋_GB2312" w:eastAsia="仿宋_GB2312" w:hint="eastAsia"/>
        <w:bCs/>
        <w:sz w:val="28"/>
      </w:rPr>
      <w:t>－</w:t>
    </w:r>
    <w:r w:rsidR="00C062EC">
      <w:rPr>
        <w:sz w:val="28"/>
      </w:rPr>
      <w:fldChar w:fldCharType="begin"/>
    </w:r>
    <w:r>
      <w:rPr>
        <w:sz w:val="28"/>
      </w:rPr>
      <w:instrText xml:space="preserve"> PAGE </w:instrText>
    </w:r>
    <w:r w:rsidR="00C062EC">
      <w:rPr>
        <w:sz w:val="28"/>
      </w:rPr>
      <w:fldChar w:fldCharType="separate"/>
    </w:r>
    <w:r w:rsidR="0058320F">
      <w:rPr>
        <w:noProof/>
        <w:sz w:val="28"/>
      </w:rPr>
      <w:t>6</w:t>
    </w:r>
    <w:r w:rsidR="00C062EC">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D" w:rsidRDefault="00F64EBD">
    <w:pPr>
      <w:pStyle w:val="a9"/>
      <w:framePr w:wrap="around" w:vAnchor="text" w:hAnchor="margin" w:xAlign="center" w:y="1"/>
      <w:jc w:val="center"/>
      <w:rPr>
        <w:rStyle w:val="a7"/>
      </w:rPr>
    </w:pPr>
  </w:p>
  <w:p w:rsidR="00F64EBD" w:rsidRDefault="00F64EBD">
    <w:pPr>
      <w:pStyle w:val="a9"/>
      <w:jc w:val="right"/>
    </w:pPr>
    <w:r>
      <w:rPr>
        <w:rFonts w:ascii="仿宋_GB2312" w:eastAsia="仿宋_GB2312" w:hint="eastAsia"/>
        <w:bCs/>
        <w:sz w:val="28"/>
      </w:rPr>
      <w:t>－</w:t>
    </w:r>
    <w:r w:rsidR="00C062EC">
      <w:rPr>
        <w:sz w:val="28"/>
      </w:rPr>
      <w:fldChar w:fldCharType="begin"/>
    </w:r>
    <w:r>
      <w:rPr>
        <w:sz w:val="28"/>
      </w:rPr>
      <w:instrText xml:space="preserve"> PAGE </w:instrText>
    </w:r>
    <w:r w:rsidR="00C062EC">
      <w:rPr>
        <w:sz w:val="28"/>
      </w:rPr>
      <w:fldChar w:fldCharType="separate"/>
    </w:r>
    <w:r w:rsidR="0058320F">
      <w:rPr>
        <w:noProof/>
        <w:sz w:val="28"/>
      </w:rPr>
      <w:t>1</w:t>
    </w:r>
    <w:r w:rsidR="00C062EC">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80E" w:rsidRDefault="0077580E">
      <w:r>
        <w:separator/>
      </w:r>
    </w:p>
  </w:footnote>
  <w:footnote w:type="continuationSeparator" w:id="1">
    <w:p w:rsidR="0077580E" w:rsidRDefault="00775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656DE"/>
    <w:multiLevelType w:val="multilevel"/>
    <w:tmpl w:val="5EA656DE"/>
    <w:lvl w:ilvl="0">
      <w:start w:val="1"/>
      <w:numFmt w:val="japaneseCounting"/>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rPr>
    </w:lvl>
    <w:lvl w:ilvl="2">
      <w:start w:val="1"/>
      <w:numFmt w:val="decimal"/>
      <w:lvlText w:val="%3."/>
      <w:lvlJc w:val="left"/>
      <w:pPr>
        <w:tabs>
          <w:tab w:val="num" w:pos="3595"/>
        </w:tabs>
        <w:ind w:left="3595" w:hanging="360"/>
      </w:pPr>
      <w:rPr>
        <w:rFonts w:cs="Times New Roman"/>
      </w:rPr>
    </w:lvl>
    <w:lvl w:ilvl="3">
      <w:start w:val="1"/>
      <w:numFmt w:val="decimal"/>
      <w:lvlText w:val="%4."/>
      <w:lvlJc w:val="left"/>
      <w:pPr>
        <w:tabs>
          <w:tab w:val="num" w:pos="4315"/>
        </w:tabs>
        <w:ind w:left="4315" w:hanging="360"/>
      </w:pPr>
      <w:rPr>
        <w:rFonts w:cs="Times New Roman"/>
      </w:rPr>
    </w:lvl>
    <w:lvl w:ilvl="4">
      <w:start w:val="1"/>
      <w:numFmt w:val="decimal"/>
      <w:lvlText w:val="%5."/>
      <w:lvlJc w:val="left"/>
      <w:pPr>
        <w:tabs>
          <w:tab w:val="num" w:pos="5035"/>
        </w:tabs>
        <w:ind w:left="5035" w:hanging="360"/>
      </w:pPr>
      <w:rPr>
        <w:rFonts w:cs="Times New Roman"/>
      </w:rPr>
    </w:lvl>
    <w:lvl w:ilvl="5">
      <w:start w:val="1"/>
      <w:numFmt w:val="decimal"/>
      <w:lvlText w:val="%6."/>
      <w:lvlJc w:val="left"/>
      <w:pPr>
        <w:tabs>
          <w:tab w:val="num" w:pos="5755"/>
        </w:tabs>
        <w:ind w:left="5755" w:hanging="360"/>
      </w:pPr>
      <w:rPr>
        <w:rFonts w:cs="Times New Roman"/>
      </w:rPr>
    </w:lvl>
    <w:lvl w:ilvl="6">
      <w:start w:val="1"/>
      <w:numFmt w:val="decimal"/>
      <w:lvlText w:val="%7."/>
      <w:lvlJc w:val="left"/>
      <w:pPr>
        <w:tabs>
          <w:tab w:val="num" w:pos="6475"/>
        </w:tabs>
        <w:ind w:left="6475" w:hanging="360"/>
      </w:pPr>
      <w:rPr>
        <w:rFonts w:cs="Times New Roman"/>
      </w:rPr>
    </w:lvl>
    <w:lvl w:ilvl="7">
      <w:start w:val="1"/>
      <w:numFmt w:val="decimal"/>
      <w:lvlText w:val="%8."/>
      <w:lvlJc w:val="left"/>
      <w:pPr>
        <w:tabs>
          <w:tab w:val="num" w:pos="7195"/>
        </w:tabs>
        <w:ind w:left="7195" w:hanging="360"/>
      </w:pPr>
      <w:rPr>
        <w:rFonts w:cs="Times New Roman"/>
      </w:rPr>
    </w:lvl>
    <w:lvl w:ilvl="8">
      <w:start w:val="1"/>
      <w:numFmt w:val="decimal"/>
      <w:lvlText w:val="%9."/>
      <w:lvlJc w:val="left"/>
      <w:pPr>
        <w:tabs>
          <w:tab w:val="num" w:pos="7915"/>
        </w:tabs>
        <w:ind w:left="7915"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27312"/>
    <w:rsid w:val="00030A3E"/>
    <w:rsid w:val="00034D02"/>
    <w:rsid w:val="00040EBC"/>
    <w:rsid w:val="00042926"/>
    <w:rsid w:val="000432C6"/>
    <w:rsid w:val="00044E84"/>
    <w:rsid w:val="00045B5A"/>
    <w:rsid w:val="0004624B"/>
    <w:rsid w:val="00055B23"/>
    <w:rsid w:val="00055D8A"/>
    <w:rsid w:val="0006008F"/>
    <w:rsid w:val="00065822"/>
    <w:rsid w:val="00067FF1"/>
    <w:rsid w:val="000715CD"/>
    <w:rsid w:val="00075702"/>
    <w:rsid w:val="0007649E"/>
    <w:rsid w:val="00076F96"/>
    <w:rsid w:val="00081A53"/>
    <w:rsid w:val="000825BD"/>
    <w:rsid w:val="0008558C"/>
    <w:rsid w:val="00092467"/>
    <w:rsid w:val="000926AA"/>
    <w:rsid w:val="00094F31"/>
    <w:rsid w:val="000A36F5"/>
    <w:rsid w:val="000A4874"/>
    <w:rsid w:val="000A5CA0"/>
    <w:rsid w:val="000A78EC"/>
    <w:rsid w:val="000B1C87"/>
    <w:rsid w:val="000B2003"/>
    <w:rsid w:val="000C7891"/>
    <w:rsid w:val="000D44B4"/>
    <w:rsid w:val="000E0F35"/>
    <w:rsid w:val="000E1D7A"/>
    <w:rsid w:val="000E28C6"/>
    <w:rsid w:val="000E3BF1"/>
    <w:rsid w:val="000E7A26"/>
    <w:rsid w:val="000F1729"/>
    <w:rsid w:val="000F3A20"/>
    <w:rsid w:val="000F3DDE"/>
    <w:rsid w:val="00103077"/>
    <w:rsid w:val="00104481"/>
    <w:rsid w:val="00106537"/>
    <w:rsid w:val="001158CB"/>
    <w:rsid w:val="001165B1"/>
    <w:rsid w:val="0011790D"/>
    <w:rsid w:val="00121D8C"/>
    <w:rsid w:val="00126898"/>
    <w:rsid w:val="00127BB8"/>
    <w:rsid w:val="0013265E"/>
    <w:rsid w:val="00132F87"/>
    <w:rsid w:val="00135676"/>
    <w:rsid w:val="00136E1D"/>
    <w:rsid w:val="00136EB9"/>
    <w:rsid w:val="00141E0E"/>
    <w:rsid w:val="00143741"/>
    <w:rsid w:val="0014571F"/>
    <w:rsid w:val="00146288"/>
    <w:rsid w:val="00156E9B"/>
    <w:rsid w:val="00157110"/>
    <w:rsid w:val="00157210"/>
    <w:rsid w:val="0016249D"/>
    <w:rsid w:val="00163F0D"/>
    <w:rsid w:val="00165363"/>
    <w:rsid w:val="001675AF"/>
    <w:rsid w:val="001776E8"/>
    <w:rsid w:val="001916AE"/>
    <w:rsid w:val="00191A1F"/>
    <w:rsid w:val="0019316F"/>
    <w:rsid w:val="00195F7F"/>
    <w:rsid w:val="00197495"/>
    <w:rsid w:val="00197504"/>
    <w:rsid w:val="001A27B8"/>
    <w:rsid w:val="001A306E"/>
    <w:rsid w:val="001A4038"/>
    <w:rsid w:val="001B0E13"/>
    <w:rsid w:val="001B2E0F"/>
    <w:rsid w:val="001B412F"/>
    <w:rsid w:val="001C0319"/>
    <w:rsid w:val="001C078A"/>
    <w:rsid w:val="001C248C"/>
    <w:rsid w:val="001C3676"/>
    <w:rsid w:val="001C5A32"/>
    <w:rsid w:val="001D29C8"/>
    <w:rsid w:val="001D41A9"/>
    <w:rsid w:val="001D5CF2"/>
    <w:rsid w:val="001D6B24"/>
    <w:rsid w:val="001D71C5"/>
    <w:rsid w:val="001D7ADD"/>
    <w:rsid w:val="001E2BC7"/>
    <w:rsid w:val="001E52DC"/>
    <w:rsid w:val="001E53A2"/>
    <w:rsid w:val="001E58B3"/>
    <w:rsid w:val="001E594A"/>
    <w:rsid w:val="001F1E93"/>
    <w:rsid w:val="001F31C1"/>
    <w:rsid w:val="001F658F"/>
    <w:rsid w:val="001F6A6E"/>
    <w:rsid w:val="00201124"/>
    <w:rsid w:val="00207266"/>
    <w:rsid w:val="00210AB6"/>
    <w:rsid w:val="00211106"/>
    <w:rsid w:val="0021196D"/>
    <w:rsid w:val="00212492"/>
    <w:rsid w:val="00217D52"/>
    <w:rsid w:val="0022256E"/>
    <w:rsid w:val="0022274E"/>
    <w:rsid w:val="00222DC0"/>
    <w:rsid w:val="00227A2C"/>
    <w:rsid w:val="00230603"/>
    <w:rsid w:val="00230694"/>
    <w:rsid w:val="00232F16"/>
    <w:rsid w:val="00233149"/>
    <w:rsid w:val="00234A4F"/>
    <w:rsid w:val="00243E11"/>
    <w:rsid w:val="002441E9"/>
    <w:rsid w:val="00244718"/>
    <w:rsid w:val="00247A8F"/>
    <w:rsid w:val="002549B0"/>
    <w:rsid w:val="00260879"/>
    <w:rsid w:val="002618E8"/>
    <w:rsid w:val="0026217A"/>
    <w:rsid w:val="002635C2"/>
    <w:rsid w:val="002649A0"/>
    <w:rsid w:val="002679E4"/>
    <w:rsid w:val="00267B6F"/>
    <w:rsid w:val="00267D17"/>
    <w:rsid w:val="00270D15"/>
    <w:rsid w:val="0027122D"/>
    <w:rsid w:val="00271DEA"/>
    <w:rsid w:val="002720BB"/>
    <w:rsid w:val="00275FED"/>
    <w:rsid w:val="00277FFE"/>
    <w:rsid w:val="0028470E"/>
    <w:rsid w:val="002948E6"/>
    <w:rsid w:val="00294A2C"/>
    <w:rsid w:val="00295204"/>
    <w:rsid w:val="002A028B"/>
    <w:rsid w:val="002A0A0B"/>
    <w:rsid w:val="002A0FC5"/>
    <w:rsid w:val="002A239C"/>
    <w:rsid w:val="002A38C3"/>
    <w:rsid w:val="002A7D56"/>
    <w:rsid w:val="002B34E9"/>
    <w:rsid w:val="002D247D"/>
    <w:rsid w:val="002D5D60"/>
    <w:rsid w:val="002E2810"/>
    <w:rsid w:val="002E4D4C"/>
    <w:rsid w:val="002F3D59"/>
    <w:rsid w:val="00301B8F"/>
    <w:rsid w:val="0030332C"/>
    <w:rsid w:val="00304446"/>
    <w:rsid w:val="00304524"/>
    <w:rsid w:val="00304AB8"/>
    <w:rsid w:val="00306F9F"/>
    <w:rsid w:val="003103D2"/>
    <w:rsid w:val="003128D1"/>
    <w:rsid w:val="0031389B"/>
    <w:rsid w:val="00315A37"/>
    <w:rsid w:val="00320E81"/>
    <w:rsid w:val="00323793"/>
    <w:rsid w:val="00327E4E"/>
    <w:rsid w:val="003369A0"/>
    <w:rsid w:val="00343987"/>
    <w:rsid w:val="0034460D"/>
    <w:rsid w:val="0035204B"/>
    <w:rsid w:val="00353011"/>
    <w:rsid w:val="00353B18"/>
    <w:rsid w:val="00353F36"/>
    <w:rsid w:val="003544A4"/>
    <w:rsid w:val="00355B57"/>
    <w:rsid w:val="00355FAB"/>
    <w:rsid w:val="003561F6"/>
    <w:rsid w:val="003642F6"/>
    <w:rsid w:val="00365389"/>
    <w:rsid w:val="003674EB"/>
    <w:rsid w:val="00370147"/>
    <w:rsid w:val="003721BA"/>
    <w:rsid w:val="0037348E"/>
    <w:rsid w:val="00373B90"/>
    <w:rsid w:val="003844D8"/>
    <w:rsid w:val="0038722F"/>
    <w:rsid w:val="00387B66"/>
    <w:rsid w:val="003935C7"/>
    <w:rsid w:val="00393AC8"/>
    <w:rsid w:val="00397420"/>
    <w:rsid w:val="003A4275"/>
    <w:rsid w:val="003A46E9"/>
    <w:rsid w:val="003A4957"/>
    <w:rsid w:val="003A5630"/>
    <w:rsid w:val="003B1ED9"/>
    <w:rsid w:val="003B2F8E"/>
    <w:rsid w:val="003B787B"/>
    <w:rsid w:val="003B7D3A"/>
    <w:rsid w:val="003C293C"/>
    <w:rsid w:val="003C37A4"/>
    <w:rsid w:val="003C37A5"/>
    <w:rsid w:val="003C7171"/>
    <w:rsid w:val="003D24C9"/>
    <w:rsid w:val="003D3027"/>
    <w:rsid w:val="003D5445"/>
    <w:rsid w:val="003D73C7"/>
    <w:rsid w:val="003E75F6"/>
    <w:rsid w:val="004002B0"/>
    <w:rsid w:val="004050CB"/>
    <w:rsid w:val="0040559C"/>
    <w:rsid w:val="00412C9B"/>
    <w:rsid w:val="004235D3"/>
    <w:rsid w:val="0042579A"/>
    <w:rsid w:val="00425B16"/>
    <w:rsid w:val="0042799E"/>
    <w:rsid w:val="004318A5"/>
    <w:rsid w:val="00433194"/>
    <w:rsid w:val="004347DB"/>
    <w:rsid w:val="0043610F"/>
    <w:rsid w:val="00440411"/>
    <w:rsid w:val="004473CB"/>
    <w:rsid w:val="00450748"/>
    <w:rsid w:val="004512D0"/>
    <w:rsid w:val="00451DE9"/>
    <w:rsid w:val="00455485"/>
    <w:rsid w:val="00455D8A"/>
    <w:rsid w:val="00456542"/>
    <w:rsid w:val="004602AD"/>
    <w:rsid w:val="00460CC9"/>
    <w:rsid w:val="00461CCC"/>
    <w:rsid w:val="00467671"/>
    <w:rsid w:val="004729E7"/>
    <w:rsid w:val="004738B1"/>
    <w:rsid w:val="00473C8A"/>
    <w:rsid w:val="0047596A"/>
    <w:rsid w:val="00480A92"/>
    <w:rsid w:val="00482808"/>
    <w:rsid w:val="00483F26"/>
    <w:rsid w:val="004907A6"/>
    <w:rsid w:val="0049577E"/>
    <w:rsid w:val="004A178E"/>
    <w:rsid w:val="004A24E8"/>
    <w:rsid w:val="004A29DD"/>
    <w:rsid w:val="004A2D21"/>
    <w:rsid w:val="004B093C"/>
    <w:rsid w:val="004B7CA4"/>
    <w:rsid w:val="004C3E81"/>
    <w:rsid w:val="004C506E"/>
    <w:rsid w:val="004C7A14"/>
    <w:rsid w:val="004D192C"/>
    <w:rsid w:val="004D2769"/>
    <w:rsid w:val="004E3143"/>
    <w:rsid w:val="004E46A0"/>
    <w:rsid w:val="004E70D1"/>
    <w:rsid w:val="004F0560"/>
    <w:rsid w:val="004F0E96"/>
    <w:rsid w:val="004F282C"/>
    <w:rsid w:val="00501E8E"/>
    <w:rsid w:val="0050235A"/>
    <w:rsid w:val="00502B77"/>
    <w:rsid w:val="005039A5"/>
    <w:rsid w:val="00511DA3"/>
    <w:rsid w:val="00514115"/>
    <w:rsid w:val="00515D72"/>
    <w:rsid w:val="005166C5"/>
    <w:rsid w:val="0052165B"/>
    <w:rsid w:val="00524254"/>
    <w:rsid w:val="00524516"/>
    <w:rsid w:val="0052596B"/>
    <w:rsid w:val="005267E3"/>
    <w:rsid w:val="00526EC7"/>
    <w:rsid w:val="0053123E"/>
    <w:rsid w:val="0053175B"/>
    <w:rsid w:val="0053321A"/>
    <w:rsid w:val="00534287"/>
    <w:rsid w:val="00540E15"/>
    <w:rsid w:val="00545155"/>
    <w:rsid w:val="00545AAA"/>
    <w:rsid w:val="00545E78"/>
    <w:rsid w:val="005504BC"/>
    <w:rsid w:val="0055053A"/>
    <w:rsid w:val="00551C59"/>
    <w:rsid w:val="00556AC5"/>
    <w:rsid w:val="00557DDC"/>
    <w:rsid w:val="00557E04"/>
    <w:rsid w:val="00564833"/>
    <w:rsid w:val="00565B5B"/>
    <w:rsid w:val="00570D07"/>
    <w:rsid w:val="0057155E"/>
    <w:rsid w:val="00573516"/>
    <w:rsid w:val="00573E87"/>
    <w:rsid w:val="00575A29"/>
    <w:rsid w:val="005761D3"/>
    <w:rsid w:val="00580A5A"/>
    <w:rsid w:val="00581F1C"/>
    <w:rsid w:val="0058320F"/>
    <w:rsid w:val="005841B7"/>
    <w:rsid w:val="005852F4"/>
    <w:rsid w:val="00586A5C"/>
    <w:rsid w:val="00591567"/>
    <w:rsid w:val="0059289B"/>
    <w:rsid w:val="00597C58"/>
    <w:rsid w:val="005B1EF7"/>
    <w:rsid w:val="005B740A"/>
    <w:rsid w:val="005C0AA5"/>
    <w:rsid w:val="005C2403"/>
    <w:rsid w:val="005C777D"/>
    <w:rsid w:val="005D1E77"/>
    <w:rsid w:val="005D34F3"/>
    <w:rsid w:val="005E4BD1"/>
    <w:rsid w:val="005E6B96"/>
    <w:rsid w:val="005E6D26"/>
    <w:rsid w:val="005F0B5C"/>
    <w:rsid w:val="005F1000"/>
    <w:rsid w:val="005F5CEB"/>
    <w:rsid w:val="005F6CD5"/>
    <w:rsid w:val="006012ED"/>
    <w:rsid w:val="00604915"/>
    <w:rsid w:val="00607B22"/>
    <w:rsid w:val="00613446"/>
    <w:rsid w:val="006226D3"/>
    <w:rsid w:val="00622CB7"/>
    <w:rsid w:val="006252D0"/>
    <w:rsid w:val="00631BBA"/>
    <w:rsid w:val="006322C3"/>
    <w:rsid w:val="006347CB"/>
    <w:rsid w:val="0063617D"/>
    <w:rsid w:val="00636241"/>
    <w:rsid w:val="0063751D"/>
    <w:rsid w:val="00640955"/>
    <w:rsid w:val="00642F6C"/>
    <w:rsid w:val="006434EF"/>
    <w:rsid w:val="00647D43"/>
    <w:rsid w:val="00647D7B"/>
    <w:rsid w:val="00651302"/>
    <w:rsid w:val="00652A6C"/>
    <w:rsid w:val="00656373"/>
    <w:rsid w:val="00657D26"/>
    <w:rsid w:val="00661A30"/>
    <w:rsid w:val="006626EC"/>
    <w:rsid w:val="00662D7F"/>
    <w:rsid w:val="00663BF9"/>
    <w:rsid w:val="00664A78"/>
    <w:rsid w:val="00674DBE"/>
    <w:rsid w:val="00675DA4"/>
    <w:rsid w:val="0067618A"/>
    <w:rsid w:val="00687B1F"/>
    <w:rsid w:val="006942A0"/>
    <w:rsid w:val="00695BE1"/>
    <w:rsid w:val="006A2EFC"/>
    <w:rsid w:val="006A5E0F"/>
    <w:rsid w:val="006B212A"/>
    <w:rsid w:val="006B42DD"/>
    <w:rsid w:val="006B71BA"/>
    <w:rsid w:val="006B7AD2"/>
    <w:rsid w:val="006C4D4D"/>
    <w:rsid w:val="006C4F79"/>
    <w:rsid w:val="006C50B9"/>
    <w:rsid w:val="006D070F"/>
    <w:rsid w:val="006D5D36"/>
    <w:rsid w:val="006D77DA"/>
    <w:rsid w:val="006E1373"/>
    <w:rsid w:val="006E1852"/>
    <w:rsid w:val="006E2493"/>
    <w:rsid w:val="006E3C7D"/>
    <w:rsid w:val="006F0FD0"/>
    <w:rsid w:val="006F64D2"/>
    <w:rsid w:val="00702B5A"/>
    <w:rsid w:val="0071491B"/>
    <w:rsid w:val="00717276"/>
    <w:rsid w:val="007315AB"/>
    <w:rsid w:val="00733A2F"/>
    <w:rsid w:val="00737881"/>
    <w:rsid w:val="00737B33"/>
    <w:rsid w:val="0074121D"/>
    <w:rsid w:val="00743198"/>
    <w:rsid w:val="00743305"/>
    <w:rsid w:val="00747D97"/>
    <w:rsid w:val="007527F4"/>
    <w:rsid w:val="00753327"/>
    <w:rsid w:val="007533EB"/>
    <w:rsid w:val="00755115"/>
    <w:rsid w:val="00760416"/>
    <w:rsid w:val="00763C41"/>
    <w:rsid w:val="007677C1"/>
    <w:rsid w:val="00771E9C"/>
    <w:rsid w:val="00773E8A"/>
    <w:rsid w:val="0077580E"/>
    <w:rsid w:val="0077613F"/>
    <w:rsid w:val="0077623D"/>
    <w:rsid w:val="00784B4B"/>
    <w:rsid w:val="00784FDA"/>
    <w:rsid w:val="00790B83"/>
    <w:rsid w:val="00793821"/>
    <w:rsid w:val="007A097C"/>
    <w:rsid w:val="007A0D40"/>
    <w:rsid w:val="007A309E"/>
    <w:rsid w:val="007A3627"/>
    <w:rsid w:val="007A6813"/>
    <w:rsid w:val="007B0FD7"/>
    <w:rsid w:val="007B1705"/>
    <w:rsid w:val="007B1D1F"/>
    <w:rsid w:val="007B647F"/>
    <w:rsid w:val="007C0CA3"/>
    <w:rsid w:val="007C26B5"/>
    <w:rsid w:val="007C277F"/>
    <w:rsid w:val="007C2840"/>
    <w:rsid w:val="007C59A1"/>
    <w:rsid w:val="007D0941"/>
    <w:rsid w:val="007D11DC"/>
    <w:rsid w:val="007D16C1"/>
    <w:rsid w:val="007D3C28"/>
    <w:rsid w:val="007D3C50"/>
    <w:rsid w:val="007D5C87"/>
    <w:rsid w:val="007D607B"/>
    <w:rsid w:val="007D70E3"/>
    <w:rsid w:val="007E3363"/>
    <w:rsid w:val="007E39BE"/>
    <w:rsid w:val="007F00E7"/>
    <w:rsid w:val="007F6781"/>
    <w:rsid w:val="00801517"/>
    <w:rsid w:val="0080331D"/>
    <w:rsid w:val="00803C9B"/>
    <w:rsid w:val="008131EF"/>
    <w:rsid w:val="00821D4C"/>
    <w:rsid w:val="0082486A"/>
    <w:rsid w:val="00824A87"/>
    <w:rsid w:val="00826807"/>
    <w:rsid w:val="00826992"/>
    <w:rsid w:val="008272B9"/>
    <w:rsid w:val="00832781"/>
    <w:rsid w:val="00842134"/>
    <w:rsid w:val="00847709"/>
    <w:rsid w:val="00847B36"/>
    <w:rsid w:val="0085158C"/>
    <w:rsid w:val="008600BD"/>
    <w:rsid w:val="008637C1"/>
    <w:rsid w:val="00863F8B"/>
    <w:rsid w:val="00864D13"/>
    <w:rsid w:val="00865189"/>
    <w:rsid w:val="00867962"/>
    <w:rsid w:val="00870D86"/>
    <w:rsid w:val="00871824"/>
    <w:rsid w:val="00874B93"/>
    <w:rsid w:val="00877037"/>
    <w:rsid w:val="00882E61"/>
    <w:rsid w:val="008835B6"/>
    <w:rsid w:val="00883BB2"/>
    <w:rsid w:val="00887655"/>
    <w:rsid w:val="0089079B"/>
    <w:rsid w:val="0089133E"/>
    <w:rsid w:val="00896FD1"/>
    <w:rsid w:val="00897246"/>
    <w:rsid w:val="008A5BEB"/>
    <w:rsid w:val="008A5E4F"/>
    <w:rsid w:val="008B2F51"/>
    <w:rsid w:val="008B3745"/>
    <w:rsid w:val="008C0A41"/>
    <w:rsid w:val="008C2274"/>
    <w:rsid w:val="008C3EF1"/>
    <w:rsid w:val="008C76F6"/>
    <w:rsid w:val="008D0B9E"/>
    <w:rsid w:val="008D40AB"/>
    <w:rsid w:val="008D7607"/>
    <w:rsid w:val="008D7852"/>
    <w:rsid w:val="008E2831"/>
    <w:rsid w:val="008E2B10"/>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791D"/>
    <w:rsid w:val="00920E8C"/>
    <w:rsid w:val="009227A4"/>
    <w:rsid w:val="00922A60"/>
    <w:rsid w:val="00924107"/>
    <w:rsid w:val="00924118"/>
    <w:rsid w:val="0092681A"/>
    <w:rsid w:val="009274DB"/>
    <w:rsid w:val="00931828"/>
    <w:rsid w:val="009329BE"/>
    <w:rsid w:val="00932D6A"/>
    <w:rsid w:val="00937A4E"/>
    <w:rsid w:val="0094344B"/>
    <w:rsid w:val="00944CA6"/>
    <w:rsid w:val="009469CA"/>
    <w:rsid w:val="00956D22"/>
    <w:rsid w:val="009571BD"/>
    <w:rsid w:val="009624F1"/>
    <w:rsid w:val="00962833"/>
    <w:rsid w:val="00962E5E"/>
    <w:rsid w:val="00970A20"/>
    <w:rsid w:val="00972165"/>
    <w:rsid w:val="0097258E"/>
    <w:rsid w:val="0097636E"/>
    <w:rsid w:val="00981F0B"/>
    <w:rsid w:val="009856EB"/>
    <w:rsid w:val="0098660E"/>
    <w:rsid w:val="009876E3"/>
    <w:rsid w:val="00990027"/>
    <w:rsid w:val="00992635"/>
    <w:rsid w:val="00995B90"/>
    <w:rsid w:val="009A45F5"/>
    <w:rsid w:val="009A52E1"/>
    <w:rsid w:val="009B04E7"/>
    <w:rsid w:val="009C4952"/>
    <w:rsid w:val="009D0CF1"/>
    <w:rsid w:val="009D1040"/>
    <w:rsid w:val="009D1433"/>
    <w:rsid w:val="009D1623"/>
    <w:rsid w:val="009D5BDA"/>
    <w:rsid w:val="009D5CD7"/>
    <w:rsid w:val="009D7092"/>
    <w:rsid w:val="009E2795"/>
    <w:rsid w:val="009E3CA9"/>
    <w:rsid w:val="009E4AFF"/>
    <w:rsid w:val="009E4F2A"/>
    <w:rsid w:val="009E66D3"/>
    <w:rsid w:val="009F0D46"/>
    <w:rsid w:val="009F1898"/>
    <w:rsid w:val="009F3071"/>
    <w:rsid w:val="009F4E89"/>
    <w:rsid w:val="00A011C4"/>
    <w:rsid w:val="00A013DA"/>
    <w:rsid w:val="00A102AD"/>
    <w:rsid w:val="00A12A4E"/>
    <w:rsid w:val="00A138FF"/>
    <w:rsid w:val="00A151ED"/>
    <w:rsid w:val="00A213F5"/>
    <w:rsid w:val="00A2393F"/>
    <w:rsid w:val="00A271E5"/>
    <w:rsid w:val="00A27D95"/>
    <w:rsid w:val="00A40D16"/>
    <w:rsid w:val="00A429BF"/>
    <w:rsid w:val="00A43E50"/>
    <w:rsid w:val="00A444F2"/>
    <w:rsid w:val="00A47F0F"/>
    <w:rsid w:val="00A50FA8"/>
    <w:rsid w:val="00A54074"/>
    <w:rsid w:val="00A576FA"/>
    <w:rsid w:val="00A67700"/>
    <w:rsid w:val="00A715FB"/>
    <w:rsid w:val="00A73717"/>
    <w:rsid w:val="00A775B0"/>
    <w:rsid w:val="00A839F1"/>
    <w:rsid w:val="00A83B31"/>
    <w:rsid w:val="00A852EF"/>
    <w:rsid w:val="00A8789D"/>
    <w:rsid w:val="00A91F70"/>
    <w:rsid w:val="00A93CE5"/>
    <w:rsid w:val="00A9403B"/>
    <w:rsid w:val="00A9416E"/>
    <w:rsid w:val="00A9709A"/>
    <w:rsid w:val="00A97815"/>
    <w:rsid w:val="00A97ED5"/>
    <w:rsid w:val="00AA1A8B"/>
    <w:rsid w:val="00AA3D7C"/>
    <w:rsid w:val="00AA59F2"/>
    <w:rsid w:val="00AB2B60"/>
    <w:rsid w:val="00AB331D"/>
    <w:rsid w:val="00AB3AB3"/>
    <w:rsid w:val="00AB7529"/>
    <w:rsid w:val="00AC12AE"/>
    <w:rsid w:val="00AC34D4"/>
    <w:rsid w:val="00AC3767"/>
    <w:rsid w:val="00AC38E7"/>
    <w:rsid w:val="00AC58A3"/>
    <w:rsid w:val="00AD27F5"/>
    <w:rsid w:val="00AD3D98"/>
    <w:rsid w:val="00AD6749"/>
    <w:rsid w:val="00AE1AD1"/>
    <w:rsid w:val="00AE1C6A"/>
    <w:rsid w:val="00AE37A4"/>
    <w:rsid w:val="00AE74EE"/>
    <w:rsid w:val="00AF1C67"/>
    <w:rsid w:val="00AF3753"/>
    <w:rsid w:val="00AF412B"/>
    <w:rsid w:val="00B01BDE"/>
    <w:rsid w:val="00B03655"/>
    <w:rsid w:val="00B07B8B"/>
    <w:rsid w:val="00B1419A"/>
    <w:rsid w:val="00B17073"/>
    <w:rsid w:val="00B17E6D"/>
    <w:rsid w:val="00B205BE"/>
    <w:rsid w:val="00B222A4"/>
    <w:rsid w:val="00B242B5"/>
    <w:rsid w:val="00B274D6"/>
    <w:rsid w:val="00B27721"/>
    <w:rsid w:val="00B3095A"/>
    <w:rsid w:val="00B318A4"/>
    <w:rsid w:val="00B33921"/>
    <w:rsid w:val="00B3428E"/>
    <w:rsid w:val="00B36D25"/>
    <w:rsid w:val="00B42677"/>
    <w:rsid w:val="00B5283F"/>
    <w:rsid w:val="00B62790"/>
    <w:rsid w:val="00B661EC"/>
    <w:rsid w:val="00B6696B"/>
    <w:rsid w:val="00B67E73"/>
    <w:rsid w:val="00B72D35"/>
    <w:rsid w:val="00B73134"/>
    <w:rsid w:val="00B73B59"/>
    <w:rsid w:val="00B762CC"/>
    <w:rsid w:val="00B80AD3"/>
    <w:rsid w:val="00B81C86"/>
    <w:rsid w:val="00B84D0F"/>
    <w:rsid w:val="00B85CB9"/>
    <w:rsid w:val="00B95AC1"/>
    <w:rsid w:val="00B972D5"/>
    <w:rsid w:val="00BB0484"/>
    <w:rsid w:val="00BB196F"/>
    <w:rsid w:val="00BB491B"/>
    <w:rsid w:val="00BB4EBB"/>
    <w:rsid w:val="00BB711D"/>
    <w:rsid w:val="00BC66F7"/>
    <w:rsid w:val="00BD27FF"/>
    <w:rsid w:val="00BD329E"/>
    <w:rsid w:val="00BE1E28"/>
    <w:rsid w:val="00BE2432"/>
    <w:rsid w:val="00BE3C9B"/>
    <w:rsid w:val="00BE458C"/>
    <w:rsid w:val="00BE5DEB"/>
    <w:rsid w:val="00BF02E0"/>
    <w:rsid w:val="00BF1067"/>
    <w:rsid w:val="00BF4692"/>
    <w:rsid w:val="00BF7CEC"/>
    <w:rsid w:val="00C062EC"/>
    <w:rsid w:val="00C074F2"/>
    <w:rsid w:val="00C07F2C"/>
    <w:rsid w:val="00C13461"/>
    <w:rsid w:val="00C13FFE"/>
    <w:rsid w:val="00C177C8"/>
    <w:rsid w:val="00C24220"/>
    <w:rsid w:val="00C3069F"/>
    <w:rsid w:val="00C36242"/>
    <w:rsid w:val="00C379BA"/>
    <w:rsid w:val="00C37FDA"/>
    <w:rsid w:val="00C4130D"/>
    <w:rsid w:val="00C42C11"/>
    <w:rsid w:val="00C42E98"/>
    <w:rsid w:val="00C43757"/>
    <w:rsid w:val="00C448E0"/>
    <w:rsid w:val="00C452C8"/>
    <w:rsid w:val="00C52770"/>
    <w:rsid w:val="00C554A3"/>
    <w:rsid w:val="00C659B1"/>
    <w:rsid w:val="00C66584"/>
    <w:rsid w:val="00C66C32"/>
    <w:rsid w:val="00C7053B"/>
    <w:rsid w:val="00C70E82"/>
    <w:rsid w:val="00C73209"/>
    <w:rsid w:val="00C74F21"/>
    <w:rsid w:val="00C762F4"/>
    <w:rsid w:val="00C833B0"/>
    <w:rsid w:val="00C84700"/>
    <w:rsid w:val="00C85236"/>
    <w:rsid w:val="00C8595A"/>
    <w:rsid w:val="00C86B02"/>
    <w:rsid w:val="00C86E5D"/>
    <w:rsid w:val="00C86FEF"/>
    <w:rsid w:val="00C959C2"/>
    <w:rsid w:val="00CA08D1"/>
    <w:rsid w:val="00CA1284"/>
    <w:rsid w:val="00CA1ABB"/>
    <w:rsid w:val="00CA394C"/>
    <w:rsid w:val="00CA5E67"/>
    <w:rsid w:val="00CB132D"/>
    <w:rsid w:val="00CB5201"/>
    <w:rsid w:val="00CB64F4"/>
    <w:rsid w:val="00CC093D"/>
    <w:rsid w:val="00CC1017"/>
    <w:rsid w:val="00CC2E77"/>
    <w:rsid w:val="00CC2E7A"/>
    <w:rsid w:val="00CC4111"/>
    <w:rsid w:val="00CC7109"/>
    <w:rsid w:val="00CD0E0B"/>
    <w:rsid w:val="00CD127E"/>
    <w:rsid w:val="00CD261A"/>
    <w:rsid w:val="00CD3395"/>
    <w:rsid w:val="00CD5F94"/>
    <w:rsid w:val="00CE13F7"/>
    <w:rsid w:val="00CE2D13"/>
    <w:rsid w:val="00CE496C"/>
    <w:rsid w:val="00CF3DEF"/>
    <w:rsid w:val="00CF5088"/>
    <w:rsid w:val="00CF7F11"/>
    <w:rsid w:val="00D016F4"/>
    <w:rsid w:val="00D040DC"/>
    <w:rsid w:val="00D05D21"/>
    <w:rsid w:val="00D0686C"/>
    <w:rsid w:val="00D07E97"/>
    <w:rsid w:val="00D111D7"/>
    <w:rsid w:val="00D113D8"/>
    <w:rsid w:val="00D13BFC"/>
    <w:rsid w:val="00D15A21"/>
    <w:rsid w:val="00D20661"/>
    <w:rsid w:val="00D2253E"/>
    <w:rsid w:val="00D24329"/>
    <w:rsid w:val="00D245BC"/>
    <w:rsid w:val="00D30F64"/>
    <w:rsid w:val="00D45DBE"/>
    <w:rsid w:val="00D51D8C"/>
    <w:rsid w:val="00D542BF"/>
    <w:rsid w:val="00D5706F"/>
    <w:rsid w:val="00D61499"/>
    <w:rsid w:val="00D614DC"/>
    <w:rsid w:val="00D61909"/>
    <w:rsid w:val="00D61C74"/>
    <w:rsid w:val="00D627C9"/>
    <w:rsid w:val="00D64812"/>
    <w:rsid w:val="00D671AC"/>
    <w:rsid w:val="00D712AB"/>
    <w:rsid w:val="00D728E3"/>
    <w:rsid w:val="00D736E8"/>
    <w:rsid w:val="00D744F5"/>
    <w:rsid w:val="00D7460C"/>
    <w:rsid w:val="00D76F42"/>
    <w:rsid w:val="00D774F7"/>
    <w:rsid w:val="00D814C1"/>
    <w:rsid w:val="00D81A51"/>
    <w:rsid w:val="00D83DE2"/>
    <w:rsid w:val="00D854E7"/>
    <w:rsid w:val="00D867B7"/>
    <w:rsid w:val="00D91C9F"/>
    <w:rsid w:val="00D92B4B"/>
    <w:rsid w:val="00D9630E"/>
    <w:rsid w:val="00D96B8E"/>
    <w:rsid w:val="00D9743F"/>
    <w:rsid w:val="00DA4932"/>
    <w:rsid w:val="00DA4BD9"/>
    <w:rsid w:val="00DA72ED"/>
    <w:rsid w:val="00DA79B8"/>
    <w:rsid w:val="00DB1469"/>
    <w:rsid w:val="00DB4AD1"/>
    <w:rsid w:val="00DB5F8F"/>
    <w:rsid w:val="00DC1826"/>
    <w:rsid w:val="00DC22B1"/>
    <w:rsid w:val="00DC2730"/>
    <w:rsid w:val="00DC3B96"/>
    <w:rsid w:val="00DC64CC"/>
    <w:rsid w:val="00DD0013"/>
    <w:rsid w:val="00DD1F3D"/>
    <w:rsid w:val="00DD561A"/>
    <w:rsid w:val="00DE37DF"/>
    <w:rsid w:val="00DE38BC"/>
    <w:rsid w:val="00DE421D"/>
    <w:rsid w:val="00DE7FCC"/>
    <w:rsid w:val="00DF527D"/>
    <w:rsid w:val="00DF59AD"/>
    <w:rsid w:val="00DF7696"/>
    <w:rsid w:val="00E06039"/>
    <w:rsid w:val="00E10910"/>
    <w:rsid w:val="00E1170D"/>
    <w:rsid w:val="00E11A6F"/>
    <w:rsid w:val="00E124E5"/>
    <w:rsid w:val="00E16AD1"/>
    <w:rsid w:val="00E23056"/>
    <w:rsid w:val="00E24818"/>
    <w:rsid w:val="00E25711"/>
    <w:rsid w:val="00E26808"/>
    <w:rsid w:val="00E26A5C"/>
    <w:rsid w:val="00E27F6A"/>
    <w:rsid w:val="00E3026C"/>
    <w:rsid w:val="00E31491"/>
    <w:rsid w:val="00E32C07"/>
    <w:rsid w:val="00E33403"/>
    <w:rsid w:val="00E33C7C"/>
    <w:rsid w:val="00E346E5"/>
    <w:rsid w:val="00E367FD"/>
    <w:rsid w:val="00E4056B"/>
    <w:rsid w:val="00E40C07"/>
    <w:rsid w:val="00E43C6C"/>
    <w:rsid w:val="00E44550"/>
    <w:rsid w:val="00E449BA"/>
    <w:rsid w:val="00E46E15"/>
    <w:rsid w:val="00E5043D"/>
    <w:rsid w:val="00E57C14"/>
    <w:rsid w:val="00E610DA"/>
    <w:rsid w:val="00E6461E"/>
    <w:rsid w:val="00E7374E"/>
    <w:rsid w:val="00E818EC"/>
    <w:rsid w:val="00E81A7A"/>
    <w:rsid w:val="00E833C4"/>
    <w:rsid w:val="00E86D70"/>
    <w:rsid w:val="00E93766"/>
    <w:rsid w:val="00E95344"/>
    <w:rsid w:val="00E95AB8"/>
    <w:rsid w:val="00E96BC2"/>
    <w:rsid w:val="00EA1F9C"/>
    <w:rsid w:val="00EA7994"/>
    <w:rsid w:val="00EA7C50"/>
    <w:rsid w:val="00EB0EDF"/>
    <w:rsid w:val="00EB1950"/>
    <w:rsid w:val="00EB231F"/>
    <w:rsid w:val="00EB4255"/>
    <w:rsid w:val="00EB4F58"/>
    <w:rsid w:val="00EB59F8"/>
    <w:rsid w:val="00EB6C9C"/>
    <w:rsid w:val="00EC6FF1"/>
    <w:rsid w:val="00EC778B"/>
    <w:rsid w:val="00ED3827"/>
    <w:rsid w:val="00ED42EC"/>
    <w:rsid w:val="00ED59B5"/>
    <w:rsid w:val="00EE6733"/>
    <w:rsid w:val="00EF0F9B"/>
    <w:rsid w:val="00EF1EBB"/>
    <w:rsid w:val="00EF1F4E"/>
    <w:rsid w:val="00EF5671"/>
    <w:rsid w:val="00EF64EB"/>
    <w:rsid w:val="00F026C1"/>
    <w:rsid w:val="00F12172"/>
    <w:rsid w:val="00F1244D"/>
    <w:rsid w:val="00F16739"/>
    <w:rsid w:val="00F268FA"/>
    <w:rsid w:val="00F30D3E"/>
    <w:rsid w:val="00F35D72"/>
    <w:rsid w:val="00F40887"/>
    <w:rsid w:val="00F41C82"/>
    <w:rsid w:val="00F43401"/>
    <w:rsid w:val="00F43E37"/>
    <w:rsid w:val="00F47FC3"/>
    <w:rsid w:val="00F53D54"/>
    <w:rsid w:val="00F56915"/>
    <w:rsid w:val="00F61DD5"/>
    <w:rsid w:val="00F64EBD"/>
    <w:rsid w:val="00F70340"/>
    <w:rsid w:val="00F721BE"/>
    <w:rsid w:val="00F72B44"/>
    <w:rsid w:val="00F73B34"/>
    <w:rsid w:val="00F73EAA"/>
    <w:rsid w:val="00F823A1"/>
    <w:rsid w:val="00F851BC"/>
    <w:rsid w:val="00F85EE5"/>
    <w:rsid w:val="00F872D0"/>
    <w:rsid w:val="00F902DB"/>
    <w:rsid w:val="00F91138"/>
    <w:rsid w:val="00F94115"/>
    <w:rsid w:val="00F96976"/>
    <w:rsid w:val="00FA2532"/>
    <w:rsid w:val="00FB46E4"/>
    <w:rsid w:val="00FB70B0"/>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20FC"/>
    <w:rsid w:val="00FF2685"/>
    <w:rsid w:val="00FF57A6"/>
    <w:rsid w:val="7A4B6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EC"/>
    <w:pPr>
      <w:widowControl w:val="0"/>
      <w:jc w:val="both"/>
    </w:pPr>
    <w:rPr>
      <w:kern w:val="2"/>
      <w:sz w:val="21"/>
    </w:rPr>
  </w:style>
  <w:style w:type="paragraph" w:styleId="1">
    <w:name w:val="heading 1"/>
    <w:basedOn w:val="a"/>
    <w:next w:val="a"/>
    <w:link w:val="1Char"/>
    <w:qFormat/>
    <w:rsid w:val="00C062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062E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062EC"/>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C062EC"/>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qFormat/>
    <w:rsid w:val="00C062EC"/>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正文文本 3 Char1"/>
    <w:uiPriority w:val="99"/>
    <w:rsid w:val="00C062EC"/>
    <w:rPr>
      <w:kern w:val="2"/>
      <w:sz w:val="16"/>
      <w:szCs w:val="16"/>
    </w:rPr>
  </w:style>
  <w:style w:type="character" w:styleId="a3">
    <w:name w:val="endnote reference"/>
    <w:rsid w:val="00C062EC"/>
    <w:rPr>
      <w:rFonts w:cs="Times New Roman"/>
      <w:vertAlign w:val="superscript"/>
    </w:rPr>
  </w:style>
  <w:style w:type="character" w:customStyle="1" w:styleId="CharChar15">
    <w:name w:val="Char Char15"/>
    <w:rsid w:val="00C062EC"/>
    <w:rPr>
      <w:rFonts w:eastAsia="宋体"/>
      <w:b/>
      <w:bCs/>
      <w:kern w:val="44"/>
      <w:sz w:val="44"/>
      <w:szCs w:val="44"/>
      <w:lang w:val="en-US" w:eastAsia="zh-CN" w:bidi="ar-SA"/>
    </w:rPr>
  </w:style>
  <w:style w:type="character" w:customStyle="1" w:styleId="3Char0">
    <w:name w:val="正文文本缩进 3 Char"/>
    <w:link w:val="30"/>
    <w:rsid w:val="00C062EC"/>
    <w:rPr>
      <w:rFonts w:ascii="仿宋_GB2312" w:eastAsia="仿宋_GB2312"/>
      <w:sz w:val="30"/>
      <w:szCs w:val="28"/>
      <w:lang w:val="zh-CN" w:eastAsia="zh-CN"/>
    </w:rPr>
  </w:style>
  <w:style w:type="character" w:customStyle="1" w:styleId="a4">
    <w:name w:val="访问过的超链接"/>
    <w:rsid w:val="00C062EC"/>
    <w:rPr>
      <w:color w:val="800080"/>
      <w:u w:val="single"/>
    </w:rPr>
  </w:style>
  <w:style w:type="character" w:customStyle="1" w:styleId="1Char0">
    <w:name w:val="样式1 Char"/>
    <w:link w:val="10"/>
    <w:locked/>
    <w:rsid w:val="00C062EC"/>
    <w:rPr>
      <w:rFonts w:ascii="仿宋_GB2312" w:eastAsia="仿宋_GB2312" w:hAnsi="宋体"/>
      <w:sz w:val="30"/>
      <w:szCs w:val="30"/>
    </w:rPr>
  </w:style>
  <w:style w:type="character" w:customStyle="1" w:styleId="Char1">
    <w:name w:val="正文文本 Char1"/>
    <w:uiPriority w:val="99"/>
    <w:rsid w:val="00C062EC"/>
    <w:rPr>
      <w:kern w:val="2"/>
      <w:sz w:val="21"/>
      <w:szCs w:val="24"/>
    </w:rPr>
  </w:style>
  <w:style w:type="character" w:customStyle="1" w:styleId="Char10">
    <w:name w:val="纯文本 Char1"/>
    <w:uiPriority w:val="99"/>
    <w:rsid w:val="00C062EC"/>
    <w:rPr>
      <w:rFonts w:ascii="宋体" w:hAnsi="Courier New" w:cs="Courier New"/>
      <w:kern w:val="2"/>
      <w:sz w:val="21"/>
      <w:szCs w:val="21"/>
    </w:rPr>
  </w:style>
  <w:style w:type="character" w:customStyle="1" w:styleId="Char11">
    <w:name w:val="批注框文本 Char1"/>
    <w:uiPriority w:val="99"/>
    <w:rsid w:val="00C062EC"/>
    <w:rPr>
      <w:kern w:val="2"/>
      <w:sz w:val="18"/>
      <w:szCs w:val="18"/>
    </w:rPr>
  </w:style>
  <w:style w:type="character" w:customStyle="1" w:styleId="Char12">
    <w:name w:val="正文文本缩进 Char1"/>
    <w:uiPriority w:val="99"/>
    <w:rsid w:val="00C062EC"/>
    <w:rPr>
      <w:kern w:val="2"/>
      <w:sz w:val="21"/>
      <w:szCs w:val="24"/>
    </w:rPr>
  </w:style>
  <w:style w:type="character" w:customStyle="1" w:styleId="Char13">
    <w:name w:val="脚注文本 Char1"/>
    <w:uiPriority w:val="99"/>
    <w:rsid w:val="00C062EC"/>
    <w:rPr>
      <w:kern w:val="2"/>
      <w:sz w:val="18"/>
      <w:szCs w:val="18"/>
    </w:rPr>
  </w:style>
  <w:style w:type="character" w:customStyle="1" w:styleId="CharChar12">
    <w:name w:val="Char Char12"/>
    <w:rsid w:val="00C062EC"/>
    <w:rPr>
      <w:rFonts w:eastAsia="宋体"/>
      <w:kern w:val="2"/>
      <w:sz w:val="18"/>
      <w:szCs w:val="18"/>
      <w:lang w:val="en-US" w:eastAsia="zh-CN" w:bidi="ar-SA"/>
    </w:rPr>
  </w:style>
  <w:style w:type="character" w:customStyle="1" w:styleId="3Char2">
    <w:name w:val="正文文本 3 Char"/>
    <w:link w:val="31"/>
    <w:rsid w:val="00C062EC"/>
    <w:rPr>
      <w:rFonts w:ascii="方正大标宋简体" w:eastAsia="方正大标宋简体" w:hAnsi="宋体"/>
      <w:bCs/>
      <w:kern w:val="2"/>
      <w:sz w:val="42"/>
      <w:szCs w:val="42"/>
      <w:lang w:val="en-US" w:eastAsia="zh-CN"/>
    </w:rPr>
  </w:style>
  <w:style w:type="character" w:styleId="a5">
    <w:name w:val="Strong"/>
    <w:uiPriority w:val="22"/>
    <w:qFormat/>
    <w:rsid w:val="00C062EC"/>
    <w:rPr>
      <w:b/>
      <w:bCs/>
    </w:rPr>
  </w:style>
  <w:style w:type="character" w:styleId="a6">
    <w:name w:val="Hyperlink"/>
    <w:rsid w:val="00C062EC"/>
    <w:rPr>
      <w:rFonts w:cs="Times New Roman"/>
      <w:color w:val="0000FF"/>
      <w:u w:val="single"/>
    </w:rPr>
  </w:style>
  <w:style w:type="character" w:customStyle="1" w:styleId="3Char10">
    <w:name w:val="正文文本缩进 3 Char1"/>
    <w:uiPriority w:val="99"/>
    <w:rsid w:val="00C062EC"/>
    <w:rPr>
      <w:kern w:val="2"/>
      <w:sz w:val="16"/>
      <w:szCs w:val="16"/>
    </w:rPr>
  </w:style>
  <w:style w:type="character" w:styleId="a7">
    <w:name w:val="page number"/>
    <w:basedOn w:val="a0"/>
    <w:rsid w:val="00C062EC"/>
  </w:style>
  <w:style w:type="character" w:styleId="a8">
    <w:name w:val="annotation reference"/>
    <w:rsid w:val="00C062EC"/>
    <w:rPr>
      <w:rFonts w:cs="Times New Roman"/>
      <w:sz w:val="21"/>
      <w:szCs w:val="21"/>
    </w:rPr>
  </w:style>
  <w:style w:type="character" w:customStyle="1" w:styleId="Char">
    <w:name w:val="页脚 Char"/>
    <w:link w:val="a9"/>
    <w:locked/>
    <w:rsid w:val="00C062EC"/>
    <w:rPr>
      <w:rFonts w:eastAsia="宋体"/>
      <w:kern w:val="2"/>
      <w:sz w:val="18"/>
      <w:szCs w:val="18"/>
      <w:lang w:val="en-US" w:eastAsia="zh-CN" w:bidi="ar-SA"/>
    </w:rPr>
  </w:style>
  <w:style w:type="character" w:customStyle="1" w:styleId="SSEChar">
    <w:name w:val="SSE表格文字 Char"/>
    <w:link w:val="SSE"/>
    <w:locked/>
    <w:rsid w:val="00C062EC"/>
    <w:rPr>
      <w:rFonts w:ascii="仿宋_GB2312" w:eastAsia="仿宋_GB2312"/>
      <w:color w:val="000000"/>
      <w:sz w:val="24"/>
      <w:szCs w:val="24"/>
    </w:rPr>
  </w:style>
  <w:style w:type="character" w:customStyle="1" w:styleId="3Char">
    <w:name w:val="标题 3 Char"/>
    <w:link w:val="3"/>
    <w:locked/>
    <w:rsid w:val="00C062EC"/>
    <w:rPr>
      <w:rFonts w:eastAsia="宋体"/>
      <w:b/>
      <w:bCs/>
      <w:sz w:val="32"/>
      <w:szCs w:val="32"/>
      <w:lang w:bidi="ar-SA"/>
    </w:rPr>
  </w:style>
  <w:style w:type="character" w:customStyle="1" w:styleId="Char0">
    <w:name w:val="尾注文本 Char"/>
    <w:link w:val="aa"/>
    <w:locked/>
    <w:rsid w:val="00C062EC"/>
    <w:rPr>
      <w:rFonts w:eastAsia="宋体"/>
      <w:sz w:val="24"/>
      <w:szCs w:val="24"/>
      <w:lang w:bidi="ar-SA"/>
    </w:rPr>
  </w:style>
  <w:style w:type="character" w:customStyle="1" w:styleId="Char2">
    <w:name w:val="列出段落 Char"/>
    <w:link w:val="ab"/>
    <w:locked/>
    <w:rsid w:val="00C062EC"/>
    <w:rPr>
      <w:kern w:val="2"/>
      <w:sz w:val="21"/>
      <w:szCs w:val="24"/>
    </w:rPr>
  </w:style>
  <w:style w:type="character" w:customStyle="1" w:styleId="Char3">
    <w:name w:val="纯文本 Char"/>
    <w:link w:val="ac"/>
    <w:rsid w:val="00C062EC"/>
    <w:rPr>
      <w:rFonts w:ascii="宋体" w:eastAsia="宋体" w:hAnsi="Courier New" w:cs="Courier New"/>
      <w:kern w:val="2"/>
      <w:sz w:val="21"/>
      <w:szCs w:val="21"/>
      <w:lang w:val="en-US" w:eastAsia="zh-CN" w:bidi="ar-SA"/>
    </w:rPr>
  </w:style>
  <w:style w:type="character" w:customStyle="1" w:styleId="Char4">
    <w:name w:val="正文文本缩进 Char"/>
    <w:link w:val="ad"/>
    <w:rsid w:val="00C062EC"/>
    <w:rPr>
      <w:rFonts w:ascii="仿宋_GB2312" w:eastAsia="仿宋_GB2312"/>
      <w:kern w:val="2"/>
      <w:sz w:val="30"/>
      <w:szCs w:val="24"/>
      <w:lang w:val="en-US" w:eastAsia="zh-CN" w:bidi="ar-SA"/>
    </w:rPr>
  </w:style>
  <w:style w:type="character" w:customStyle="1" w:styleId="Char5">
    <w:name w:val="批注文字 Char"/>
    <w:link w:val="ae"/>
    <w:locked/>
    <w:rsid w:val="00C062EC"/>
    <w:rPr>
      <w:rFonts w:eastAsia="宋体"/>
      <w:sz w:val="24"/>
      <w:szCs w:val="24"/>
      <w:lang w:bidi="ar-SA"/>
    </w:rPr>
  </w:style>
  <w:style w:type="character" w:customStyle="1" w:styleId="1Char">
    <w:name w:val="标题 1 Char"/>
    <w:link w:val="1"/>
    <w:locked/>
    <w:rsid w:val="00C062EC"/>
    <w:rPr>
      <w:rFonts w:eastAsia="宋体"/>
      <w:b/>
      <w:bCs/>
      <w:kern w:val="44"/>
      <w:sz w:val="44"/>
      <w:szCs w:val="44"/>
      <w:lang w:bidi="ar-SA"/>
    </w:rPr>
  </w:style>
  <w:style w:type="character" w:customStyle="1" w:styleId="6Char">
    <w:name w:val="标题 6 Char"/>
    <w:link w:val="6"/>
    <w:rsid w:val="00C062EC"/>
    <w:rPr>
      <w:rFonts w:ascii="Arial" w:eastAsia="黑体" w:hAnsi="Arial"/>
      <w:b/>
      <w:bCs/>
      <w:kern w:val="2"/>
      <w:sz w:val="24"/>
      <w:szCs w:val="24"/>
    </w:rPr>
  </w:style>
  <w:style w:type="character" w:customStyle="1" w:styleId="4Char">
    <w:name w:val="标题 4 Char"/>
    <w:link w:val="4"/>
    <w:rsid w:val="00C062EC"/>
    <w:rPr>
      <w:rFonts w:ascii="Cambria" w:hAnsi="Cambria"/>
      <w:b/>
      <w:bCs/>
      <w:kern w:val="2"/>
      <w:sz w:val="28"/>
      <w:szCs w:val="28"/>
    </w:rPr>
  </w:style>
  <w:style w:type="character" w:customStyle="1" w:styleId="2Char">
    <w:name w:val="标题 2 Char"/>
    <w:link w:val="2"/>
    <w:locked/>
    <w:rsid w:val="00C062EC"/>
    <w:rPr>
      <w:rFonts w:ascii="Arial" w:eastAsia="黑体" w:hAnsi="Arial"/>
      <w:b/>
      <w:bCs/>
      <w:sz w:val="32"/>
      <w:szCs w:val="32"/>
      <w:lang w:bidi="ar-SA"/>
    </w:rPr>
  </w:style>
  <w:style w:type="character" w:customStyle="1" w:styleId="Char6">
    <w:name w:val="页眉 Char"/>
    <w:link w:val="af"/>
    <w:locked/>
    <w:rsid w:val="00C062EC"/>
    <w:rPr>
      <w:rFonts w:eastAsia="宋体"/>
      <w:kern w:val="2"/>
      <w:sz w:val="18"/>
      <w:szCs w:val="18"/>
      <w:lang w:val="en-US" w:eastAsia="zh-CN" w:bidi="ar-SA"/>
    </w:rPr>
  </w:style>
  <w:style w:type="character" w:customStyle="1" w:styleId="Char7">
    <w:name w:val="批注框文本 Char"/>
    <w:link w:val="af0"/>
    <w:semiHidden/>
    <w:locked/>
    <w:rsid w:val="00C062EC"/>
    <w:rPr>
      <w:rFonts w:eastAsia="宋体"/>
      <w:kern w:val="2"/>
      <w:sz w:val="18"/>
      <w:szCs w:val="18"/>
      <w:lang w:val="en-US" w:eastAsia="zh-CN" w:bidi="ar-SA"/>
    </w:rPr>
  </w:style>
  <w:style w:type="character" w:customStyle="1" w:styleId="Char8">
    <w:name w:val="日期 Char"/>
    <w:link w:val="af1"/>
    <w:rsid w:val="00C062EC"/>
    <w:rPr>
      <w:rFonts w:ascii="楷体_GB2312" w:eastAsia="楷体_GB2312"/>
      <w:kern w:val="2"/>
      <w:sz w:val="32"/>
      <w:lang w:val="en-US" w:eastAsia="zh-CN" w:bidi="ar-SA"/>
    </w:rPr>
  </w:style>
  <w:style w:type="character" w:customStyle="1" w:styleId="dash6b636587char">
    <w:name w:val="dash6b63_6587__char"/>
    <w:basedOn w:val="a0"/>
    <w:rsid w:val="00C062EC"/>
  </w:style>
  <w:style w:type="character" w:customStyle="1" w:styleId="SSE0Char">
    <w:name w:val="SSE标题0 Char"/>
    <w:link w:val="SSE0"/>
    <w:rsid w:val="00C062EC"/>
    <w:rPr>
      <w:rFonts w:eastAsia="华文中宋"/>
      <w:b/>
      <w:kern w:val="2"/>
      <w:sz w:val="44"/>
      <w:szCs w:val="44"/>
    </w:rPr>
  </w:style>
  <w:style w:type="character" w:customStyle="1" w:styleId="dash6b63005f6587005f005fcharchar">
    <w:name w:val="dash6b63_005f6587_005f_005fchar__char"/>
    <w:basedOn w:val="a0"/>
    <w:rsid w:val="00C062EC"/>
  </w:style>
  <w:style w:type="character" w:customStyle="1" w:styleId="2Char0">
    <w:name w:val="正文文本 2 Char"/>
    <w:link w:val="20"/>
    <w:locked/>
    <w:rsid w:val="00C062EC"/>
    <w:rPr>
      <w:rFonts w:ascii="宋体" w:eastAsia="宋体" w:hAnsi="Courier New"/>
      <w:sz w:val="21"/>
      <w:szCs w:val="21"/>
      <w:lang w:bidi="ar-SA"/>
    </w:rPr>
  </w:style>
  <w:style w:type="character" w:customStyle="1" w:styleId="Char9">
    <w:name w:val="内页正文 Char"/>
    <w:link w:val="af2"/>
    <w:rsid w:val="00C062EC"/>
    <w:rPr>
      <w:rFonts w:ascii="Arial" w:eastAsia="汉仪中等线简" w:hAnsi="Arial"/>
      <w:color w:val="000000"/>
      <w:sz w:val="18"/>
      <w:szCs w:val="18"/>
      <w:lang w:bidi="ar-SA"/>
    </w:rPr>
  </w:style>
  <w:style w:type="character" w:customStyle="1" w:styleId="CharChar14">
    <w:name w:val="Char Char14"/>
    <w:rsid w:val="00C062EC"/>
    <w:rPr>
      <w:rFonts w:eastAsia="宋体"/>
      <w:b/>
      <w:bCs/>
      <w:kern w:val="2"/>
      <w:sz w:val="32"/>
      <w:szCs w:val="32"/>
      <w:lang w:val="en-US" w:eastAsia="zh-CN" w:bidi="ar-SA"/>
    </w:rPr>
  </w:style>
  <w:style w:type="character" w:customStyle="1" w:styleId="CharChar13">
    <w:name w:val="Char Char13"/>
    <w:rsid w:val="00C062EC"/>
    <w:rPr>
      <w:rFonts w:eastAsia="宋体"/>
      <w:kern w:val="2"/>
      <w:sz w:val="18"/>
      <w:szCs w:val="18"/>
      <w:lang w:val="en-US" w:eastAsia="zh-CN" w:bidi="ar-SA"/>
    </w:rPr>
  </w:style>
  <w:style w:type="character" w:customStyle="1" w:styleId="Char14">
    <w:name w:val="日期 Char1"/>
    <w:uiPriority w:val="99"/>
    <w:rsid w:val="00C062EC"/>
    <w:rPr>
      <w:kern w:val="2"/>
      <w:sz w:val="21"/>
      <w:szCs w:val="24"/>
    </w:rPr>
  </w:style>
  <w:style w:type="character" w:customStyle="1" w:styleId="Chara">
    <w:name w:val="正文文本 Char"/>
    <w:link w:val="af3"/>
    <w:rsid w:val="00C062EC"/>
    <w:rPr>
      <w:rFonts w:eastAsia="Times New Roman"/>
      <w:kern w:val="2"/>
      <w:sz w:val="21"/>
      <w:szCs w:val="24"/>
      <w:lang w:val="en-US" w:eastAsia="zh-CN"/>
    </w:rPr>
  </w:style>
  <w:style w:type="character" w:customStyle="1" w:styleId="2Char1">
    <w:name w:val="正文文本缩进 2 Char"/>
    <w:link w:val="21"/>
    <w:rsid w:val="00C062EC"/>
    <w:rPr>
      <w:rFonts w:ascii="仿宋_GB2312" w:eastAsia="仿宋_GB2312" w:hAnsi="宋体"/>
      <w:kern w:val="2"/>
      <w:sz w:val="30"/>
      <w:szCs w:val="30"/>
      <w:lang w:val="en-US" w:eastAsia="zh-CN"/>
    </w:rPr>
  </w:style>
  <w:style w:type="character" w:customStyle="1" w:styleId="2Char10">
    <w:name w:val="正文文本缩进 2 Char1"/>
    <w:uiPriority w:val="99"/>
    <w:rsid w:val="00C062EC"/>
    <w:rPr>
      <w:kern w:val="2"/>
      <w:sz w:val="21"/>
      <w:szCs w:val="24"/>
    </w:rPr>
  </w:style>
  <w:style w:type="character" w:customStyle="1" w:styleId="2Char11">
    <w:name w:val="正文文本 2 Char1"/>
    <w:uiPriority w:val="99"/>
    <w:rsid w:val="00C062EC"/>
    <w:rPr>
      <w:kern w:val="2"/>
      <w:sz w:val="21"/>
      <w:szCs w:val="24"/>
    </w:rPr>
  </w:style>
  <w:style w:type="character" w:customStyle="1" w:styleId="Charb">
    <w:name w:val="条款 Char"/>
    <w:link w:val="af4"/>
    <w:rsid w:val="00C062EC"/>
    <w:rPr>
      <w:rFonts w:ascii="仿宋_GB2312" w:eastAsia="仿宋_GB2312" w:hAnsi="Calibri"/>
      <w:color w:val="000000"/>
      <w:sz w:val="28"/>
      <w:lang w:bidi="ar-SA"/>
    </w:rPr>
  </w:style>
  <w:style w:type="character" w:customStyle="1" w:styleId="Charc">
    <w:name w:val="脚注文本 Char"/>
    <w:link w:val="af5"/>
    <w:rsid w:val="00C062EC"/>
    <w:rPr>
      <w:rFonts w:eastAsia="Times New Roman"/>
      <w:kern w:val="2"/>
      <w:sz w:val="18"/>
      <w:szCs w:val="18"/>
      <w:lang w:val="en-US" w:eastAsia="zh-CN"/>
    </w:rPr>
  </w:style>
  <w:style w:type="character" w:customStyle="1" w:styleId="Chard">
    <w:name w:val="批注主题 Char"/>
    <w:link w:val="af6"/>
    <w:rsid w:val="00C062EC"/>
    <w:rPr>
      <w:rFonts w:eastAsia="宋体"/>
      <w:b/>
      <w:bCs/>
      <w:kern w:val="2"/>
      <w:sz w:val="21"/>
      <w:szCs w:val="24"/>
      <w:lang w:bidi="ar-SA"/>
    </w:rPr>
  </w:style>
  <w:style w:type="character" w:customStyle="1" w:styleId="Chare">
    <w:name w:val="语句 Char"/>
    <w:link w:val="af7"/>
    <w:rsid w:val="00C062EC"/>
    <w:rPr>
      <w:rFonts w:ascii="仿宋_GB2312" w:eastAsia="仿宋_GB2312"/>
      <w:b/>
      <w:i/>
      <w:sz w:val="30"/>
      <w:szCs w:val="30"/>
    </w:rPr>
  </w:style>
  <w:style w:type="character" w:customStyle="1" w:styleId="KKChar">
    <w:name w:val="KK一级 Char"/>
    <w:link w:val="KK"/>
    <w:rsid w:val="00C062EC"/>
    <w:rPr>
      <w:rFonts w:ascii="仿宋_GB2312" w:eastAsia="仿宋_GB2312" w:hAnsi="Calibri" w:cs="Microsoft Himalaya"/>
      <w:b/>
      <w:bCs/>
      <w:kern w:val="2"/>
      <w:sz w:val="30"/>
      <w:szCs w:val="30"/>
    </w:rPr>
  </w:style>
  <w:style w:type="character" w:customStyle="1" w:styleId="KKChar0">
    <w:name w:val="KK二级 Char"/>
    <w:link w:val="KK0"/>
    <w:rsid w:val="00C062EC"/>
    <w:rPr>
      <w:rFonts w:ascii="仿宋_GB2312" w:eastAsia="仿宋_GB2312" w:hAnsi="Calibri" w:cs="Microsoft Himalaya"/>
      <w:b/>
      <w:bCs/>
      <w:kern w:val="2"/>
      <w:sz w:val="30"/>
      <w:szCs w:val="30"/>
    </w:rPr>
  </w:style>
  <w:style w:type="character" w:customStyle="1" w:styleId="Charf">
    <w:name w:val="标题 Char"/>
    <w:link w:val="af8"/>
    <w:rsid w:val="00C062EC"/>
    <w:rPr>
      <w:rFonts w:ascii="Arial" w:hAnsi="Arial"/>
      <w:b/>
      <w:bCs/>
      <w:kern w:val="2"/>
      <w:sz w:val="32"/>
      <w:szCs w:val="32"/>
    </w:rPr>
  </w:style>
  <w:style w:type="character" w:customStyle="1" w:styleId="Char15">
    <w:name w:val="标题 Char1"/>
    <w:link w:val="af8"/>
    <w:uiPriority w:val="10"/>
    <w:rsid w:val="00C062EC"/>
    <w:rPr>
      <w:rFonts w:ascii="Cambria" w:hAnsi="Cambria" w:cs="Times New Roman"/>
      <w:b/>
      <w:bCs/>
      <w:kern w:val="2"/>
      <w:sz w:val="32"/>
      <w:szCs w:val="32"/>
    </w:rPr>
  </w:style>
  <w:style w:type="character" w:customStyle="1" w:styleId="eeeChar">
    <w:name w:val="eee Char"/>
    <w:link w:val="eee"/>
    <w:rsid w:val="00C062EC"/>
    <w:rPr>
      <w:rFonts w:ascii="宋体"/>
      <w:sz w:val="24"/>
      <w:szCs w:val="24"/>
    </w:rPr>
  </w:style>
  <w:style w:type="character" w:customStyle="1" w:styleId="SSEChar0">
    <w:name w:val="SSE内容提要正文 Char"/>
    <w:link w:val="SSE1"/>
    <w:locked/>
    <w:rsid w:val="00C062EC"/>
    <w:rPr>
      <w:rFonts w:eastAsia="仿宋_GB2312"/>
      <w:sz w:val="28"/>
    </w:rPr>
  </w:style>
  <w:style w:type="character" w:customStyle="1" w:styleId="SSEChar1">
    <w:name w:val="SSE资料来源 Char"/>
    <w:link w:val="SSE2"/>
    <w:locked/>
    <w:rsid w:val="00C062EC"/>
    <w:rPr>
      <w:rFonts w:eastAsia="仿宋_GB2312"/>
      <w:color w:val="000000"/>
      <w:sz w:val="21"/>
    </w:rPr>
  </w:style>
  <w:style w:type="character" w:customStyle="1" w:styleId="SSE1Char">
    <w:name w:val="SSE标题1 Char"/>
    <w:link w:val="SSE10"/>
    <w:rsid w:val="00C062EC"/>
    <w:rPr>
      <w:rFonts w:eastAsia="黑体"/>
      <w:b/>
      <w:bCs/>
      <w:kern w:val="44"/>
      <w:sz w:val="30"/>
      <w:szCs w:val="30"/>
    </w:rPr>
  </w:style>
  <w:style w:type="character" w:customStyle="1" w:styleId="SSE2Char">
    <w:name w:val="SSE标题2 Char"/>
    <w:link w:val="SSE20"/>
    <w:rsid w:val="00C062EC"/>
    <w:rPr>
      <w:rFonts w:eastAsia="仿宋_GB2312"/>
      <w:b/>
      <w:bCs/>
      <w:kern w:val="2"/>
      <w:sz w:val="28"/>
      <w:szCs w:val="28"/>
    </w:rPr>
  </w:style>
  <w:style w:type="character" w:customStyle="1" w:styleId="SSEChar2">
    <w:name w:val="SSE正文 Char"/>
    <w:link w:val="SSE3"/>
    <w:rsid w:val="00C062EC"/>
    <w:rPr>
      <w:rFonts w:eastAsia="仿宋_GB2312"/>
      <w:kern w:val="2"/>
      <w:sz w:val="28"/>
      <w:szCs w:val="28"/>
    </w:rPr>
  </w:style>
  <w:style w:type="character" w:customStyle="1" w:styleId="SSEChar3">
    <w:name w:val="SSE图表标题 Char"/>
    <w:link w:val="SSE4"/>
    <w:locked/>
    <w:rsid w:val="00C062EC"/>
    <w:rPr>
      <w:rFonts w:ascii="仿宋_GB2312" w:eastAsia="仿宋_GB2312"/>
      <w:b/>
      <w:bCs/>
      <w:color w:val="000000"/>
      <w:sz w:val="24"/>
      <w:szCs w:val="24"/>
    </w:rPr>
  </w:style>
  <w:style w:type="paragraph" w:styleId="a9">
    <w:name w:val="footer"/>
    <w:basedOn w:val="a"/>
    <w:link w:val="Char"/>
    <w:rsid w:val="00C062EC"/>
    <w:pPr>
      <w:tabs>
        <w:tab w:val="center" w:pos="4153"/>
        <w:tab w:val="right" w:pos="8306"/>
      </w:tabs>
      <w:snapToGrid w:val="0"/>
      <w:jc w:val="left"/>
    </w:pPr>
    <w:rPr>
      <w:sz w:val="18"/>
      <w:szCs w:val="18"/>
    </w:rPr>
  </w:style>
  <w:style w:type="paragraph" w:styleId="ad">
    <w:name w:val="Body Text Indent"/>
    <w:basedOn w:val="a"/>
    <w:link w:val="Char4"/>
    <w:rsid w:val="00C062EC"/>
    <w:pPr>
      <w:tabs>
        <w:tab w:val="left" w:pos="7020"/>
      </w:tabs>
      <w:spacing w:line="600" w:lineRule="exact"/>
      <w:ind w:firstLineChars="200" w:firstLine="600"/>
    </w:pPr>
    <w:rPr>
      <w:rFonts w:ascii="仿宋_GB2312" w:eastAsia="仿宋_GB2312"/>
      <w:sz w:val="30"/>
      <w:szCs w:val="24"/>
    </w:rPr>
  </w:style>
  <w:style w:type="paragraph" w:styleId="af5">
    <w:name w:val="footnote text"/>
    <w:basedOn w:val="a"/>
    <w:link w:val="Charc"/>
    <w:rsid w:val="00C062EC"/>
    <w:pPr>
      <w:snapToGrid w:val="0"/>
      <w:jc w:val="left"/>
    </w:pPr>
    <w:rPr>
      <w:rFonts w:eastAsia="Times New Roman"/>
      <w:sz w:val="18"/>
      <w:szCs w:val="18"/>
    </w:rPr>
  </w:style>
  <w:style w:type="paragraph" w:styleId="21">
    <w:name w:val="Body Text Indent 2"/>
    <w:basedOn w:val="a"/>
    <w:link w:val="2Char1"/>
    <w:rsid w:val="00C062EC"/>
    <w:pPr>
      <w:spacing w:line="600" w:lineRule="exact"/>
      <w:ind w:firstLineChars="200" w:firstLine="600"/>
    </w:pPr>
    <w:rPr>
      <w:rFonts w:ascii="仿宋_GB2312" w:eastAsia="仿宋_GB2312" w:hAnsi="宋体"/>
      <w:sz w:val="30"/>
      <w:szCs w:val="30"/>
    </w:rPr>
  </w:style>
  <w:style w:type="paragraph" w:styleId="31">
    <w:name w:val="Body Text 3"/>
    <w:basedOn w:val="a"/>
    <w:link w:val="3Char2"/>
    <w:rsid w:val="00C062EC"/>
    <w:pPr>
      <w:spacing w:line="840" w:lineRule="exact"/>
      <w:jc w:val="center"/>
    </w:pPr>
    <w:rPr>
      <w:rFonts w:ascii="方正大标宋简体" w:eastAsia="方正大标宋简体" w:hAnsi="宋体"/>
      <w:bCs/>
      <w:sz w:val="42"/>
      <w:szCs w:val="42"/>
    </w:rPr>
  </w:style>
  <w:style w:type="paragraph" w:styleId="20">
    <w:name w:val="Body Text 2"/>
    <w:basedOn w:val="a"/>
    <w:link w:val="2Char0"/>
    <w:rsid w:val="00C062EC"/>
    <w:pPr>
      <w:spacing w:line="840" w:lineRule="exact"/>
      <w:jc w:val="center"/>
    </w:pPr>
    <w:rPr>
      <w:rFonts w:ascii="宋体" w:hAnsi="Courier New"/>
      <w:kern w:val="0"/>
      <w:szCs w:val="21"/>
    </w:rPr>
  </w:style>
  <w:style w:type="paragraph" w:styleId="aa">
    <w:name w:val="endnote text"/>
    <w:basedOn w:val="a"/>
    <w:link w:val="Char0"/>
    <w:rsid w:val="00C062EC"/>
    <w:pPr>
      <w:snapToGrid w:val="0"/>
      <w:jc w:val="left"/>
    </w:pPr>
    <w:rPr>
      <w:kern w:val="0"/>
      <w:sz w:val="24"/>
      <w:szCs w:val="24"/>
    </w:rPr>
  </w:style>
  <w:style w:type="paragraph" w:styleId="ae">
    <w:name w:val="annotation text"/>
    <w:basedOn w:val="a"/>
    <w:link w:val="Char5"/>
    <w:rsid w:val="00C062EC"/>
    <w:pPr>
      <w:jc w:val="left"/>
    </w:pPr>
    <w:rPr>
      <w:kern w:val="0"/>
      <w:sz w:val="24"/>
      <w:szCs w:val="24"/>
    </w:rPr>
  </w:style>
  <w:style w:type="paragraph" w:styleId="af0">
    <w:name w:val="Balloon Text"/>
    <w:basedOn w:val="a"/>
    <w:link w:val="Char7"/>
    <w:semiHidden/>
    <w:rsid w:val="00C062EC"/>
    <w:rPr>
      <w:sz w:val="18"/>
      <w:szCs w:val="18"/>
    </w:rPr>
  </w:style>
  <w:style w:type="paragraph" w:styleId="30">
    <w:name w:val="Body Text Indent 3"/>
    <w:basedOn w:val="a"/>
    <w:link w:val="3Char0"/>
    <w:rsid w:val="00C062EC"/>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af">
    <w:name w:val="header"/>
    <w:basedOn w:val="a"/>
    <w:link w:val="Char6"/>
    <w:rsid w:val="00C062EC"/>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Char8"/>
    <w:rsid w:val="00C062EC"/>
    <w:rPr>
      <w:rFonts w:ascii="楷体_GB2312" w:eastAsia="楷体_GB2312"/>
      <w:sz w:val="32"/>
    </w:rPr>
  </w:style>
  <w:style w:type="paragraph" w:styleId="af3">
    <w:name w:val="Body Text"/>
    <w:basedOn w:val="a"/>
    <w:link w:val="Chara"/>
    <w:rsid w:val="00C062EC"/>
    <w:pPr>
      <w:spacing w:after="120"/>
    </w:pPr>
    <w:rPr>
      <w:rFonts w:eastAsia="Times New Roman"/>
      <w:szCs w:val="24"/>
    </w:rPr>
  </w:style>
  <w:style w:type="paragraph" w:styleId="af6">
    <w:name w:val="annotation subject"/>
    <w:basedOn w:val="ae"/>
    <w:next w:val="ae"/>
    <w:link w:val="Chard"/>
    <w:rsid w:val="00C062EC"/>
    <w:rPr>
      <w:b/>
      <w:bCs/>
      <w:kern w:val="2"/>
      <w:sz w:val="21"/>
    </w:rPr>
  </w:style>
  <w:style w:type="paragraph" w:styleId="af8">
    <w:name w:val="Title"/>
    <w:basedOn w:val="a"/>
    <w:link w:val="Char15"/>
    <w:qFormat/>
    <w:rsid w:val="00C062EC"/>
    <w:pPr>
      <w:spacing w:before="240" w:after="60"/>
      <w:jc w:val="center"/>
      <w:outlineLvl w:val="0"/>
    </w:pPr>
    <w:rPr>
      <w:rFonts w:ascii="Arial" w:hAnsi="Arial"/>
      <w:b/>
      <w:bCs/>
      <w:sz w:val="32"/>
      <w:szCs w:val="32"/>
    </w:rPr>
  </w:style>
  <w:style w:type="paragraph" w:styleId="af9">
    <w:name w:val="Normal (Web)"/>
    <w:basedOn w:val="a"/>
    <w:rsid w:val="00C062EC"/>
    <w:pPr>
      <w:widowControl/>
      <w:spacing w:before="100" w:beforeAutospacing="1" w:after="100" w:afterAutospacing="1"/>
      <w:jc w:val="left"/>
    </w:pPr>
    <w:rPr>
      <w:rFonts w:ascii="宋体" w:hAnsi="宋体" w:cs="宋体"/>
      <w:kern w:val="0"/>
      <w:sz w:val="24"/>
      <w:szCs w:val="24"/>
    </w:rPr>
  </w:style>
  <w:style w:type="paragraph" w:styleId="ac">
    <w:name w:val="Plain Text"/>
    <w:basedOn w:val="a"/>
    <w:link w:val="Char3"/>
    <w:rsid w:val="00C062EC"/>
    <w:rPr>
      <w:rFonts w:ascii="宋体" w:hAnsi="Courier New" w:cs="Courier New"/>
      <w:szCs w:val="21"/>
    </w:rPr>
  </w:style>
  <w:style w:type="paragraph" w:customStyle="1" w:styleId="SSE3">
    <w:name w:val="SSE正文"/>
    <w:basedOn w:val="a"/>
    <w:link w:val="SSEChar2"/>
    <w:qFormat/>
    <w:rsid w:val="00C062EC"/>
    <w:pPr>
      <w:ind w:firstLineChars="200" w:firstLine="200"/>
    </w:pPr>
    <w:rPr>
      <w:rFonts w:eastAsia="仿宋_GB2312"/>
      <w:sz w:val="28"/>
      <w:szCs w:val="28"/>
    </w:rPr>
  </w:style>
  <w:style w:type="paragraph" w:customStyle="1" w:styleId="SSE2">
    <w:name w:val="SSE资料来源"/>
    <w:basedOn w:val="a"/>
    <w:link w:val="SSEChar1"/>
    <w:rsid w:val="00C062EC"/>
    <w:pPr>
      <w:spacing w:after="100" w:afterAutospacing="1"/>
      <w:ind w:firstLineChars="200" w:firstLine="200"/>
    </w:pPr>
    <w:rPr>
      <w:rFonts w:eastAsia="仿宋_GB2312"/>
      <w:color w:val="000000"/>
      <w:kern w:val="0"/>
    </w:rPr>
  </w:style>
  <w:style w:type="paragraph" w:customStyle="1" w:styleId="KK0">
    <w:name w:val="KK二级"/>
    <w:basedOn w:val="a"/>
    <w:link w:val="KKChar0"/>
    <w:qFormat/>
    <w:rsid w:val="00C062EC"/>
    <w:pPr>
      <w:spacing w:line="600" w:lineRule="exact"/>
      <w:jc w:val="left"/>
    </w:pPr>
    <w:rPr>
      <w:rFonts w:ascii="仿宋_GB2312" w:eastAsia="仿宋_GB2312" w:hAnsi="Calibri" w:cs="Microsoft Himalaya"/>
      <w:b/>
      <w:bCs/>
      <w:sz w:val="30"/>
      <w:szCs w:val="30"/>
    </w:rPr>
  </w:style>
  <w:style w:type="paragraph" w:customStyle="1" w:styleId="22">
    <w:name w:val="列出段落2"/>
    <w:basedOn w:val="a"/>
    <w:rsid w:val="00C062EC"/>
    <w:pPr>
      <w:ind w:firstLineChars="200" w:firstLine="420"/>
    </w:pPr>
    <w:rPr>
      <w:szCs w:val="24"/>
    </w:rPr>
  </w:style>
  <w:style w:type="paragraph" w:customStyle="1" w:styleId="11">
    <w:name w:val="列出段落1"/>
    <w:basedOn w:val="a"/>
    <w:rsid w:val="00C062EC"/>
    <w:pPr>
      <w:ind w:firstLineChars="200" w:firstLine="420"/>
    </w:pPr>
    <w:rPr>
      <w:rFonts w:ascii="Calibri" w:hAnsi="Calibri"/>
      <w:szCs w:val="22"/>
    </w:rPr>
  </w:style>
  <w:style w:type="paragraph" w:customStyle="1" w:styleId="dash6b636587">
    <w:name w:val="dash6b63_6587"/>
    <w:basedOn w:val="a"/>
    <w:rsid w:val="00C062EC"/>
    <w:pPr>
      <w:widowControl/>
      <w:spacing w:before="100" w:beforeAutospacing="1" w:after="100" w:afterAutospacing="1"/>
      <w:jc w:val="left"/>
    </w:pPr>
    <w:rPr>
      <w:rFonts w:ascii="宋体" w:hAnsi="宋体" w:cs="宋体"/>
      <w:kern w:val="0"/>
      <w:sz w:val="24"/>
      <w:szCs w:val="24"/>
    </w:rPr>
  </w:style>
  <w:style w:type="paragraph" w:styleId="ab">
    <w:name w:val="List Paragraph"/>
    <w:basedOn w:val="a"/>
    <w:link w:val="Char2"/>
    <w:qFormat/>
    <w:rsid w:val="00C062EC"/>
    <w:pPr>
      <w:ind w:firstLineChars="200" w:firstLine="420"/>
    </w:pPr>
    <w:rPr>
      <w:szCs w:val="24"/>
    </w:rPr>
  </w:style>
  <w:style w:type="paragraph" w:customStyle="1" w:styleId="af2">
    <w:name w:val="内页正文"/>
    <w:link w:val="Char9"/>
    <w:locked/>
    <w:rsid w:val="00C062EC"/>
    <w:pPr>
      <w:suppressAutoHyphens/>
      <w:spacing w:after="120"/>
      <w:jc w:val="both"/>
    </w:pPr>
    <w:rPr>
      <w:rFonts w:ascii="Arial" w:eastAsia="汉仪中等线简" w:hAnsi="Arial"/>
      <w:color w:val="000000"/>
      <w:sz w:val="18"/>
      <w:szCs w:val="18"/>
    </w:rPr>
  </w:style>
  <w:style w:type="paragraph" w:customStyle="1" w:styleId="00">
    <w:name w:val="00正文"/>
    <w:basedOn w:val="a"/>
    <w:rsid w:val="00C062EC"/>
    <w:pPr>
      <w:snapToGrid w:val="0"/>
      <w:spacing w:beforeLines="50" w:afterLines="50" w:line="360" w:lineRule="auto"/>
      <w:ind w:firstLineChars="200" w:firstLine="200"/>
    </w:pPr>
    <w:rPr>
      <w:rFonts w:ascii="宋体" w:hAnsi="宋体"/>
      <w:sz w:val="24"/>
      <w:szCs w:val="24"/>
    </w:rPr>
  </w:style>
  <w:style w:type="paragraph" w:customStyle="1" w:styleId="p0">
    <w:name w:val="p0"/>
    <w:basedOn w:val="a"/>
    <w:rsid w:val="00C062EC"/>
    <w:pPr>
      <w:widowControl/>
    </w:pPr>
    <w:rPr>
      <w:kern w:val="0"/>
      <w:szCs w:val="21"/>
    </w:rPr>
  </w:style>
  <w:style w:type="paragraph" w:customStyle="1" w:styleId="SSE1">
    <w:name w:val="SSE内容提要正文"/>
    <w:basedOn w:val="a"/>
    <w:link w:val="SSEChar0"/>
    <w:rsid w:val="00C062EC"/>
    <w:pPr>
      <w:ind w:firstLineChars="200" w:firstLine="560"/>
    </w:pPr>
    <w:rPr>
      <w:rFonts w:eastAsia="仿宋_GB2312"/>
      <w:kern w:val="0"/>
      <w:sz w:val="28"/>
    </w:rPr>
  </w:style>
  <w:style w:type="paragraph" w:customStyle="1" w:styleId="10">
    <w:name w:val="样式1"/>
    <w:basedOn w:val="a"/>
    <w:link w:val="1Char0"/>
    <w:qFormat/>
    <w:rsid w:val="00C062EC"/>
    <w:pPr>
      <w:tabs>
        <w:tab w:val="left" w:pos="2127"/>
      </w:tabs>
      <w:adjustRightInd w:val="0"/>
      <w:snapToGrid w:val="0"/>
      <w:spacing w:line="540" w:lineRule="exact"/>
      <w:ind w:left="988" w:hanging="420"/>
    </w:pPr>
    <w:rPr>
      <w:rFonts w:ascii="仿宋_GB2312" w:eastAsia="仿宋_GB2312" w:hAnsi="宋体"/>
      <w:kern w:val="0"/>
      <w:sz w:val="30"/>
      <w:szCs w:val="30"/>
    </w:rPr>
  </w:style>
  <w:style w:type="paragraph" w:customStyle="1" w:styleId="12">
    <w:name w:val="列出段落1"/>
    <w:basedOn w:val="a"/>
    <w:qFormat/>
    <w:rsid w:val="00C062EC"/>
    <w:pPr>
      <w:ind w:firstLineChars="200" w:firstLine="420"/>
    </w:pPr>
    <w:rPr>
      <w:rFonts w:ascii="Calibri" w:hAnsi="Calibri"/>
      <w:szCs w:val="22"/>
    </w:rPr>
  </w:style>
  <w:style w:type="paragraph" w:customStyle="1" w:styleId="SSE">
    <w:name w:val="SSE表格文字"/>
    <w:basedOn w:val="a"/>
    <w:link w:val="SSEChar"/>
    <w:rsid w:val="00C062EC"/>
    <w:pPr>
      <w:widowControl/>
      <w:jc w:val="center"/>
    </w:pPr>
    <w:rPr>
      <w:rFonts w:ascii="仿宋_GB2312" w:eastAsia="仿宋_GB2312"/>
      <w:color w:val="000000"/>
      <w:kern w:val="0"/>
      <w:sz w:val="24"/>
      <w:szCs w:val="24"/>
    </w:rPr>
  </w:style>
  <w:style w:type="paragraph" w:customStyle="1" w:styleId="Default">
    <w:name w:val="Default"/>
    <w:rsid w:val="00C062EC"/>
    <w:pPr>
      <w:widowControl w:val="0"/>
      <w:autoSpaceDE w:val="0"/>
      <w:autoSpaceDN w:val="0"/>
      <w:adjustRightInd w:val="0"/>
    </w:pPr>
    <w:rPr>
      <w:rFonts w:ascii="仿宋_GB2312" w:eastAsia="仿宋_GB2312" w:hAnsi="Calibri" w:cs="仿宋_GB2312"/>
      <w:color w:val="000000"/>
      <w:sz w:val="24"/>
      <w:szCs w:val="24"/>
    </w:rPr>
  </w:style>
  <w:style w:type="paragraph" w:customStyle="1" w:styleId="32">
    <w:name w:val="列出段落3"/>
    <w:basedOn w:val="a"/>
    <w:rsid w:val="00C062EC"/>
    <w:pPr>
      <w:ind w:firstLineChars="200" w:firstLine="420"/>
    </w:pPr>
    <w:rPr>
      <w:szCs w:val="24"/>
    </w:rPr>
  </w:style>
  <w:style w:type="paragraph" w:customStyle="1" w:styleId="SSE0">
    <w:name w:val="SSE标题0"/>
    <w:basedOn w:val="a"/>
    <w:link w:val="SSE0Char"/>
    <w:qFormat/>
    <w:rsid w:val="00C062EC"/>
    <w:pPr>
      <w:spacing w:before="100" w:beforeAutospacing="1" w:after="100" w:afterAutospacing="1"/>
      <w:jc w:val="center"/>
    </w:pPr>
    <w:rPr>
      <w:rFonts w:eastAsia="华文中宋"/>
      <w:b/>
      <w:sz w:val="44"/>
      <w:szCs w:val="44"/>
    </w:rPr>
  </w:style>
  <w:style w:type="paragraph" w:customStyle="1" w:styleId="13">
    <w:name w:val="无间隔1"/>
    <w:rsid w:val="00C062EC"/>
    <w:pPr>
      <w:widowControl w:val="0"/>
      <w:jc w:val="both"/>
    </w:pPr>
    <w:rPr>
      <w:rFonts w:ascii="Calibri" w:hAnsi="Calibri"/>
      <w:kern w:val="2"/>
      <w:sz w:val="21"/>
      <w:szCs w:val="22"/>
    </w:rPr>
  </w:style>
  <w:style w:type="paragraph" w:customStyle="1" w:styleId="eee">
    <w:name w:val="eee"/>
    <w:basedOn w:val="a"/>
    <w:link w:val="eeeChar"/>
    <w:qFormat/>
    <w:rsid w:val="00C062EC"/>
    <w:pPr>
      <w:autoSpaceDE w:val="0"/>
      <w:autoSpaceDN w:val="0"/>
      <w:adjustRightInd w:val="0"/>
      <w:spacing w:line="360" w:lineRule="auto"/>
      <w:ind w:firstLineChars="200" w:firstLine="480"/>
    </w:pPr>
    <w:rPr>
      <w:rFonts w:ascii="宋体"/>
      <w:kern w:val="0"/>
      <w:sz w:val="24"/>
      <w:szCs w:val="24"/>
    </w:rPr>
  </w:style>
  <w:style w:type="paragraph" w:customStyle="1" w:styleId="doc-a2">
    <w:name w:val="doc-a2"/>
    <w:basedOn w:val="a"/>
    <w:rsid w:val="00C062EC"/>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af4">
    <w:name w:val="条款"/>
    <w:basedOn w:val="a"/>
    <w:link w:val="Charb"/>
    <w:rsid w:val="00C062EC"/>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customStyle="1" w:styleId="SSE4">
    <w:name w:val="SSE图表标题"/>
    <w:basedOn w:val="6"/>
    <w:link w:val="SSEChar3"/>
    <w:rsid w:val="00C062EC"/>
    <w:pPr>
      <w:spacing w:beforeLines="50" w:after="0" w:line="240" w:lineRule="auto"/>
      <w:jc w:val="center"/>
    </w:pPr>
    <w:rPr>
      <w:rFonts w:ascii="仿宋_GB2312" w:eastAsia="仿宋_GB2312" w:hAnsi="Times New Roman"/>
      <w:color w:val="000000"/>
      <w:kern w:val="0"/>
    </w:rPr>
  </w:style>
  <w:style w:type="paragraph" w:customStyle="1" w:styleId="KK">
    <w:name w:val="KK一级"/>
    <w:basedOn w:val="a"/>
    <w:link w:val="KKChar"/>
    <w:qFormat/>
    <w:rsid w:val="00C062EC"/>
    <w:pPr>
      <w:spacing w:line="600" w:lineRule="exact"/>
      <w:jc w:val="left"/>
    </w:pPr>
    <w:rPr>
      <w:rFonts w:ascii="仿宋_GB2312" w:eastAsia="仿宋_GB2312" w:hAnsi="Calibri" w:cs="Microsoft Himalaya"/>
      <w:b/>
      <w:bCs/>
      <w:sz w:val="30"/>
      <w:szCs w:val="30"/>
    </w:rPr>
  </w:style>
  <w:style w:type="paragraph" w:customStyle="1" w:styleId="Char30">
    <w:name w:val="Char3"/>
    <w:basedOn w:val="a"/>
    <w:rsid w:val="00C062EC"/>
    <w:rPr>
      <w:szCs w:val="21"/>
    </w:rPr>
  </w:style>
  <w:style w:type="paragraph" w:customStyle="1" w:styleId="SSE20">
    <w:name w:val="SSE标题2"/>
    <w:basedOn w:val="2"/>
    <w:link w:val="SSE2Char"/>
    <w:qFormat/>
    <w:rsid w:val="00C062EC"/>
    <w:pPr>
      <w:spacing w:beforeLines="50" w:after="0" w:line="240" w:lineRule="auto"/>
    </w:pPr>
    <w:rPr>
      <w:rFonts w:ascii="Times New Roman" w:eastAsia="仿宋_GB2312" w:hAnsi="Times New Roman"/>
      <w:kern w:val="2"/>
      <w:sz w:val="28"/>
      <w:szCs w:val="28"/>
    </w:rPr>
  </w:style>
  <w:style w:type="paragraph" w:customStyle="1" w:styleId="SSE10">
    <w:name w:val="SSE标题1"/>
    <w:basedOn w:val="1"/>
    <w:link w:val="SSE1Char"/>
    <w:qFormat/>
    <w:rsid w:val="00C062EC"/>
    <w:pPr>
      <w:spacing w:before="0" w:after="120" w:line="240" w:lineRule="auto"/>
    </w:pPr>
    <w:rPr>
      <w:rFonts w:eastAsia="黑体"/>
      <w:sz w:val="30"/>
      <w:szCs w:val="30"/>
    </w:rPr>
  </w:style>
  <w:style w:type="paragraph" w:customStyle="1" w:styleId="af7">
    <w:name w:val="语句"/>
    <w:basedOn w:val="a"/>
    <w:link w:val="Chare"/>
    <w:qFormat/>
    <w:rsid w:val="00C062EC"/>
    <w:pPr>
      <w:widowControl/>
      <w:snapToGrid w:val="0"/>
      <w:spacing w:line="540" w:lineRule="exact"/>
      <w:ind w:firstLineChars="189" w:firstLine="567"/>
    </w:pPr>
    <w:rPr>
      <w:rFonts w:ascii="仿宋_GB2312" w:eastAsia="仿宋_GB2312"/>
      <w:b/>
      <w:i/>
      <w:kern w:val="0"/>
      <w:sz w:val="30"/>
      <w:szCs w:val="30"/>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3175</Words>
  <Characters>197</Characters>
  <Application>Microsoft Office Word</Application>
  <DocSecurity>0</DocSecurity>
  <Lines>1</Lines>
  <Paragraphs>6</Paragraphs>
  <ScaleCrop>false</ScaleCrop>
  <Company>Hewlett-Packard Company</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2017-02-07T08:52:00Z</cp:lastPrinted>
  <dcterms:created xsi:type="dcterms:W3CDTF">2017-09-08T11:03:00Z</dcterms:created>
  <dcterms:modified xsi:type="dcterms:W3CDTF">2017-09-08T11:03:00Z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