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A8A8" w14:textId="77777777" w:rsidR="00131E0F" w:rsidRDefault="00A65BAA" w:rsidP="00EC016D">
      <w:pPr>
        <w:autoSpaceDE w:val="0"/>
        <w:spacing w:line="600" w:lineRule="exact"/>
        <w:rPr>
          <w:rFonts w:ascii="黑体" w:eastAsia="黑体" w:hAnsi="黑体" w:cs="黑体"/>
          <w:bCs/>
          <w:sz w:val="32"/>
          <w:szCs w:val="32"/>
        </w:rPr>
      </w:pPr>
      <w:r w:rsidRPr="00EC016D">
        <w:rPr>
          <w:rFonts w:ascii="黑体" w:eastAsia="黑体" w:hAnsi="黑体" w:cs="黑体" w:hint="eastAsia"/>
          <w:bCs/>
          <w:sz w:val="32"/>
          <w:szCs w:val="32"/>
        </w:rPr>
        <w:t>附件</w:t>
      </w:r>
      <w:r w:rsidRPr="00EC016D">
        <w:rPr>
          <w:rFonts w:ascii="黑体" w:eastAsia="黑体" w:hAnsi="黑体" w:cs="黑体"/>
          <w:bCs/>
          <w:sz w:val="32"/>
          <w:szCs w:val="32"/>
        </w:rPr>
        <w:t>1</w:t>
      </w:r>
    </w:p>
    <w:p w14:paraId="2F5902EF" w14:textId="77777777" w:rsidR="00131E0F" w:rsidRDefault="00131E0F" w:rsidP="00EC016D">
      <w:pPr>
        <w:tabs>
          <w:tab w:val="center" w:pos="4150"/>
          <w:tab w:val="left" w:pos="6371"/>
        </w:tabs>
        <w:autoSpaceDE w:val="0"/>
        <w:spacing w:line="600" w:lineRule="exact"/>
      </w:pPr>
    </w:p>
    <w:p w14:paraId="04D25B3A" w14:textId="77777777" w:rsidR="00131E0F" w:rsidRPr="00C61597" w:rsidRDefault="00A65BAA" w:rsidP="00EC016D">
      <w:pPr>
        <w:pStyle w:val="1"/>
        <w:spacing w:line="600" w:lineRule="exact"/>
        <w:rPr>
          <w:rFonts w:ascii="方正小标宋简体" w:eastAsia="方正小标宋简体" w:hAnsi="方正小标宋简体" w:cs="方正小标宋_GBK"/>
        </w:rPr>
      </w:pPr>
      <w:r w:rsidRPr="00C61597">
        <w:rPr>
          <w:rFonts w:ascii="方正小标宋简体" w:eastAsia="方正小标宋简体" w:hAnsi="方正小标宋简体" w:cs="方正小标宋_GBK" w:hint="eastAsia"/>
        </w:rPr>
        <w:t>资本工具合格标准</w:t>
      </w:r>
    </w:p>
    <w:p w14:paraId="15026FBA" w14:textId="77777777" w:rsidR="00131E0F" w:rsidRDefault="00131E0F" w:rsidP="00EC016D">
      <w:pPr>
        <w:spacing w:line="600" w:lineRule="exact"/>
        <w:jc w:val="center"/>
        <w:rPr>
          <w:rFonts w:ascii="黑体" w:eastAsia="黑体" w:hAnsi="黑体"/>
          <w:sz w:val="36"/>
          <w:szCs w:val="36"/>
        </w:rPr>
      </w:pPr>
    </w:p>
    <w:p w14:paraId="1984FA21" w14:textId="77777777" w:rsidR="00131E0F" w:rsidRDefault="00A65BAA" w:rsidP="00EC016D">
      <w:pPr>
        <w:pStyle w:val="2"/>
        <w:spacing w:line="600" w:lineRule="exact"/>
      </w:pPr>
      <w:r>
        <w:rPr>
          <w:rFonts w:hint="eastAsia"/>
        </w:rPr>
        <w:t>一、</w:t>
      </w:r>
      <w:r>
        <w:t>核心一级资本工具的合格标准</w:t>
      </w:r>
    </w:p>
    <w:p w14:paraId="1D7C8960"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（一）直接发行且实缴的。</w:t>
      </w:r>
    </w:p>
    <w:p w14:paraId="4DAEE2FE"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（二）按照相关会计准则，实缴资本的数额被列为权益，并在资产负债表上单独列示和披露。</w:t>
      </w:r>
    </w:p>
    <w:p w14:paraId="4947102D"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（三）发行银行或其关联机构不得提供抵押或保证，也不得通过其他安排使其在法律或经济上享有优先受偿权。</w:t>
      </w:r>
    </w:p>
    <w:p w14:paraId="46446963"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（四）没有到期日，且发行时不应造成该工具将被回购、赎回或取消的预期，法律和合同条款也不应包含产生此种预期的规定。</w:t>
      </w:r>
    </w:p>
    <w:p w14:paraId="498BC90A"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（五）在进入破产清算程序时，受偿顺序排在最后。所有其他债权偿付后，对剩余资产按所发行股本比例清偿。</w:t>
      </w:r>
    </w:p>
    <w:p w14:paraId="12AC68D1"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（六）该部分资本应在资本工具减记之前，首先并按比例承担绝大多数损失，在持续经营条件下，所有最高质量的资本工具都应按同一顺序等比例吸收损失。</w:t>
      </w:r>
    </w:p>
    <w:p w14:paraId="7B3DC7C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（七）收益分配应当来自于可分配项目。分配比例完全由银行自由裁量，不以任何形式与发行的数额挂钩，也不应设置上限，但不得超过可分配项目的数额。</w:t>
      </w:r>
    </w:p>
    <w:p w14:paraId="0C2623CB"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（八）在任何情况下，收益分配都不是义务，且不分配不</w:t>
      </w:r>
      <w:r>
        <w:rPr>
          <w:rFonts w:ascii="仿宋_GB2312" w:eastAsia="仿宋_GB2312" w:hAnsi="仿宋" w:hint="eastAsia"/>
          <w:sz w:val="30"/>
          <w:szCs w:val="30"/>
        </w:rPr>
        <w:lastRenderedPageBreak/>
        <w:t>得被视为违约。</w:t>
      </w:r>
    </w:p>
    <w:p w14:paraId="2E37D806"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（九）不享有任何优先收益分配权，所有最高质量的资本工具的分配权都是平等的。</w:t>
      </w:r>
    </w:p>
    <w:p w14:paraId="2F67174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（十）发行银行不得直接或间接为购买该工具提供融资。</w:t>
      </w:r>
    </w:p>
    <w:p w14:paraId="20F4C202" w14:textId="77777777" w:rsidR="00131E0F" w:rsidRDefault="00A65BAA" w:rsidP="00EC016D">
      <w:pPr>
        <w:spacing w:line="600" w:lineRule="exact"/>
        <w:ind w:firstLineChars="200" w:firstLine="600"/>
        <w:rPr>
          <w:rFonts w:ascii="仿宋_GB2312" w:eastAsia="仿宋_GB2312" w:hAnsi="仿宋"/>
          <w:sz w:val="28"/>
          <w:szCs w:val="28"/>
        </w:rPr>
      </w:pPr>
      <w:r>
        <w:rPr>
          <w:rFonts w:ascii="仿宋_GB2312" w:eastAsia="仿宋_GB2312" w:hAnsi="仿宋" w:hint="eastAsia"/>
          <w:sz w:val="30"/>
          <w:szCs w:val="30"/>
        </w:rPr>
        <w:t>（十一）发行必须得到发行银行的股东大会，或经股东大会授权的董事会或其他人员批准。</w:t>
      </w:r>
    </w:p>
    <w:p w14:paraId="68C37794" w14:textId="77777777" w:rsidR="00131E0F" w:rsidRDefault="00A65BAA" w:rsidP="00EC016D">
      <w:pPr>
        <w:pStyle w:val="2"/>
        <w:spacing w:line="600" w:lineRule="exact"/>
      </w:pPr>
      <w:r>
        <w:rPr>
          <w:rFonts w:hint="eastAsia"/>
        </w:rPr>
        <w:t>二、其他一级资本工具的合格标准</w:t>
      </w:r>
    </w:p>
    <w:p w14:paraId="2DCF531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（一）发行且实缴的。</w:t>
      </w:r>
    </w:p>
    <w:p w14:paraId="05B36988"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（二）受偿顺序排在存款人、一般债权人和次级债务之后。</w:t>
      </w:r>
    </w:p>
    <w:p w14:paraId="4EE44785"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（三）发行银行或其关联机构不得提供抵押或保证，也不得通过其他安排使其相对于发行银行的债权人在法律或经济上享有优先受偿权。</w:t>
      </w:r>
    </w:p>
    <w:p w14:paraId="26988D3D"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（四）没有到期日，并且不得含有利率跳升机制及其他赎回激励。</w:t>
      </w:r>
    </w:p>
    <w:p w14:paraId="456F216B" w14:textId="714DB993"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（五）自发行之日起，至少</w:t>
      </w:r>
      <w:r>
        <w:rPr>
          <w:rFonts w:ascii="仿宋_GB2312" w:eastAsia="仿宋_GB2312" w:hAnsi="仿宋"/>
          <w:sz w:val="30"/>
          <w:szCs w:val="30"/>
        </w:rPr>
        <w:t>5年后方可由发行银行赎回，但发行银行不得形成赎回权将被行使的预期，且行使赎回权</w:t>
      </w:r>
      <w:r>
        <w:rPr>
          <w:rFonts w:ascii="仿宋_GB2312" w:eastAsia="仿宋_GB2312" w:hAnsi="仿宋" w:hint="eastAsia"/>
          <w:sz w:val="30"/>
          <w:szCs w:val="30"/>
        </w:rPr>
        <w:t>前</w:t>
      </w:r>
      <w:r>
        <w:rPr>
          <w:rFonts w:ascii="仿宋_GB2312" w:eastAsia="仿宋_GB2312" w:hAnsi="仿宋"/>
          <w:sz w:val="30"/>
          <w:szCs w:val="30"/>
        </w:rPr>
        <w:t>应</w:t>
      </w:r>
      <w:r>
        <w:rPr>
          <w:rFonts w:ascii="仿宋_GB2312" w:eastAsia="仿宋_GB2312" w:hAnsi="仿宋" w:hint="eastAsia"/>
          <w:sz w:val="30"/>
          <w:szCs w:val="30"/>
        </w:rPr>
        <w:t>经国家金融监督管理总局或其派出机构认可</w:t>
      </w:r>
      <w:r>
        <w:rPr>
          <w:rFonts w:ascii="仿宋_GB2312" w:eastAsia="仿宋_GB2312" w:hAnsi="仿宋"/>
          <w:sz w:val="30"/>
          <w:szCs w:val="30"/>
        </w:rPr>
        <w:t>。</w:t>
      </w:r>
    </w:p>
    <w:p w14:paraId="5361F1EB"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（六）发行银行赎回其他一级资本工具，应符合以下要求：</w:t>
      </w:r>
    </w:p>
    <w:p w14:paraId="6F8A9B5C" w14:textId="4DD54213"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w:t>
      </w:r>
      <w:r>
        <w:rPr>
          <w:rFonts w:ascii="仿宋_GB2312" w:eastAsia="仿宋_GB2312" w:hAnsi="仿宋"/>
          <w:sz w:val="30"/>
          <w:szCs w:val="30"/>
        </w:rPr>
        <w:t>使用同等或更高质量的资本工具替换被赎回的工具，并且只有在收入能力具备可持续性的条件下才能实施资本工具的替换。</w:t>
      </w:r>
    </w:p>
    <w:p w14:paraId="33771434" w14:textId="438A902D"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w:t>
      </w:r>
      <w:r>
        <w:rPr>
          <w:rFonts w:ascii="仿宋_GB2312" w:eastAsia="仿宋_GB2312" w:hAnsi="仿宋"/>
          <w:sz w:val="30"/>
          <w:szCs w:val="30"/>
        </w:rPr>
        <w:t>或者</w:t>
      </w:r>
      <w:r>
        <w:rPr>
          <w:rFonts w:ascii="仿宋_GB2312" w:eastAsia="仿宋_GB2312" w:hAnsi="仿宋" w:hint="eastAsia"/>
          <w:sz w:val="30"/>
          <w:szCs w:val="30"/>
        </w:rPr>
        <w:t>，</w:t>
      </w:r>
      <w:r>
        <w:rPr>
          <w:rFonts w:ascii="仿宋_GB2312" w:eastAsia="仿宋_GB2312" w:hAnsi="仿宋"/>
          <w:sz w:val="30"/>
          <w:szCs w:val="30"/>
        </w:rPr>
        <w:t>行使赎回权后的资本水平仍明显高于</w:t>
      </w:r>
      <w:r>
        <w:rPr>
          <w:rFonts w:ascii="仿宋_GB2312" w:eastAsia="仿宋_GB2312" w:hAnsi="仿宋" w:hint="eastAsia"/>
          <w:sz w:val="30"/>
          <w:szCs w:val="30"/>
        </w:rPr>
        <w:t>国家金融监督管理总局</w:t>
      </w:r>
      <w:r>
        <w:rPr>
          <w:rFonts w:ascii="仿宋_GB2312" w:eastAsia="仿宋_GB2312" w:hAnsi="仿宋"/>
          <w:sz w:val="30"/>
          <w:szCs w:val="30"/>
        </w:rPr>
        <w:t>规定的监管资本要求。</w:t>
      </w:r>
    </w:p>
    <w:p w14:paraId="7A4EEB6D" w14:textId="2055AEA9"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（七）资本工具发生本金偿付前，发行银行应经国家金融监督管理总局或其派出机构认可，并且不得假设或形成本金偿付将得到国家金融监督管理总局或其派出机构认可的市场预期。</w:t>
      </w:r>
    </w:p>
    <w:p w14:paraId="40AA9AF3"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八）任何情况下发行银行都有权取消资本工具的分红或派息，且不构成违约事件。发行银行可以自由支配取消的收益用于偿付其他到期债务。取消分红或派息除构成对普通股的收益分配限制以外，不得构成对发行银行的其他限制。</w:t>
      </w:r>
    </w:p>
    <w:p w14:paraId="6C073AE9"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九）按照相关会计准则，若该工具被列为权益，须至少设定无法生存触发事件；若该工具被列为负债，须同时设定持续经营触发事件和无法生存触发事件。在满足以下最低合格标准的基础上，商业银行可根据市场情况和投资者意愿，在合同中自主设定更高标准。</w:t>
      </w:r>
    </w:p>
    <w:p w14:paraId="6C6BE64B" w14:textId="121A4A83"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w:t>
      </w:r>
      <w:r>
        <w:rPr>
          <w:rFonts w:ascii="仿宋_GB2312" w:eastAsia="仿宋_GB2312" w:hAnsi="仿宋"/>
          <w:sz w:val="30"/>
          <w:szCs w:val="30"/>
        </w:rPr>
        <w:t>持续经营触发事件指商业银行核心一级资本充足率降至5.125%（或以下）。</w:t>
      </w:r>
    </w:p>
    <w:p w14:paraId="026EA996" w14:textId="16CF4311"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w:t>
      </w:r>
      <w:r>
        <w:rPr>
          <w:rFonts w:ascii="仿宋_GB2312" w:eastAsia="仿宋_GB2312" w:hAnsi="仿宋"/>
          <w:sz w:val="30"/>
          <w:szCs w:val="30"/>
        </w:rPr>
        <w:t>无法生存触发事件指以下两种情形中的较早发生者：（1）</w:t>
      </w:r>
      <w:r>
        <w:rPr>
          <w:rFonts w:ascii="仿宋_GB2312" w:eastAsia="仿宋_GB2312" w:hAnsi="仿宋" w:hint="eastAsia"/>
          <w:sz w:val="30"/>
          <w:szCs w:val="30"/>
        </w:rPr>
        <w:t>国家金融监督管理总局</w:t>
      </w:r>
      <w:r>
        <w:rPr>
          <w:rFonts w:ascii="仿宋_GB2312" w:eastAsia="仿宋_GB2312" w:hAnsi="仿宋"/>
          <w:sz w:val="30"/>
          <w:szCs w:val="30"/>
        </w:rPr>
        <w:t>认定若不进行减记或转股，该商业银行将无法生存；（2）相关部门认定若不进行公共部门注资或提供同等效力的支持，该商业银行将无法生存。</w:t>
      </w:r>
    </w:p>
    <w:p w14:paraId="6A6C86FA"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（十）必须含有减记或转股的条款，当触发事件发生时，该资本工具能立即减记或者转为普通股。</w:t>
      </w:r>
    </w:p>
    <w:p w14:paraId="60831A75"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对于包含减记条款的资本工具：</w:t>
      </w:r>
    </w:p>
    <w:p w14:paraId="209AF217" w14:textId="284CA8DC"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w:t>
      </w:r>
      <w:r>
        <w:rPr>
          <w:rFonts w:ascii="仿宋_GB2312" w:eastAsia="仿宋_GB2312" w:hAnsi="仿宋"/>
          <w:sz w:val="30"/>
          <w:szCs w:val="30"/>
        </w:rPr>
        <w:t>当持续经营触发事件发生时，已设定该触发事件的其他一级资本工具的本金应立即按合同约定进行减记。减记可采取</w:t>
      </w:r>
      <w:r>
        <w:rPr>
          <w:rFonts w:ascii="仿宋_GB2312" w:eastAsia="仿宋_GB2312" w:hAnsi="仿宋"/>
          <w:sz w:val="30"/>
          <w:szCs w:val="30"/>
        </w:rPr>
        <w:lastRenderedPageBreak/>
        <w:t>全额减记或部分减记两种方式，并使商业银行的核心一级资本充足率恢复到触发点以上，减记部分不可恢复。</w:t>
      </w:r>
    </w:p>
    <w:p w14:paraId="7346324C" w14:textId="1FF6D6EA"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w:t>
      </w:r>
      <w:r>
        <w:rPr>
          <w:rFonts w:ascii="仿宋_GB2312" w:eastAsia="仿宋_GB2312" w:hAnsi="仿宋"/>
          <w:sz w:val="30"/>
          <w:szCs w:val="30"/>
        </w:rPr>
        <w:t>当无法生存触发事件发生时，已设定该触发事件的其他一级资本工具的本金应能够立即按合同约定进行全额</w:t>
      </w:r>
      <w:r>
        <w:rPr>
          <w:rFonts w:ascii="仿宋_GB2312" w:eastAsia="仿宋_GB2312" w:hAnsi="仿宋" w:hint="eastAsia"/>
          <w:sz w:val="30"/>
          <w:szCs w:val="30"/>
        </w:rPr>
        <w:t>或部分减记</w:t>
      </w:r>
      <w:r>
        <w:rPr>
          <w:rFonts w:ascii="仿宋_GB2312" w:eastAsia="仿宋_GB2312" w:hAnsi="仿宋"/>
          <w:sz w:val="30"/>
          <w:szCs w:val="30"/>
        </w:rPr>
        <w:t>，减记部分不可恢复。</w:t>
      </w:r>
    </w:p>
    <w:p w14:paraId="6704748F"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对于包含转股条款的资本工具：</w:t>
      </w:r>
    </w:p>
    <w:p w14:paraId="30F881F8" w14:textId="5B9FA46D"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w:t>
      </w:r>
      <w:r>
        <w:rPr>
          <w:rFonts w:ascii="仿宋_GB2312" w:eastAsia="仿宋_GB2312" w:hAnsi="仿宋"/>
          <w:sz w:val="30"/>
          <w:szCs w:val="30"/>
        </w:rPr>
        <w:t>当持续经营触发事件发生时，已设定该触发事件的其他一级资本工具的本金应立即按合同约定转为普通股。转股可采取全额转股或部分转股两种方式，并使商业银行的核心一级资本充足率恢复到触发点以上。</w:t>
      </w:r>
    </w:p>
    <w:p w14:paraId="489ECFC6" w14:textId="1673C623"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w:t>
      </w:r>
      <w:r>
        <w:rPr>
          <w:rFonts w:ascii="仿宋_GB2312" w:eastAsia="仿宋_GB2312" w:hAnsi="仿宋"/>
          <w:sz w:val="30"/>
          <w:szCs w:val="30"/>
        </w:rPr>
        <w:t>当无法生存触发事件发生时，已设定该触发事件的其他一级资本工具的本金应能够立即按合同约定全额</w:t>
      </w:r>
      <w:r>
        <w:rPr>
          <w:rFonts w:ascii="仿宋_GB2312" w:eastAsia="仿宋_GB2312" w:hAnsi="仿宋" w:hint="eastAsia"/>
          <w:sz w:val="30"/>
          <w:szCs w:val="30"/>
        </w:rPr>
        <w:t>或部分</w:t>
      </w:r>
      <w:r>
        <w:rPr>
          <w:rFonts w:ascii="仿宋_GB2312" w:eastAsia="仿宋_GB2312" w:hAnsi="仿宋"/>
          <w:sz w:val="30"/>
          <w:szCs w:val="30"/>
        </w:rPr>
        <w:t>转为普通股。</w:t>
      </w:r>
    </w:p>
    <w:p w14:paraId="0F95C01D"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（十一）当触发事件发生时，设置了同一触发事件的其他一级资本工具都应同时按各工具占该级别资本工具总额的比例吸收损失。</w:t>
      </w:r>
    </w:p>
    <w:p w14:paraId="7EF7E290"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（十二）所有其他一级资本工具全部吸收损失后，再启动二级资本工具吸收损失。</w:t>
      </w:r>
    </w:p>
    <w:p w14:paraId="06BB99D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（十三）分红或派息必须来自于可分配项目，且分红或派息不得与发行银行自身的评级挂钩，也不得随着评级变化而调整。</w:t>
      </w:r>
    </w:p>
    <w:p w14:paraId="66097364"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（十四）不得包含妨碍发行银行补充资本的条款。</w:t>
      </w:r>
    </w:p>
    <w:p w14:paraId="139CBC91"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（十五）发行银行及受其控制或有重要影响的关联方不得</w:t>
      </w:r>
      <w:r>
        <w:rPr>
          <w:rFonts w:ascii="仿宋_GB2312" w:eastAsia="仿宋_GB2312" w:hAnsi="仿宋" w:hint="eastAsia"/>
          <w:sz w:val="30"/>
          <w:szCs w:val="30"/>
        </w:rPr>
        <w:lastRenderedPageBreak/>
        <w:t>购买该工具，且发行银行不得直接或间接为购买该资本工具提供融资。</w:t>
      </w:r>
    </w:p>
    <w:p w14:paraId="7EFAB61A"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（十六）某项资本工具不是由经营实体或控股公司发行的，发行所筹集的资金必须无条件立即转移给经营实体或控股公司，且转移的方式必须至少满足前述其他一级资本工具的合格标准。</w:t>
      </w:r>
    </w:p>
    <w:p w14:paraId="732902D2"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（十七）若对因减记导致的资本工具投资者损失进行补偿，应在公共部门注资前采取普通股的形式立即支付。</w:t>
      </w:r>
    </w:p>
    <w:p w14:paraId="075E2A6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（十八）发行含转股条款的资本工具，应事前获得必要的授权，确保触发事件发生时，商业银行能立即按合同约定发行相应数量的普通股。</w:t>
      </w:r>
    </w:p>
    <w:p w14:paraId="428D6B7D" w14:textId="77777777" w:rsidR="00131E0F" w:rsidRDefault="00A65BAA" w:rsidP="00EC016D">
      <w:pPr>
        <w:pStyle w:val="2"/>
        <w:spacing w:line="600" w:lineRule="exact"/>
      </w:pPr>
      <w:r>
        <w:rPr>
          <w:rFonts w:hint="eastAsia"/>
        </w:rPr>
        <w:t>三、二级资本工具的合格标准</w:t>
      </w:r>
    </w:p>
    <w:p w14:paraId="46616B7C"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（一）发行且实缴的。</w:t>
      </w:r>
    </w:p>
    <w:p w14:paraId="22653C0E"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（二）受偿顺序排在存款人和一般债权人之后。</w:t>
      </w:r>
    </w:p>
    <w:p w14:paraId="20BDADEB"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（三）不得由发行银行或其关联机构提供抵押或保证，也不得通过其他安排使其相对于发行银行的存款人和一般债权人在法律或经济上享有优先受偿权。</w:t>
      </w:r>
    </w:p>
    <w:p w14:paraId="27C5D921"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（四）原始期限不低于</w:t>
      </w:r>
      <w:r>
        <w:rPr>
          <w:rFonts w:ascii="仿宋_GB2312" w:eastAsia="仿宋_GB2312" w:hAnsi="仿宋"/>
          <w:sz w:val="30"/>
          <w:szCs w:val="30"/>
        </w:rPr>
        <w:t>5年，并且不得含有利率跳升机制及其他赎回激励。</w:t>
      </w:r>
    </w:p>
    <w:p w14:paraId="6C2788C6" w14:textId="7284ECB3"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（五）自发行之日起，至少</w:t>
      </w:r>
      <w:r>
        <w:rPr>
          <w:rFonts w:ascii="仿宋_GB2312" w:eastAsia="仿宋_GB2312" w:hAnsi="仿宋"/>
          <w:sz w:val="30"/>
          <w:szCs w:val="30"/>
        </w:rPr>
        <w:t>5年后方可由发行银行赎回，但发行银行不得形成赎回权将被行使的预期，且行使赎回权</w:t>
      </w:r>
      <w:r>
        <w:rPr>
          <w:rFonts w:ascii="仿宋_GB2312" w:eastAsia="仿宋_GB2312" w:hAnsi="仿宋" w:hint="eastAsia"/>
          <w:sz w:val="30"/>
          <w:szCs w:val="30"/>
        </w:rPr>
        <w:t>前应经国家金融监督管理总局或其派出机构认可</w:t>
      </w:r>
      <w:r>
        <w:rPr>
          <w:rFonts w:ascii="仿宋_GB2312" w:eastAsia="仿宋_GB2312" w:hAnsi="仿宋"/>
          <w:sz w:val="30"/>
          <w:szCs w:val="30"/>
        </w:rPr>
        <w:t>。</w:t>
      </w:r>
    </w:p>
    <w:p w14:paraId="43B70034"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（六）发行银行赎回二级资本工具，应符合以下要求：</w:t>
      </w:r>
    </w:p>
    <w:p w14:paraId="5E8F907F"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sz w:val="30"/>
          <w:szCs w:val="30"/>
        </w:rPr>
        <w:t>．</w:t>
      </w:r>
      <w:r>
        <w:rPr>
          <w:rFonts w:ascii="仿宋_GB2312" w:eastAsia="仿宋_GB2312" w:hAnsi="仿宋"/>
          <w:sz w:val="30"/>
          <w:szCs w:val="30"/>
        </w:rPr>
        <w:t>使用同等或更高质量的资本工具替换被赎回的工具，并</w:t>
      </w:r>
      <w:r>
        <w:rPr>
          <w:rFonts w:ascii="仿宋_GB2312" w:eastAsia="仿宋_GB2312" w:hAnsi="仿宋"/>
          <w:sz w:val="30"/>
          <w:szCs w:val="30"/>
        </w:rPr>
        <w:lastRenderedPageBreak/>
        <w:t>且只有在收入能力具备可持续性的条件下才能实施资本工具的替换。</w:t>
      </w:r>
    </w:p>
    <w:p w14:paraId="44A74E86" w14:textId="707993DF"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w:t>
      </w:r>
      <w:r>
        <w:rPr>
          <w:rFonts w:ascii="仿宋_GB2312" w:eastAsia="仿宋_GB2312" w:hAnsi="仿宋"/>
          <w:sz w:val="30"/>
          <w:szCs w:val="30"/>
        </w:rPr>
        <w:t>或者，行使赎回权后的资本水平仍明显高于</w:t>
      </w:r>
      <w:r>
        <w:rPr>
          <w:rFonts w:ascii="仿宋_GB2312" w:eastAsia="仿宋_GB2312" w:hAnsi="仿宋" w:hint="eastAsia"/>
          <w:sz w:val="30"/>
          <w:szCs w:val="30"/>
        </w:rPr>
        <w:t>国家金融监督管理总局</w:t>
      </w:r>
      <w:r>
        <w:rPr>
          <w:rFonts w:ascii="仿宋_GB2312" w:eastAsia="仿宋_GB2312" w:hAnsi="仿宋"/>
          <w:sz w:val="30"/>
          <w:szCs w:val="30"/>
        </w:rPr>
        <w:t>规定的监管资本要求。</w:t>
      </w:r>
    </w:p>
    <w:p w14:paraId="617C4438"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（七）二级资本工具须设定无法生存触发事件。无法生存触发事件与其他一级资本工具中的定义相同。</w:t>
      </w:r>
    </w:p>
    <w:p w14:paraId="7751F481"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（八）必须含有减记或转股的条款，当触发事件发生时，该资本工具能立即减记或者转为普通股。</w:t>
      </w:r>
    </w:p>
    <w:p w14:paraId="1E1DE2BD"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对于包含减记条款的资本工具：</w:t>
      </w:r>
    </w:p>
    <w:p w14:paraId="7B903975"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当无法生存触发事件发生时，已设定该触发事件的二级资本工具的本金应能够立即按合同约定进行全额或部分减记，减记部分不可恢复。</w:t>
      </w:r>
    </w:p>
    <w:p w14:paraId="66F944AC"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对于包含转股条款的资本工具：</w:t>
      </w:r>
    </w:p>
    <w:p w14:paraId="03CC6E67"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当无法生存触发事件发生时，已设定该触发事件的二级资本工具的本金应能够立即按合同约定全额或部分转为普通股。</w:t>
      </w:r>
    </w:p>
    <w:p w14:paraId="54B418D1"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（九）当触发事件发生时，设置了同一触发事件的所有二级资本工具都应同时按各工具占该级别资本工具总额的比例吸收损失。</w:t>
      </w:r>
    </w:p>
    <w:p w14:paraId="1C28FAFF"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（十）除非商业银行进入破产清算程序，否则投资者无权要求加快偿付未来到期债务（本金或利息）。</w:t>
      </w:r>
    </w:p>
    <w:p w14:paraId="6B31BFC8"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（十一）派息不得与发行银行自身的评级挂钩，也不得随着评级变化而调整。</w:t>
      </w:r>
    </w:p>
    <w:p w14:paraId="6E974FDE"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（十二）发行银行及受其控制或有重要影响的关联方不得</w:t>
      </w:r>
      <w:r>
        <w:rPr>
          <w:rFonts w:ascii="仿宋_GB2312" w:eastAsia="仿宋_GB2312" w:hAnsi="仿宋" w:hint="eastAsia"/>
          <w:sz w:val="30"/>
          <w:szCs w:val="30"/>
        </w:rPr>
        <w:lastRenderedPageBreak/>
        <w:t>购买该工具，且发行银行不得直接或间接为购买该工具提供融资。</w:t>
      </w:r>
    </w:p>
    <w:p w14:paraId="3DDFED5C"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（十三）某项资本工具不是由经营实体或控股公司发行的，发行所筹集的资金必须无条件立即转移给经营实体或控股公司，且转移的方式必须至少满足前述二级资本工具的合格标准。</w:t>
      </w:r>
    </w:p>
    <w:p w14:paraId="52A1CA0C"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（十四）若对因减记导致的资本工具投资者损失进行补偿，应在公共部门注资前采取普通股的形式立即支付。</w:t>
      </w:r>
    </w:p>
    <w:p w14:paraId="23D11038" w14:textId="77777777" w:rsidR="00131E0F" w:rsidRDefault="00A65BAA" w:rsidP="00EC016D">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（十五）发行含转股条款的资本工具，应事前获得必要的授权，确保触发事件发生时，商业银行能立即按合同约定发行相应数量的普通股。</w:t>
      </w:r>
    </w:p>
    <w:sectPr w:rsidR="00131E0F">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643A" w14:textId="77777777" w:rsidR="00441165" w:rsidRDefault="00441165">
      <w:r>
        <w:separator/>
      </w:r>
    </w:p>
  </w:endnote>
  <w:endnote w:type="continuationSeparator" w:id="0">
    <w:p w14:paraId="6C477F48" w14:textId="77777777" w:rsidR="00441165" w:rsidRDefault="0044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6F7C" w14:textId="77777777" w:rsidR="00131E0F" w:rsidRDefault="00A65BAA">
    <w:pPr>
      <w:pStyle w:val="a6"/>
      <w:jc w:val="center"/>
      <w:rPr>
        <w:rFonts w:ascii="宋体" w:eastAsia="宋体" w:hAnsi="宋体"/>
        <w:sz w:val="21"/>
        <w:szCs w:val="21"/>
      </w:rPr>
    </w:pPr>
    <w:r>
      <w:rPr>
        <w:noProof/>
        <w:sz w:val="21"/>
      </w:rPr>
      <mc:AlternateContent>
        <mc:Choice Requires="wps">
          <w:drawing>
            <wp:anchor distT="0" distB="0" distL="114300" distR="114300" simplePos="0" relativeHeight="251659264" behindDoc="0" locked="0" layoutInCell="1" allowOverlap="1" wp14:anchorId="35FD912E" wp14:editId="5BB74F6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ascii="宋体" w:eastAsia="宋体" w:hAnsi="宋体"/>
                              <w:sz w:val="21"/>
                              <w:szCs w:val="21"/>
                            </w:rPr>
                          </w:sdtEndPr>
                          <w:sdtContent>
                            <w:p w14:paraId="226D0286" w14:textId="77777777" w:rsidR="00131E0F" w:rsidRDefault="00A65BAA">
                              <w:pPr>
                                <w:pStyle w:val="a6"/>
                                <w:jc w:val="center"/>
                                <w:rPr>
                                  <w:rFonts w:ascii="宋体" w:eastAsia="宋体" w:hAnsi="宋体"/>
                                  <w:sz w:val="21"/>
                                  <w:szCs w:val="21"/>
                                </w:rPr>
                              </w:pPr>
                              <w:r w:rsidRPr="00EC016D">
                                <w:rPr>
                                  <w:rFonts w:ascii="宋体" w:eastAsia="宋体" w:hAnsi="宋体"/>
                                  <w:sz w:val="28"/>
                                  <w:szCs w:val="28"/>
                                </w:rPr>
                                <w:fldChar w:fldCharType="begin"/>
                              </w:r>
                              <w:r w:rsidRPr="00EC016D">
                                <w:rPr>
                                  <w:rFonts w:ascii="宋体" w:eastAsia="宋体" w:hAnsi="宋体"/>
                                  <w:sz w:val="28"/>
                                  <w:szCs w:val="28"/>
                                </w:rPr>
                                <w:instrText>PAGE   \* MERGEFORMAT</w:instrText>
                              </w:r>
                              <w:r w:rsidRPr="00EC016D">
                                <w:rPr>
                                  <w:rFonts w:ascii="宋体" w:eastAsia="宋体" w:hAnsi="宋体"/>
                                  <w:sz w:val="28"/>
                                  <w:szCs w:val="28"/>
                                </w:rPr>
                                <w:fldChar w:fldCharType="separate"/>
                              </w:r>
                              <w:r w:rsidRPr="00EC016D">
                                <w:rPr>
                                  <w:rFonts w:ascii="宋体" w:eastAsia="宋体" w:hAnsi="宋体"/>
                                  <w:sz w:val="28"/>
                                  <w:szCs w:val="28"/>
                                  <w:lang w:val="zh-CN"/>
                                </w:rPr>
                                <w:t>4</w:t>
                              </w:r>
                              <w:r w:rsidRPr="00EC016D">
                                <w:rPr>
                                  <w:rFonts w:ascii="宋体" w:eastAsia="宋体" w:hAnsi="宋体"/>
                                  <w:sz w:val="28"/>
                                  <w:szCs w:val="28"/>
                                </w:rPr>
                                <w:fldChar w:fldCharType="end"/>
                              </w:r>
                            </w:p>
                          </w:sdtContent>
                        </w:sdt>
                        <w:p w14:paraId="4B0690B1" w14:textId="77777777" w:rsidR="00131E0F" w:rsidRDefault="00131E0F">
                          <w:pPr>
                            <w:rPr>
                              <w:rFonts w:ascii="宋体" w:eastAsia="宋体" w:hAnsi="宋体"/>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FD912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
                    </w:sdtPr>
                    <w:sdtEndPr>
                      <w:rPr>
                        <w:rFonts w:ascii="宋体" w:eastAsia="宋体" w:hAnsi="宋体"/>
                        <w:sz w:val="21"/>
                        <w:szCs w:val="21"/>
                      </w:rPr>
                    </w:sdtEndPr>
                    <w:sdtContent>
                      <w:p w14:paraId="226D0286" w14:textId="77777777" w:rsidR="00131E0F" w:rsidRDefault="00A65BAA">
                        <w:pPr>
                          <w:pStyle w:val="a6"/>
                          <w:jc w:val="center"/>
                          <w:rPr>
                            <w:rFonts w:ascii="宋体" w:eastAsia="宋体" w:hAnsi="宋体"/>
                            <w:sz w:val="21"/>
                            <w:szCs w:val="21"/>
                          </w:rPr>
                        </w:pPr>
                        <w:r w:rsidRPr="00EC016D">
                          <w:rPr>
                            <w:rFonts w:ascii="宋体" w:eastAsia="宋体" w:hAnsi="宋体"/>
                            <w:sz w:val="28"/>
                            <w:szCs w:val="28"/>
                          </w:rPr>
                          <w:fldChar w:fldCharType="begin"/>
                        </w:r>
                        <w:r w:rsidRPr="00EC016D">
                          <w:rPr>
                            <w:rFonts w:ascii="宋体" w:eastAsia="宋体" w:hAnsi="宋体"/>
                            <w:sz w:val="28"/>
                            <w:szCs w:val="28"/>
                          </w:rPr>
                          <w:instrText>PAGE   \* MERGEFORMAT</w:instrText>
                        </w:r>
                        <w:r w:rsidRPr="00EC016D">
                          <w:rPr>
                            <w:rFonts w:ascii="宋体" w:eastAsia="宋体" w:hAnsi="宋体"/>
                            <w:sz w:val="28"/>
                            <w:szCs w:val="28"/>
                          </w:rPr>
                          <w:fldChar w:fldCharType="separate"/>
                        </w:r>
                        <w:r w:rsidRPr="00EC016D">
                          <w:rPr>
                            <w:rFonts w:ascii="宋体" w:eastAsia="宋体" w:hAnsi="宋体"/>
                            <w:sz w:val="28"/>
                            <w:szCs w:val="28"/>
                            <w:lang w:val="zh-CN"/>
                          </w:rPr>
                          <w:t>4</w:t>
                        </w:r>
                        <w:r w:rsidRPr="00EC016D">
                          <w:rPr>
                            <w:rFonts w:ascii="宋体" w:eastAsia="宋体" w:hAnsi="宋体"/>
                            <w:sz w:val="28"/>
                            <w:szCs w:val="28"/>
                          </w:rPr>
                          <w:fldChar w:fldCharType="end"/>
                        </w:r>
                      </w:p>
                    </w:sdtContent>
                  </w:sdt>
                  <w:p w14:paraId="4B0690B1" w14:textId="77777777" w:rsidR="00131E0F" w:rsidRDefault="00131E0F">
                    <w:pPr>
                      <w:rPr>
                        <w:rFonts w:ascii="宋体" w:eastAsia="宋体" w:hAnsi="宋体"/>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1529" w14:textId="77777777" w:rsidR="00441165" w:rsidRDefault="00441165">
      <w:r>
        <w:separator/>
      </w:r>
    </w:p>
  </w:footnote>
  <w:footnote w:type="continuationSeparator" w:id="0">
    <w:p w14:paraId="1198A0AC" w14:textId="77777777" w:rsidR="00441165" w:rsidRDefault="0044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576D" w14:textId="77777777" w:rsidR="00131E0F" w:rsidRDefault="00131E0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F2412F"/>
    <w:rsid w:val="DFB71143"/>
    <w:rsid w:val="E5276C9C"/>
    <w:rsid w:val="E6CFE195"/>
    <w:rsid w:val="F33F42DD"/>
    <w:rsid w:val="00003CA1"/>
    <w:rsid w:val="00021EF7"/>
    <w:rsid w:val="00066A82"/>
    <w:rsid w:val="00070909"/>
    <w:rsid w:val="000B6722"/>
    <w:rsid w:val="000C162D"/>
    <w:rsid w:val="000D7B6B"/>
    <w:rsid w:val="000E3DF1"/>
    <w:rsid w:val="000F2345"/>
    <w:rsid w:val="000F65DE"/>
    <w:rsid w:val="0011319D"/>
    <w:rsid w:val="00116583"/>
    <w:rsid w:val="00130F59"/>
    <w:rsid w:val="00130FCF"/>
    <w:rsid w:val="00131E0F"/>
    <w:rsid w:val="00132246"/>
    <w:rsid w:val="0014457A"/>
    <w:rsid w:val="00157530"/>
    <w:rsid w:val="00162EFB"/>
    <w:rsid w:val="00172233"/>
    <w:rsid w:val="00196AA7"/>
    <w:rsid w:val="001A13FA"/>
    <w:rsid w:val="001A4D05"/>
    <w:rsid w:val="001B4ED7"/>
    <w:rsid w:val="001B76B8"/>
    <w:rsid w:val="001C1215"/>
    <w:rsid w:val="001E1588"/>
    <w:rsid w:val="001E1CF7"/>
    <w:rsid w:val="001E396D"/>
    <w:rsid w:val="001F7FEF"/>
    <w:rsid w:val="00212A2C"/>
    <w:rsid w:val="00214C9C"/>
    <w:rsid w:val="00217D76"/>
    <w:rsid w:val="00222757"/>
    <w:rsid w:val="00222AD1"/>
    <w:rsid w:val="00227975"/>
    <w:rsid w:val="00233971"/>
    <w:rsid w:val="00234BAD"/>
    <w:rsid w:val="00236F78"/>
    <w:rsid w:val="00242F1B"/>
    <w:rsid w:val="0024462A"/>
    <w:rsid w:val="002705C2"/>
    <w:rsid w:val="002848CB"/>
    <w:rsid w:val="002A078A"/>
    <w:rsid w:val="002A2A58"/>
    <w:rsid w:val="002B67C4"/>
    <w:rsid w:val="002C1332"/>
    <w:rsid w:val="002C4934"/>
    <w:rsid w:val="002C7BE5"/>
    <w:rsid w:val="002D2264"/>
    <w:rsid w:val="002F200A"/>
    <w:rsid w:val="002F482A"/>
    <w:rsid w:val="00301EA6"/>
    <w:rsid w:val="003047E2"/>
    <w:rsid w:val="00304D70"/>
    <w:rsid w:val="00324D32"/>
    <w:rsid w:val="00335A79"/>
    <w:rsid w:val="0034514D"/>
    <w:rsid w:val="0035333E"/>
    <w:rsid w:val="003613AA"/>
    <w:rsid w:val="00364EF5"/>
    <w:rsid w:val="00365239"/>
    <w:rsid w:val="0037237D"/>
    <w:rsid w:val="00386479"/>
    <w:rsid w:val="003956E9"/>
    <w:rsid w:val="00396AA7"/>
    <w:rsid w:val="003973DC"/>
    <w:rsid w:val="003978BF"/>
    <w:rsid w:val="003A3BF2"/>
    <w:rsid w:val="003D0C6A"/>
    <w:rsid w:val="003D226E"/>
    <w:rsid w:val="003D5331"/>
    <w:rsid w:val="003D7521"/>
    <w:rsid w:val="003E493F"/>
    <w:rsid w:val="004116D7"/>
    <w:rsid w:val="00432A26"/>
    <w:rsid w:val="00433B11"/>
    <w:rsid w:val="00441165"/>
    <w:rsid w:val="00456E5A"/>
    <w:rsid w:val="00463AE9"/>
    <w:rsid w:val="00476057"/>
    <w:rsid w:val="00492F62"/>
    <w:rsid w:val="00496A34"/>
    <w:rsid w:val="00496DC7"/>
    <w:rsid w:val="004A26A1"/>
    <w:rsid w:val="004B3AF4"/>
    <w:rsid w:val="004C0510"/>
    <w:rsid w:val="004C3847"/>
    <w:rsid w:val="004D072E"/>
    <w:rsid w:val="004E0869"/>
    <w:rsid w:val="005001A7"/>
    <w:rsid w:val="00512BEC"/>
    <w:rsid w:val="00525017"/>
    <w:rsid w:val="00546574"/>
    <w:rsid w:val="00556CF8"/>
    <w:rsid w:val="00560DBB"/>
    <w:rsid w:val="005651B0"/>
    <w:rsid w:val="00573459"/>
    <w:rsid w:val="00580FEC"/>
    <w:rsid w:val="00586776"/>
    <w:rsid w:val="00590BC8"/>
    <w:rsid w:val="0059135A"/>
    <w:rsid w:val="00593216"/>
    <w:rsid w:val="00593F87"/>
    <w:rsid w:val="00595BB7"/>
    <w:rsid w:val="005A79E8"/>
    <w:rsid w:val="005B2EC9"/>
    <w:rsid w:val="005B7345"/>
    <w:rsid w:val="005F1809"/>
    <w:rsid w:val="006015AB"/>
    <w:rsid w:val="00623F5E"/>
    <w:rsid w:val="00634407"/>
    <w:rsid w:val="00663FFF"/>
    <w:rsid w:val="00665BB6"/>
    <w:rsid w:val="006A2F68"/>
    <w:rsid w:val="006B795E"/>
    <w:rsid w:val="006C11FF"/>
    <w:rsid w:val="006C4D73"/>
    <w:rsid w:val="006C559C"/>
    <w:rsid w:val="006F11DB"/>
    <w:rsid w:val="006F5500"/>
    <w:rsid w:val="007012BF"/>
    <w:rsid w:val="007140A5"/>
    <w:rsid w:val="007505F7"/>
    <w:rsid w:val="00750AB1"/>
    <w:rsid w:val="00755687"/>
    <w:rsid w:val="00784C9A"/>
    <w:rsid w:val="007A4DC1"/>
    <w:rsid w:val="007B1C3D"/>
    <w:rsid w:val="007B5348"/>
    <w:rsid w:val="007B77B6"/>
    <w:rsid w:val="007B7F31"/>
    <w:rsid w:val="007C0C2F"/>
    <w:rsid w:val="007C35CD"/>
    <w:rsid w:val="007C7FC6"/>
    <w:rsid w:val="007D06BF"/>
    <w:rsid w:val="007D2EEE"/>
    <w:rsid w:val="007D513A"/>
    <w:rsid w:val="007D70F2"/>
    <w:rsid w:val="007E1A3D"/>
    <w:rsid w:val="007F182E"/>
    <w:rsid w:val="0082069C"/>
    <w:rsid w:val="00822E70"/>
    <w:rsid w:val="008359F5"/>
    <w:rsid w:val="00840F60"/>
    <w:rsid w:val="0084195C"/>
    <w:rsid w:val="0084288C"/>
    <w:rsid w:val="008448C6"/>
    <w:rsid w:val="008578B2"/>
    <w:rsid w:val="0086342F"/>
    <w:rsid w:val="008653F6"/>
    <w:rsid w:val="00865F6A"/>
    <w:rsid w:val="008660CB"/>
    <w:rsid w:val="00871FCE"/>
    <w:rsid w:val="0087486F"/>
    <w:rsid w:val="008A0A1D"/>
    <w:rsid w:val="008A4B76"/>
    <w:rsid w:val="008A6534"/>
    <w:rsid w:val="008C3791"/>
    <w:rsid w:val="008C6919"/>
    <w:rsid w:val="008D1B1D"/>
    <w:rsid w:val="008D5C5C"/>
    <w:rsid w:val="008D65E4"/>
    <w:rsid w:val="0091147E"/>
    <w:rsid w:val="00914C7E"/>
    <w:rsid w:val="00916076"/>
    <w:rsid w:val="009169D8"/>
    <w:rsid w:val="009276DC"/>
    <w:rsid w:val="009327DC"/>
    <w:rsid w:val="009340B3"/>
    <w:rsid w:val="009345E3"/>
    <w:rsid w:val="009407B6"/>
    <w:rsid w:val="00951F1D"/>
    <w:rsid w:val="009521E9"/>
    <w:rsid w:val="00960502"/>
    <w:rsid w:val="00961A14"/>
    <w:rsid w:val="0098038D"/>
    <w:rsid w:val="009832D2"/>
    <w:rsid w:val="00990953"/>
    <w:rsid w:val="00991BBC"/>
    <w:rsid w:val="00996D3D"/>
    <w:rsid w:val="009B263D"/>
    <w:rsid w:val="009C10C1"/>
    <w:rsid w:val="009C46BC"/>
    <w:rsid w:val="009E2529"/>
    <w:rsid w:val="009F7D11"/>
    <w:rsid w:val="00A01349"/>
    <w:rsid w:val="00A36BF2"/>
    <w:rsid w:val="00A45096"/>
    <w:rsid w:val="00A52577"/>
    <w:rsid w:val="00A611EF"/>
    <w:rsid w:val="00A65BAA"/>
    <w:rsid w:val="00A85F8D"/>
    <w:rsid w:val="00A92164"/>
    <w:rsid w:val="00AA10F4"/>
    <w:rsid w:val="00AA386C"/>
    <w:rsid w:val="00AB352F"/>
    <w:rsid w:val="00AB5E8C"/>
    <w:rsid w:val="00AC0FB8"/>
    <w:rsid w:val="00AC3E23"/>
    <w:rsid w:val="00AC7B61"/>
    <w:rsid w:val="00AE299F"/>
    <w:rsid w:val="00AE6243"/>
    <w:rsid w:val="00AF3354"/>
    <w:rsid w:val="00B00C48"/>
    <w:rsid w:val="00B02CB6"/>
    <w:rsid w:val="00B1272E"/>
    <w:rsid w:val="00B50B91"/>
    <w:rsid w:val="00B61195"/>
    <w:rsid w:val="00B77F21"/>
    <w:rsid w:val="00B80119"/>
    <w:rsid w:val="00B817AA"/>
    <w:rsid w:val="00B82068"/>
    <w:rsid w:val="00B91435"/>
    <w:rsid w:val="00B94240"/>
    <w:rsid w:val="00B96500"/>
    <w:rsid w:val="00BA7880"/>
    <w:rsid w:val="00BB2832"/>
    <w:rsid w:val="00BB59FA"/>
    <w:rsid w:val="00BD6440"/>
    <w:rsid w:val="00BE75E7"/>
    <w:rsid w:val="00BF0F3F"/>
    <w:rsid w:val="00C01739"/>
    <w:rsid w:val="00C109C5"/>
    <w:rsid w:val="00C26EC7"/>
    <w:rsid w:val="00C332C2"/>
    <w:rsid w:val="00C3607C"/>
    <w:rsid w:val="00C578F9"/>
    <w:rsid w:val="00C61597"/>
    <w:rsid w:val="00C63110"/>
    <w:rsid w:val="00C6598E"/>
    <w:rsid w:val="00C71768"/>
    <w:rsid w:val="00C82F43"/>
    <w:rsid w:val="00C928C3"/>
    <w:rsid w:val="00CC3535"/>
    <w:rsid w:val="00CC3CBA"/>
    <w:rsid w:val="00CC4D19"/>
    <w:rsid w:val="00CC547D"/>
    <w:rsid w:val="00CE1B06"/>
    <w:rsid w:val="00D003BE"/>
    <w:rsid w:val="00D013D6"/>
    <w:rsid w:val="00D14978"/>
    <w:rsid w:val="00D22E5B"/>
    <w:rsid w:val="00D334A5"/>
    <w:rsid w:val="00D40661"/>
    <w:rsid w:val="00D428A3"/>
    <w:rsid w:val="00D63525"/>
    <w:rsid w:val="00D64595"/>
    <w:rsid w:val="00D93609"/>
    <w:rsid w:val="00D95F0B"/>
    <w:rsid w:val="00DB34E1"/>
    <w:rsid w:val="00DB5CA7"/>
    <w:rsid w:val="00DC06F6"/>
    <w:rsid w:val="00DC4A44"/>
    <w:rsid w:val="00DD1C7A"/>
    <w:rsid w:val="00DD3A67"/>
    <w:rsid w:val="00DE4BE5"/>
    <w:rsid w:val="00DE6F4B"/>
    <w:rsid w:val="00DE7B2B"/>
    <w:rsid w:val="00DF5204"/>
    <w:rsid w:val="00E17784"/>
    <w:rsid w:val="00E23F7F"/>
    <w:rsid w:val="00E261ED"/>
    <w:rsid w:val="00E30837"/>
    <w:rsid w:val="00E321F2"/>
    <w:rsid w:val="00E406A7"/>
    <w:rsid w:val="00E41670"/>
    <w:rsid w:val="00E4483B"/>
    <w:rsid w:val="00E478CC"/>
    <w:rsid w:val="00E553CC"/>
    <w:rsid w:val="00E722BF"/>
    <w:rsid w:val="00E77EBC"/>
    <w:rsid w:val="00E85109"/>
    <w:rsid w:val="00E9093E"/>
    <w:rsid w:val="00E96AF9"/>
    <w:rsid w:val="00EA097A"/>
    <w:rsid w:val="00EA11A4"/>
    <w:rsid w:val="00EA2869"/>
    <w:rsid w:val="00EA73AE"/>
    <w:rsid w:val="00EB1CA4"/>
    <w:rsid w:val="00EB5A0F"/>
    <w:rsid w:val="00EC016D"/>
    <w:rsid w:val="00ED0A29"/>
    <w:rsid w:val="00EE0D67"/>
    <w:rsid w:val="00EE6C2D"/>
    <w:rsid w:val="00EE7D93"/>
    <w:rsid w:val="00EF2587"/>
    <w:rsid w:val="00F157BC"/>
    <w:rsid w:val="00F2412F"/>
    <w:rsid w:val="00F25931"/>
    <w:rsid w:val="00F379AD"/>
    <w:rsid w:val="00F52CDD"/>
    <w:rsid w:val="00F55FFE"/>
    <w:rsid w:val="00F833F3"/>
    <w:rsid w:val="00FA1275"/>
    <w:rsid w:val="00FA7842"/>
    <w:rsid w:val="00FB5FF2"/>
    <w:rsid w:val="00FC07C4"/>
    <w:rsid w:val="00FC47D6"/>
    <w:rsid w:val="00FC795A"/>
    <w:rsid w:val="00FD1068"/>
    <w:rsid w:val="00FE2A99"/>
    <w:rsid w:val="00FE3AE1"/>
    <w:rsid w:val="00FF47D3"/>
    <w:rsid w:val="01874425"/>
    <w:rsid w:val="07E57B98"/>
    <w:rsid w:val="09761F74"/>
    <w:rsid w:val="09E46A14"/>
    <w:rsid w:val="0D215438"/>
    <w:rsid w:val="0EF04209"/>
    <w:rsid w:val="0F355D2C"/>
    <w:rsid w:val="106F777B"/>
    <w:rsid w:val="1337334E"/>
    <w:rsid w:val="13D31761"/>
    <w:rsid w:val="14FC4FF0"/>
    <w:rsid w:val="156B1DD6"/>
    <w:rsid w:val="19B6784F"/>
    <w:rsid w:val="1D282C7C"/>
    <w:rsid w:val="1F3C2CA9"/>
    <w:rsid w:val="1F452A96"/>
    <w:rsid w:val="1F580220"/>
    <w:rsid w:val="208D7579"/>
    <w:rsid w:val="231E3565"/>
    <w:rsid w:val="242F37FF"/>
    <w:rsid w:val="273B7E08"/>
    <w:rsid w:val="2AD6586F"/>
    <w:rsid w:val="2B615A34"/>
    <w:rsid w:val="2B8F54F7"/>
    <w:rsid w:val="2BB1741A"/>
    <w:rsid w:val="2E114E51"/>
    <w:rsid w:val="30CF4BE0"/>
    <w:rsid w:val="339D0D8E"/>
    <w:rsid w:val="33B8484F"/>
    <w:rsid w:val="35D46FF5"/>
    <w:rsid w:val="38034A31"/>
    <w:rsid w:val="39F86205"/>
    <w:rsid w:val="3B34010C"/>
    <w:rsid w:val="412E2CF6"/>
    <w:rsid w:val="482B59EC"/>
    <w:rsid w:val="48F628C8"/>
    <w:rsid w:val="49C13919"/>
    <w:rsid w:val="4C0A118E"/>
    <w:rsid w:val="4FFC2284"/>
    <w:rsid w:val="52B94530"/>
    <w:rsid w:val="58924CBC"/>
    <w:rsid w:val="589F666C"/>
    <w:rsid w:val="59C57C1E"/>
    <w:rsid w:val="5BCF6CA8"/>
    <w:rsid w:val="5BD42810"/>
    <w:rsid w:val="5D3C77E3"/>
    <w:rsid w:val="645706E3"/>
    <w:rsid w:val="66712DA8"/>
    <w:rsid w:val="6C0E48BB"/>
    <w:rsid w:val="6E4771BD"/>
    <w:rsid w:val="6E7F6C3F"/>
    <w:rsid w:val="6F257899"/>
    <w:rsid w:val="6FE85F42"/>
    <w:rsid w:val="74A65510"/>
    <w:rsid w:val="74F79FD7"/>
    <w:rsid w:val="76961097"/>
    <w:rsid w:val="777B46C8"/>
    <w:rsid w:val="777FC9F7"/>
    <w:rsid w:val="78547372"/>
    <w:rsid w:val="7925374D"/>
    <w:rsid w:val="7AA368A6"/>
    <w:rsid w:val="7BD20B60"/>
    <w:rsid w:val="7EBED3FA"/>
    <w:rsid w:val="7FC7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DEF1"/>
  <w15:docId w15:val="{E4B82196-7CF0-0247-9BA0-388E8F75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
    <w:qFormat/>
    <w:pPr>
      <w:tabs>
        <w:tab w:val="center" w:pos="4150"/>
        <w:tab w:val="left" w:pos="6371"/>
      </w:tabs>
      <w:spacing w:before="120" w:after="120" w:line="240" w:lineRule="auto"/>
      <w:ind w:firstLineChars="0" w:firstLine="0"/>
      <w:jc w:val="center"/>
      <w:outlineLvl w:val="0"/>
    </w:pPr>
    <w:rPr>
      <w:rFonts w:cs="Times New Roman"/>
      <w:caps/>
      <w:sz w:val="44"/>
      <w:szCs w:val="32"/>
    </w:rPr>
  </w:style>
  <w:style w:type="paragraph" w:styleId="2">
    <w:name w:val="heading 2"/>
    <w:basedOn w:val="a"/>
    <w:next w:val="a"/>
    <w:link w:val="20"/>
    <w:qFormat/>
    <w:pPr>
      <w:spacing w:line="480" w:lineRule="exact"/>
      <w:ind w:firstLineChars="200" w:firstLine="600"/>
      <w:outlineLvl w:val="1"/>
    </w:pPr>
    <w:rPr>
      <w:rFonts w:ascii="黑体" w:eastAsia="黑体" w:hAnsi="黑体"/>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character" w:styleId="aa">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1">
    <w:name w:val="修订1"/>
    <w:hidden/>
    <w:uiPriority w:val="99"/>
    <w:semiHidden/>
    <w:qFormat/>
    <w:rPr>
      <w:kern w:val="2"/>
      <w:sz w:val="21"/>
      <w:szCs w:val="22"/>
    </w:rPr>
  </w:style>
  <w:style w:type="character" w:customStyle="1" w:styleId="a5">
    <w:name w:val="批注框文本 字符"/>
    <w:basedOn w:val="a0"/>
    <w:link w:val="a4"/>
    <w:uiPriority w:val="99"/>
    <w:semiHidden/>
    <w:qFormat/>
    <w:rPr>
      <w:kern w:val="2"/>
      <w:sz w:val="18"/>
      <w:szCs w:val="18"/>
    </w:rPr>
  </w:style>
  <w:style w:type="character" w:customStyle="1" w:styleId="20">
    <w:name w:val="标题 2 字符"/>
    <w:basedOn w:val="a0"/>
    <w:link w:val="2"/>
    <w:qFormat/>
    <w:rPr>
      <w:rFonts w:ascii="黑体" w:eastAsia="黑体" w:hAnsi="黑体"/>
      <w:bCs/>
      <w:kern w:val="2"/>
      <w:sz w:val="30"/>
      <w:szCs w:val="30"/>
    </w:rPr>
  </w:style>
  <w:style w:type="character" w:customStyle="1" w:styleId="10">
    <w:name w:val="标题 1 字符"/>
    <w:basedOn w:val="a0"/>
    <w:link w:val="1"/>
    <w:uiPriority w:val="9"/>
    <w:qFormat/>
    <w:rPr>
      <w:rFonts w:ascii="黑体" w:eastAsia="黑体" w:hAnsi="黑体" w:cs="Times New Roman"/>
      <w:bCs/>
      <w:caps/>
      <w:kern w:val="2"/>
      <w:sz w:val="44"/>
      <w:szCs w:val="32"/>
    </w:rPr>
  </w:style>
  <w:style w:type="paragraph" w:customStyle="1" w:styleId="21">
    <w:name w:val="修订2"/>
    <w:hidden/>
    <w:uiPriority w:val="99"/>
    <w:semiHidden/>
    <w:qFormat/>
    <w:rPr>
      <w:kern w:val="2"/>
      <w:sz w:val="21"/>
      <w:szCs w:val="22"/>
    </w:rPr>
  </w:style>
  <w:style w:type="paragraph" w:customStyle="1" w:styleId="3">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xiao</dc:creator>
  <cp:lastModifiedBy>lymia8290@163.com</cp:lastModifiedBy>
  <cp:revision>29</cp:revision>
  <dcterms:created xsi:type="dcterms:W3CDTF">2021-12-22T00:57:00Z</dcterms:created>
  <dcterms:modified xsi:type="dcterms:W3CDTF">2023-10-31T11:50:00Z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70C2941B978142FA962A06E1BBA6CC82</vt:lpwstr>
  </property>
</Properties>
</file>