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C63D" w14:textId="6D20489E" w:rsidR="0069613A" w:rsidRDefault="00724B0E">
      <w:pPr>
        <w:pStyle w:val="ac"/>
        <w:numPr>
          <w:ilvl w:val="3"/>
          <w:numId w:val="0"/>
        </w:numPr>
        <w:jc w:val="left"/>
        <w:rPr>
          <w:rFonts w:ascii="黑体" w:eastAsia="黑体" w:hAnsi="黑体" w:cs="黑体"/>
          <w:sz w:val="32"/>
          <w:szCs w:val="30"/>
        </w:rPr>
      </w:pPr>
      <w:r w:rsidRPr="00AB6F58">
        <w:rPr>
          <w:rFonts w:ascii="黑体" w:eastAsia="黑体" w:hAnsi="黑体" w:cs="黑体" w:hint="eastAsia"/>
          <w:sz w:val="32"/>
          <w:szCs w:val="30"/>
        </w:rPr>
        <w:t>附件</w:t>
      </w:r>
      <w:r w:rsidRPr="00AB6F58">
        <w:rPr>
          <w:rFonts w:ascii="黑体" w:eastAsia="黑体" w:hAnsi="黑体" w:cs="黑体"/>
          <w:sz w:val="32"/>
          <w:szCs w:val="30"/>
        </w:rPr>
        <w:t>8</w:t>
      </w:r>
    </w:p>
    <w:p w14:paraId="0B61EA5B" w14:textId="0A8EB47C" w:rsidR="0069613A" w:rsidRPr="00AB6F58" w:rsidRDefault="0069613A">
      <w:pPr>
        <w:pStyle w:val="ac"/>
        <w:numPr>
          <w:ilvl w:val="3"/>
          <w:numId w:val="0"/>
        </w:numPr>
        <w:jc w:val="left"/>
        <w:rPr>
          <w:rFonts w:ascii="黑体" w:eastAsia="黑体" w:hAnsi="黑体" w:cs="黑体"/>
          <w:sz w:val="32"/>
          <w:szCs w:val="30"/>
        </w:rPr>
      </w:pPr>
    </w:p>
    <w:p w14:paraId="46685084" w14:textId="77777777" w:rsidR="0069613A" w:rsidRPr="00AB6F58" w:rsidRDefault="00724B0E" w:rsidP="00AB6F58">
      <w:pPr>
        <w:pStyle w:val="1"/>
        <w:spacing w:line="600" w:lineRule="exact"/>
        <w:ind w:firstLine="0"/>
        <w:rPr>
          <w:rFonts w:ascii="方正小标宋简体" w:eastAsia="方正小标宋简体" w:hAnsi="方正小标宋简体" w:cs="方正小标宋简体"/>
        </w:rPr>
      </w:pPr>
      <w:r w:rsidRPr="00AB6F58">
        <w:rPr>
          <w:rFonts w:ascii="方正小标宋简体" w:eastAsia="方正小标宋简体" w:hAnsi="方正小标宋简体" w:cs="方正小标宋简体" w:hint="eastAsia"/>
        </w:rPr>
        <w:t>信用风险内部评级法专业贷款</w:t>
      </w:r>
      <w:r w:rsidRPr="00AB6F58">
        <w:rPr>
          <w:rFonts w:ascii="方正小标宋简体" w:eastAsia="方正小标宋简体" w:hAnsi="方正小标宋简体" w:cs="方正小标宋简体"/>
        </w:rPr>
        <w:br/>
      </w:r>
      <w:r w:rsidRPr="00AB6F58">
        <w:rPr>
          <w:rFonts w:ascii="方正小标宋简体" w:eastAsia="方正小标宋简体" w:hAnsi="方正小标宋简体" w:cs="方正小标宋简体" w:hint="eastAsia"/>
        </w:rPr>
        <w:t>风险加权资产计量规则</w:t>
      </w:r>
    </w:p>
    <w:p w14:paraId="2AE5BF48" w14:textId="77777777" w:rsidR="0069613A" w:rsidRDefault="0069613A">
      <w:pPr>
        <w:jc w:val="center"/>
        <w:rPr>
          <w:rFonts w:ascii="仿宋_GB2312" w:eastAsia="仿宋_GB2312" w:hAnsi="黑体" w:cs="黑体"/>
          <w:b/>
          <w:sz w:val="36"/>
          <w:szCs w:val="36"/>
        </w:rPr>
      </w:pPr>
    </w:p>
    <w:p w14:paraId="4AE7F324" w14:textId="77777777" w:rsidR="0069613A" w:rsidRDefault="00724B0E">
      <w:pPr>
        <w:pStyle w:val="2"/>
        <w:snapToGrid/>
        <w:spacing w:line="240" w:lineRule="auto"/>
        <w:ind w:firstLineChars="200" w:firstLine="600"/>
        <w:jc w:val="both"/>
      </w:pPr>
      <w:r>
        <w:rPr>
          <w:rFonts w:hint="eastAsia"/>
        </w:rPr>
        <w:t>一、总体要求</w:t>
      </w:r>
    </w:p>
    <w:p w14:paraId="3F677895" w14:textId="77777777" w:rsidR="0069613A" w:rsidRDefault="00724B0E">
      <w:pPr>
        <w:tabs>
          <w:tab w:val="left" w:pos="0"/>
        </w:tabs>
        <w:adjustRightInd w:val="0"/>
        <w:snapToGrid w:val="0"/>
        <w:spacing w:line="48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（一）商业银行采用内部评级法的，专业贷款内部评级体系应符合本办法附件5规定的内部评级体系监管要求。</w:t>
      </w:r>
    </w:p>
    <w:p w14:paraId="7F89B10F" w14:textId="77777777" w:rsidR="0069613A" w:rsidRDefault="00724B0E">
      <w:pPr>
        <w:tabs>
          <w:tab w:val="left" w:pos="2250"/>
        </w:tabs>
        <w:spacing w:line="480" w:lineRule="exact"/>
        <w:ind w:firstLineChars="200" w:firstLine="600"/>
        <w:rPr>
          <w:rFonts w:ascii="仿宋_GB2312" w:eastAsia="仿宋_GB2312"/>
          <w:sz w:val="30"/>
          <w:szCs w:val="30"/>
        </w:rPr>
      </w:pPr>
      <w:r>
        <w:rPr>
          <w:rFonts w:ascii="仿宋_GB2312" w:eastAsia="仿宋_GB2312" w:hint="eastAsia"/>
          <w:sz w:val="30"/>
          <w:szCs w:val="30"/>
        </w:rPr>
        <w:t>在估计违约风险暴露时，还应充分考虑债务人违约后，为促使贷款所形成的资产投入运营而继续发放贷款的影响，以确保风险估计的审慎性。</w:t>
      </w:r>
    </w:p>
    <w:p w14:paraId="605A90D9" w14:textId="77777777" w:rsidR="0069613A" w:rsidRDefault="00724B0E">
      <w:pPr>
        <w:tabs>
          <w:tab w:val="left" w:pos="2250"/>
        </w:tabs>
        <w:spacing w:line="480" w:lineRule="exact"/>
        <w:ind w:firstLineChars="200" w:firstLine="600"/>
        <w:rPr>
          <w:rFonts w:ascii="仿宋_GB2312" w:eastAsia="仿宋_GB2312"/>
          <w:sz w:val="30"/>
          <w:szCs w:val="30"/>
        </w:rPr>
      </w:pPr>
      <w:r>
        <w:rPr>
          <w:rFonts w:ascii="仿宋_GB2312" w:eastAsia="仿宋_GB2312" w:hint="eastAsia"/>
          <w:sz w:val="30"/>
          <w:szCs w:val="30"/>
        </w:rPr>
        <w:t>在估计违约概率时，还应注意项目不同阶段违约概率的变化，并谨慎处理违约概率与风险暴露相关性对风险加权资产计算的影响。</w:t>
      </w:r>
    </w:p>
    <w:p w14:paraId="0D73AD2D" w14:textId="1FAEBFDB" w:rsidR="0069613A" w:rsidRDefault="00724B0E">
      <w:pPr>
        <w:spacing w:line="480" w:lineRule="exact"/>
        <w:ind w:firstLineChars="200" w:firstLine="600"/>
        <w:rPr>
          <w:rFonts w:ascii="仿宋_GB2312" w:eastAsia="仿宋_GB2312"/>
          <w:bCs/>
          <w:sz w:val="30"/>
          <w:szCs w:val="30"/>
        </w:rPr>
      </w:pPr>
      <w:r>
        <w:rPr>
          <w:rFonts w:ascii="仿宋_GB2312" w:eastAsia="仿宋_GB2312" w:hint="eastAsia"/>
          <w:bCs/>
          <w:sz w:val="30"/>
          <w:szCs w:val="30"/>
        </w:rPr>
        <w:t>（二）</w:t>
      </w:r>
      <w:r>
        <w:rPr>
          <w:rFonts w:ascii="仿宋_GB2312" w:eastAsia="仿宋_GB2312" w:hAnsi="宋体" w:hint="eastAsia"/>
          <w:sz w:val="30"/>
          <w:szCs w:val="30"/>
        </w:rPr>
        <w:t>商业银行对专业贷款采用内部评级法的，</w:t>
      </w:r>
      <w:r>
        <w:rPr>
          <w:rFonts w:ascii="仿宋_GB2312" w:eastAsia="仿宋_GB2312" w:hint="eastAsia"/>
          <w:bCs/>
          <w:sz w:val="30"/>
          <w:szCs w:val="30"/>
        </w:rPr>
        <w:t>应按照本办法附件6的规定计算专业贷款的风险加权资产。如果商业银行或</w:t>
      </w:r>
      <w:r>
        <w:rPr>
          <w:rFonts w:ascii="仿宋_GB2312" w:eastAsia="仿宋_GB2312" w:hint="eastAsia"/>
          <w:sz w:val="30"/>
          <w:szCs w:val="30"/>
        </w:rPr>
        <w:t>国家金融监督管理总局</w:t>
      </w:r>
      <w:r>
        <w:rPr>
          <w:rFonts w:ascii="仿宋_GB2312" w:eastAsia="仿宋_GB2312" w:hint="eastAsia"/>
          <w:bCs/>
          <w:sz w:val="30"/>
          <w:szCs w:val="30"/>
        </w:rPr>
        <w:t>认为，产生收入的房地产贷款的未来房地产出租收入、销售收入或土地出让收入的波动性较大，其所适用的相关性（R）为：</w:t>
      </w:r>
    </w:p>
    <w:p w14:paraId="29C750BF" w14:textId="77777777" w:rsidR="0069613A" w:rsidRDefault="00B273CF">
      <w:pPr>
        <w:spacing w:line="720" w:lineRule="atLeast"/>
        <w:jc w:val="center"/>
        <w:rPr>
          <w:rFonts w:ascii="仿宋_GB2312" w:eastAsia="仿宋_GB2312"/>
          <w:sz w:val="36"/>
          <w:szCs w:val="36"/>
        </w:rPr>
      </w:pPr>
      <w:r>
        <w:rPr>
          <w:rFonts w:ascii="仿宋_GB2312" w:eastAsia="仿宋_GB2312"/>
          <w:noProof/>
          <w:position w:val="-60"/>
          <w:sz w:val="36"/>
          <w:szCs w:val="36"/>
        </w:rPr>
        <w:object w:dxaOrig="5660" w:dyaOrig="1323" w14:anchorId="7CA48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65pt;height:66pt;mso-width-percent:0;mso-height-percent:0;mso-width-percent:0;mso-height-percent:0" o:ole="">
            <v:imagedata r:id="rId7" o:title=""/>
          </v:shape>
          <o:OLEObject Type="Embed" ProgID="Equation.3" ShapeID="_x0000_i1025" DrawAspect="Content" ObjectID="_1760290828" r:id="rId8"/>
        </w:object>
      </w:r>
    </w:p>
    <w:p w14:paraId="5E71681B" w14:textId="77777777"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（三）商业银行对专业贷款采用监管映射法的，应按照本附件规定的风险权重和预期损失比例计算专业贷款的风险加权资产和预期损失。</w:t>
      </w:r>
    </w:p>
    <w:p w14:paraId="3FB3C0E8" w14:textId="77777777" w:rsidR="0069613A" w:rsidRDefault="00724B0E">
      <w:pPr>
        <w:tabs>
          <w:tab w:val="left" w:pos="0"/>
        </w:tabs>
        <w:adjustRightInd w:val="0"/>
        <w:snapToGrid w:val="0"/>
        <w:spacing w:line="48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（四）商业银行采用监管映射法的，应达到以下要求：</w:t>
      </w:r>
    </w:p>
    <w:p w14:paraId="6DFC49BD" w14:textId="0E0300FD" w:rsidR="0069613A" w:rsidRDefault="00724B0E">
      <w:pPr>
        <w:tabs>
          <w:tab w:val="left" w:pos="2250"/>
        </w:tabs>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1.对专业贷款采用一维评级，评级应同时考虑债务人的特征和债项特征以及两者之间的相关性，直接反映预期损失。</w:t>
      </w:r>
    </w:p>
    <w:p w14:paraId="02A5C01D" w14:textId="2449A7E1" w:rsidR="0069613A" w:rsidRDefault="00724B0E">
      <w:pPr>
        <w:tabs>
          <w:tab w:val="left" w:pos="2250"/>
        </w:tabs>
        <w:spacing w:line="480" w:lineRule="exact"/>
        <w:ind w:firstLineChars="200" w:firstLine="600"/>
        <w:rPr>
          <w:rFonts w:ascii="仿宋_GB2312" w:eastAsia="仿宋_GB2312"/>
          <w:sz w:val="30"/>
          <w:szCs w:val="30"/>
        </w:rPr>
      </w:pPr>
      <w:r>
        <w:rPr>
          <w:rFonts w:ascii="仿宋_GB2312" w:eastAsia="仿宋_GB2312" w:hint="eastAsia"/>
          <w:sz w:val="30"/>
          <w:szCs w:val="30"/>
        </w:rPr>
        <w:t>2.按照本附件的要求设置非违约级别和违约级别。</w:t>
      </w:r>
    </w:p>
    <w:p w14:paraId="2BC7D41B" w14:textId="77777777" w:rsidR="0069613A" w:rsidRDefault="00724B0E">
      <w:pPr>
        <w:tabs>
          <w:tab w:val="left" w:pos="0"/>
        </w:tabs>
        <w:adjustRightInd w:val="0"/>
        <w:snapToGrid w:val="0"/>
        <w:spacing w:line="48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（五）商业银行可以对专业贷款中的一个或多个子类采用监管映射法，对其他子类采用内部评级法，但不得同时对同一子类的风险暴露采用不同的方法。</w:t>
      </w:r>
    </w:p>
    <w:p w14:paraId="2C20D2CC" w14:textId="38BA1E88" w:rsidR="0069613A" w:rsidRDefault="00724B0E">
      <w:pPr>
        <w:tabs>
          <w:tab w:val="left" w:pos="0"/>
        </w:tabs>
        <w:adjustRightInd w:val="0"/>
        <w:snapToGrid w:val="0"/>
        <w:spacing w:line="48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（六）商业银行采用监管映射法的，若专业贷款的内部评级标准与监管评级标准不一致，应记录两者之间的差异，并向</w:t>
      </w:r>
      <w:r>
        <w:rPr>
          <w:rFonts w:ascii="仿宋_GB2312" w:eastAsia="仿宋_GB2312" w:hint="eastAsia"/>
          <w:sz w:val="30"/>
          <w:szCs w:val="30"/>
        </w:rPr>
        <w:t>国家金融监督管理总局</w:t>
      </w:r>
      <w:r>
        <w:rPr>
          <w:rFonts w:ascii="仿宋_GB2312" w:eastAsia="仿宋_GB2312" w:hAnsi="宋体" w:hint="eastAsia"/>
          <w:sz w:val="30"/>
          <w:szCs w:val="30"/>
        </w:rPr>
        <w:t>解释差异存在的原因和合理性。</w:t>
      </w:r>
    </w:p>
    <w:p w14:paraId="0243B56E" w14:textId="77777777" w:rsidR="0069613A" w:rsidRDefault="00724B0E">
      <w:pPr>
        <w:pStyle w:val="2"/>
        <w:snapToGrid/>
        <w:spacing w:line="240" w:lineRule="auto"/>
        <w:ind w:firstLineChars="200" w:firstLine="600"/>
        <w:jc w:val="both"/>
      </w:pPr>
      <w:r>
        <w:rPr>
          <w:rFonts w:hint="eastAsia"/>
        </w:rPr>
        <w:t>二、采用监管映射法的主要考虑因素</w:t>
      </w:r>
    </w:p>
    <w:p w14:paraId="7A93DDDA" w14:textId="77777777" w:rsidR="0069613A" w:rsidRDefault="00724B0E">
      <w:pPr>
        <w:adjustRightInd w:val="0"/>
        <w:snapToGrid w:val="0"/>
        <w:spacing w:line="48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商业银行采用监管映射法的，专业贷款评级应考虑以下因素：</w:t>
      </w:r>
    </w:p>
    <w:p w14:paraId="15B2EA70" w14:textId="77777777" w:rsidR="0069613A" w:rsidRDefault="00724B0E">
      <w:pPr>
        <w:tabs>
          <w:tab w:val="left" w:pos="0"/>
        </w:tabs>
        <w:adjustRightInd w:val="0"/>
        <w:snapToGrid w:val="0"/>
        <w:spacing w:line="480" w:lineRule="exact"/>
        <w:ind w:firstLineChars="200" w:firstLine="600"/>
        <w:jc w:val="left"/>
        <w:rPr>
          <w:rFonts w:ascii="仿宋_GB2312" w:eastAsia="仿宋_GB2312" w:hAnsi="仿宋_GB2312"/>
          <w:color w:val="000000"/>
          <w:sz w:val="30"/>
          <w:szCs w:val="30"/>
        </w:rPr>
      </w:pPr>
      <w:r>
        <w:rPr>
          <w:rFonts w:ascii="仿宋_GB2312" w:eastAsia="仿宋_GB2312" w:hAnsi="仿宋_GB2312" w:hint="eastAsia"/>
          <w:sz w:val="30"/>
          <w:szCs w:val="30"/>
        </w:rPr>
        <w:t>（一）项目融资评级应考虑</w:t>
      </w:r>
      <w:r>
        <w:rPr>
          <w:rFonts w:ascii="仿宋_GB2312" w:eastAsia="仿宋_GB2312" w:hAnsi="仿宋_GB2312" w:hint="eastAsia"/>
          <w:color w:val="000000"/>
          <w:sz w:val="30"/>
          <w:szCs w:val="30"/>
        </w:rPr>
        <w:t>财务状况、政治和法律环境、交易特点、项目发起人或债务人实力和担保安排等五方面因素。项目融资的监管评级标准见表</w:t>
      </w:r>
      <w:r>
        <w:rPr>
          <w:rFonts w:ascii="仿宋_GB2312" w:eastAsia="仿宋_GB2312" w:hAnsi="仿宋_GB2312"/>
          <w:color w:val="000000"/>
          <w:sz w:val="30"/>
          <w:szCs w:val="30"/>
        </w:rPr>
        <w:t>1</w:t>
      </w:r>
      <w:r>
        <w:rPr>
          <w:rFonts w:ascii="仿宋_GB2312" w:eastAsia="仿宋_GB2312" w:hAnsi="仿宋_GB2312" w:hint="eastAsia"/>
          <w:color w:val="000000"/>
          <w:sz w:val="30"/>
          <w:szCs w:val="30"/>
        </w:rPr>
        <w:t>。</w:t>
      </w:r>
    </w:p>
    <w:p w14:paraId="0BD88702" w14:textId="77777777" w:rsidR="0069613A" w:rsidRDefault="00724B0E">
      <w:pPr>
        <w:tabs>
          <w:tab w:val="left" w:pos="0"/>
        </w:tabs>
        <w:adjustRightInd w:val="0"/>
        <w:snapToGrid w:val="0"/>
        <w:spacing w:line="480" w:lineRule="exact"/>
        <w:ind w:firstLineChars="200" w:firstLine="600"/>
        <w:jc w:val="left"/>
        <w:rPr>
          <w:rFonts w:ascii="仿宋_GB2312" w:eastAsia="仿宋_GB2312" w:hAnsi="仿宋_GB2312"/>
          <w:color w:val="000000"/>
          <w:sz w:val="30"/>
          <w:szCs w:val="30"/>
        </w:rPr>
      </w:pPr>
      <w:r>
        <w:rPr>
          <w:rFonts w:ascii="仿宋_GB2312" w:eastAsia="仿宋_GB2312" w:hAnsi="仿宋_GB2312" w:hint="eastAsia"/>
          <w:sz w:val="30"/>
          <w:szCs w:val="30"/>
        </w:rPr>
        <w:t>（二）物品融资评级应考虑财务状况、</w:t>
      </w:r>
      <w:r>
        <w:rPr>
          <w:rFonts w:ascii="仿宋_GB2312" w:eastAsia="仿宋_GB2312" w:hAnsi="仿宋_GB2312" w:hint="eastAsia"/>
          <w:color w:val="000000"/>
          <w:sz w:val="30"/>
          <w:szCs w:val="30"/>
        </w:rPr>
        <w:t>政治和法律环境、交易特点、操作风险、资产特征、项目发起人实力和担保安排等七方面因素。物品融资的监管评级标准见表</w:t>
      </w:r>
      <w:r>
        <w:rPr>
          <w:rFonts w:ascii="仿宋_GB2312" w:eastAsia="仿宋_GB2312" w:hAnsi="仿宋_GB2312"/>
          <w:color w:val="000000"/>
          <w:sz w:val="30"/>
          <w:szCs w:val="30"/>
        </w:rPr>
        <w:t>2</w:t>
      </w:r>
      <w:r>
        <w:rPr>
          <w:rFonts w:ascii="仿宋_GB2312" w:eastAsia="仿宋_GB2312" w:hAnsi="仿宋_GB2312" w:hint="eastAsia"/>
          <w:color w:val="000000"/>
          <w:sz w:val="30"/>
          <w:szCs w:val="30"/>
        </w:rPr>
        <w:t>。</w:t>
      </w:r>
    </w:p>
    <w:p w14:paraId="0CC013AC" w14:textId="77777777" w:rsidR="0069613A" w:rsidRDefault="00724B0E">
      <w:pPr>
        <w:tabs>
          <w:tab w:val="left" w:pos="0"/>
        </w:tabs>
        <w:adjustRightInd w:val="0"/>
        <w:snapToGrid w:val="0"/>
        <w:spacing w:line="480" w:lineRule="exact"/>
        <w:ind w:firstLineChars="200" w:firstLine="600"/>
        <w:jc w:val="left"/>
        <w:rPr>
          <w:rFonts w:ascii="仿宋_GB2312" w:eastAsia="仿宋_GB2312" w:hAnsi="仿宋_GB2312"/>
          <w:color w:val="000000"/>
          <w:sz w:val="30"/>
          <w:szCs w:val="30"/>
        </w:rPr>
      </w:pPr>
      <w:r>
        <w:rPr>
          <w:rFonts w:ascii="仿宋_GB2312" w:eastAsia="仿宋_GB2312" w:hAnsi="仿宋_GB2312" w:hint="eastAsia"/>
          <w:sz w:val="30"/>
          <w:szCs w:val="30"/>
        </w:rPr>
        <w:t>（三）商品融资评级应考虑财务状况、</w:t>
      </w:r>
      <w:r>
        <w:rPr>
          <w:rFonts w:ascii="仿宋_GB2312" w:eastAsia="仿宋_GB2312" w:hAnsi="仿宋_GB2312" w:hint="eastAsia"/>
          <w:color w:val="000000"/>
          <w:sz w:val="30"/>
          <w:szCs w:val="30"/>
        </w:rPr>
        <w:t>政治和法律环境、资产特征、项目发起人实力和担保安排等五方面因素。商品融资的监管评级标准见表</w:t>
      </w:r>
      <w:r>
        <w:rPr>
          <w:rFonts w:ascii="仿宋_GB2312" w:eastAsia="仿宋_GB2312" w:hAnsi="仿宋_GB2312"/>
          <w:color w:val="000000"/>
          <w:sz w:val="30"/>
          <w:szCs w:val="30"/>
        </w:rPr>
        <w:t>3</w:t>
      </w:r>
      <w:r>
        <w:rPr>
          <w:rFonts w:ascii="仿宋_GB2312" w:eastAsia="仿宋_GB2312" w:hAnsi="仿宋_GB2312" w:hint="eastAsia"/>
          <w:color w:val="000000"/>
          <w:sz w:val="30"/>
          <w:szCs w:val="30"/>
        </w:rPr>
        <w:t>。</w:t>
      </w:r>
    </w:p>
    <w:p w14:paraId="3FBF6CF3" w14:textId="77777777" w:rsidR="0069613A" w:rsidRDefault="00724B0E">
      <w:pPr>
        <w:tabs>
          <w:tab w:val="left" w:pos="0"/>
        </w:tabs>
        <w:adjustRightInd w:val="0"/>
        <w:snapToGrid w:val="0"/>
        <w:spacing w:line="480" w:lineRule="exact"/>
        <w:ind w:firstLineChars="200" w:firstLine="600"/>
        <w:jc w:val="left"/>
        <w:rPr>
          <w:rFonts w:ascii="仿宋_GB2312" w:eastAsia="仿宋_GB2312" w:hAnsi="仿宋_GB2312"/>
          <w:color w:val="000000"/>
          <w:sz w:val="30"/>
          <w:szCs w:val="30"/>
        </w:rPr>
      </w:pPr>
      <w:r>
        <w:rPr>
          <w:rFonts w:ascii="仿宋_GB2312" w:eastAsia="仿宋_GB2312" w:hAnsi="仿宋_GB2312" w:hint="eastAsia"/>
          <w:sz w:val="30"/>
          <w:szCs w:val="30"/>
        </w:rPr>
        <w:t>（四）产生收入的房地产贷款评级应考虑财务状况、</w:t>
      </w:r>
      <w:r>
        <w:rPr>
          <w:rFonts w:ascii="仿宋_GB2312" w:eastAsia="仿宋_GB2312" w:hAnsi="仿宋_GB2312" w:hint="eastAsia"/>
          <w:color w:val="000000"/>
          <w:sz w:val="30"/>
          <w:szCs w:val="30"/>
        </w:rPr>
        <w:t>资产特征、项目发起人或开发商实力和担保安排等四方面因素。产生收入的房地产贷款的监管评级标准见表</w:t>
      </w:r>
      <w:r>
        <w:rPr>
          <w:rFonts w:ascii="仿宋_GB2312" w:eastAsia="仿宋_GB2312" w:hAnsi="仿宋_GB2312"/>
          <w:color w:val="000000"/>
          <w:sz w:val="30"/>
          <w:szCs w:val="30"/>
        </w:rPr>
        <w:t>4</w:t>
      </w:r>
      <w:r>
        <w:rPr>
          <w:rFonts w:ascii="仿宋_GB2312" w:eastAsia="仿宋_GB2312" w:hAnsi="仿宋_GB2312" w:hint="eastAsia"/>
          <w:color w:val="000000"/>
          <w:sz w:val="30"/>
          <w:szCs w:val="30"/>
        </w:rPr>
        <w:t>。</w:t>
      </w:r>
    </w:p>
    <w:p w14:paraId="2DC37A59" w14:textId="77777777" w:rsidR="0069613A" w:rsidRDefault="00724B0E">
      <w:pPr>
        <w:pStyle w:val="2"/>
        <w:snapToGrid/>
        <w:spacing w:line="240" w:lineRule="auto"/>
        <w:ind w:firstLineChars="200" w:firstLine="600"/>
        <w:jc w:val="both"/>
      </w:pPr>
      <w:r>
        <w:rPr>
          <w:rFonts w:hint="eastAsia"/>
        </w:rPr>
        <w:t>三、监管评级与外部评级的映射关系</w:t>
      </w:r>
    </w:p>
    <w:p w14:paraId="3F397A87" w14:textId="77777777"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lang w:val="en-GB"/>
        </w:rPr>
      </w:pPr>
      <w:r>
        <w:rPr>
          <w:rFonts w:ascii="仿宋_GB2312" w:eastAsia="仿宋_GB2312" w:hint="eastAsia"/>
          <w:sz w:val="30"/>
          <w:szCs w:val="30"/>
        </w:rPr>
        <w:t>商业银行采用监管映射法的，应将专业贷款的内部评级结果映射到“优”“良”“中”“差”和“违约”五个监管评级。商业银行应参照内部评级与外部评级的映射关系、监管评级与外部评级的映射关系，确保内部评级与监管评级映射关系的一致性和稳</w:t>
      </w:r>
      <w:r>
        <w:rPr>
          <w:rFonts w:ascii="仿宋_GB2312" w:eastAsia="仿宋_GB2312" w:hint="eastAsia"/>
          <w:sz w:val="30"/>
          <w:szCs w:val="30"/>
        </w:rPr>
        <w:lastRenderedPageBreak/>
        <w:t>定性。</w:t>
      </w:r>
    </w:p>
    <w:p w14:paraId="1B1E70DA" w14:textId="77777777" w:rsidR="0069613A" w:rsidRDefault="00724B0E">
      <w:pPr>
        <w:tabs>
          <w:tab w:val="left" w:pos="0"/>
        </w:tabs>
        <w:adjustRightInd w:val="0"/>
        <w:snapToGrid w:val="0"/>
        <w:spacing w:line="480" w:lineRule="exact"/>
        <w:ind w:firstLineChars="200" w:firstLine="600"/>
        <w:rPr>
          <w:rFonts w:ascii="仿宋_GB2312" w:eastAsia="仿宋_GB2312"/>
          <w:sz w:val="30"/>
          <w:szCs w:val="30"/>
        </w:rPr>
      </w:pPr>
      <w:r>
        <w:rPr>
          <w:rFonts w:ascii="仿宋_GB2312" w:eastAsia="仿宋_GB2312" w:hint="eastAsia"/>
          <w:sz w:val="30"/>
          <w:szCs w:val="30"/>
        </w:rPr>
        <w:t>（一）监管评级“优”，对应外部评级BBB-（含）以上。指贷款所形成的资产未来所产生的现金流充足且稳定，市场竞争能力和发起人实力强，并落实了全面担保安排，即使在经济和行业面临持续、严重问题时，承贷主体仍能偿还债务。</w:t>
      </w:r>
    </w:p>
    <w:p w14:paraId="79DC0C92" w14:textId="77777777" w:rsidR="0069613A" w:rsidRDefault="00724B0E">
      <w:pPr>
        <w:tabs>
          <w:tab w:val="left" w:pos="0"/>
        </w:tabs>
        <w:adjustRightInd w:val="0"/>
        <w:snapToGrid w:val="0"/>
        <w:spacing w:line="480" w:lineRule="exact"/>
        <w:ind w:firstLineChars="200" w:firstLine="600"/>
        <w:rPr>
          <w:rFonts w:ascii="仿宋_GB2312" w:eastAsia="仿宋_GB2312"/>
          <w:sz w:val="30"/>
          <w:szCs w:val="30"/>
        </w:rPr>
      </w:pPr>
      <w:r>
        <w:rPr>
          <w:rFonts w:ascii="仿宋_GB2312" w:eastAsia="仿宋_GB2312" w:hint="eastAsia"/>
          <w:sz w:val="30"/>
          <w:szCs w:val="30"/>
        </w:rPr>
        <w:t>（二）监管评级“良”，对应外部评级BB+ 或 BB。指贷款所形成的资产未来所产生的现金流充足且稳定，市场竞争能力和发起人实力良好，并落实了全面担保安排，但在经济和行业面临持续、严重问题时，承贷主体可能无法全额偿还债务。</w:t>
      </w:r>
    </w:p>
    <w:p w14:paraId="09DB31C8" w14:textId="77777777"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lang w:val="en-GB"/>
        </w:rPr>
      </w:pPr>
      <w:r>
        <w:rPr>
          <w:rFonts w:ascii="仿宋_GB2312" w:eastAsia="仿宋_GB2312" w:hAnsi="宋体" w:hint="eastAsia"/>
          <w:sz w:val="30"/>
          <w:szCs w:val="30"/>
        </w:rPr>
        <w:t>（三）监管评级“中”，对应外部评级</w:t>
      </w:r>
      <w:r>
        <w:rPr>
          <w:rFonts w:ascii="仿宋_GB2312" w:eastAsia="仿宋_GB2312" w:hAnsi="宋体"/>
          <w:sz w:val="30"/>
          <w:szCs w:val="30"/>
        </w:rPr>
        <w:t xml:space="preserve">BB- </w:t>
      </w:r>
      <w:r>
        <w:rPr>
          <w:rFonts w:ascii="仿宋_GB2312" w:eastAsia="仿宋_GB2312" w:hAnsi="宋体" w:hint="eastAsia"/>
          <w:sz w:val="30"/>
          <w:szCs w:val="30"/>
        </w:rPr>
        <w:t>或</w:t>
      </w:r>
      <w:r>
        <w:rPr>
          <w:rFonts w:ascii="仿宋_GB2312" w:eastAsia="仿宋_GB2312" w:hAnsi="宋体"/>
          <w:sz w:val="30"/>
          <w:szCs w:val="30"/>
        </w:rPr>
        <w:t xml:space="preserve"> B+</w:t>
      </w:r>
      <w:r>
        <w:rPr>
          <w:rFonts w:ascii="仿宋_GB2312" w:eastAsia="仿宋_GB2312" w:hAnsi="宋体" w:hint="eastAsia"/>
          <w:sz w:val="30"/>
          <w:szCs w:val="30"/>
        </w:rPr>
        <w:t>。</w:t>
      </w:r>
      <w:r>
        <w:rPr>
          <w:rFonts w:ascii="仿宋_GB2312" w:eastAsia="仿宋_GB2312" w:hAnsi="宋体" w:hint="eastAsia"/>
          <w:sz w:val="30"/>
          <w:szCs w:val="30"/>
          <w:lang w:val="en-GB"/>
        </w:rPr>
        <w:t>指贷款所形成的资产未来所产生的现金流充足，但市场竞争能力和发起人实力一般，担保安排存在缺陷，导致现金流不够稳定，承贷主体抵御经济衰退和行业波动的能力很弱。</w:t>
      </w:r>
    </w:p>
    <w:p w14:paraId="39117922" w14:textId="77777777"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lang w:val="en-GB"/>
        </w:rPr>
      </w:pPr>
      <w:r>
        <w:rPr>
          <w:rFonts w:ascii="仿宋_GB2312" w:eastAsia="仿宋_GB2312" w:hAnsi="宋体" w:hint="eastAsia"/>
          <w:sz w:val="30"/>
          <w:szCs w:val="30"/>
        </w:rPr>
        <w:t>（四）监管评级“差”，对应外部评级</w:t>
      </w:r>
      <w:r>
        <w:rPr>
          <w:rFonts w:ascii="仿宋_GB2312" w:eastAsia="仿宋_GB2312" w:hAnsi="宋体"/>
          <w:sz w:val="30"/>
          <w:szCs w:val="30"/>
        </w:rPr>
        <w:t xml:space="preserve">B </w:t>
      </w:r>
      <w:r>
        <w:rPr>
          <w:rFonts w:ascii="仿宋_GB2312" w:eastAsia="仿宋_GB2312" w:hAnsi="宋体" w:hint="eastAsia"/>
          <w:sz w:val="30"/>
          <w:szCs w:val="30"/>
        </w:rPr>
        <w:t>到</w:t>
      </w:r>
      <w:r>
        <w:rPr>
          <w:rFonts w:ascii="仿宋_GB2312" w:eastAsia="仿宋_GB2312" w:hAnsi="宋体"/>
          <w:sz w:val="30"/>
          <w:szCs w:val="30"/>
        </w:rPr>
        <w:t xml:space="preserve"> C-</w:t>
      </w:r>
      <w:r>
        <w:rPr>
          <w:rFonts w:ascii="仿宋_GB2312" w:eastAsia="仿宋_GB2312" w:hAnsi="宋体" w:hint="eastAsia"/>
          <w:sz w:val="30"/>
          <w:szCs w:val="30"/>
        </w:rPr>
        <w:t>。</w:t>
      </w:r>
      <w:r>
        <w:rPr>
          <w:rFonts w:ascii="仿宋_GB2312" w:eastAsia="仿宋_GB2312" w:hAnsi="宋体" w:hint="eastAsia"/>
          <w:sz w:val="30"/>
          <w:szCs w:val="30"/>
          <w:lang w:val="en-GB"/>
        </w:rPr>
        <w:t>指贷款所形成的资产未来所产生的现金流不确定性很大，市场竞争能力和发起人实力差，承贷主体偿债能力很大程度上依赖于经济状况和市场需求出现好转，否则承贷主体可能违约。</w:t>
      </w:r>
    </w:p>
    <w:p w14:paraId="6E60DF05" w14:textId="77777777"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lang w:val="en-GB"/>
        </w:rPr>
      </w:pPr>
      <w:r>
        <w:rPr>
          <w:rFonts w:ascii="仿宋_GB2312" w:eastAsia="仿宋_GB2312" w:hAnsi="宋体" w:hint="eastAsia"/>
          <w:sz w:val="30"/>
          <w:szCs w:val="30"/>
        </w:rPr>
        <w:t>（五）监管评级“违约”，不适用于与外部评级映射。</w:t>
      </w:r>
      <w:r>
        <w:rPr>
          <w:rFonts w:ascii="仿宋_GB2312" w:eastAsia="仿宋_GB2312" w:hAnsi="宋体" w:hint="eastAsia"/>
          <w:sz w:val="30"/>
          <w:szCs w:val="30"/>
          <w:lang w:val="en-GB"/>
        </w:rPr>
        <w:t>按照本办法附件5规定的违约定义，承贷主体已经违约。</w:t>
      </w:r>
      <w:bookmarkStart w:id="0" w:name="_Toc178066384"/>
    </w:p>
    <w:p w14:paraId="1558C292" w14:textId="77777777" w:rsidR="0069613A" w:rsidRDefault="00724B0E">
      <w:pPr>
        <w:pStyle w:val="2"/>
        <w:snapToGrid/>
        <w:spacing w:line="240" w:lineRule="auto"/>
        <w:ind w:firstLineChars="200" w:firstLine="600"/>
        <w:jc w:val="both"/>
      </w:pPr>
      <w:r>
        <w:rPr>
          <w:rFonts w:hint="eastAsia"/>
        </w:rPr>
        <w:t>四、监管评级对应的风险权重</w:t>
      </w:r>
    </w:p>
    <w:p w14:paraId="092D2958" w14:textId="77777777" w:rsidR="0069613A" w:rsidRDefault="00724B0E">
      <w:pPr>
        <w:adjustRightInd w:val="0"/>
        <w:snapToGrid w:val="0"/>
        <w:spacing w:line="480" w:lineRule="exact"/>
        <w:ind w:firstLineChars="200" w:firstLine="600"/>
        <w:rPr>
          <w:rFonts w:ascii="仿宋_GB2312" w:eastAsia="仿宋_GB2312"/>
          <w:bCs/>
          <w:sz w:val="30"/>
          <w:szCs w:val="30"/>
        </w:rPr>
      </w:pPr>
      <w:r>
        <w:rPr>
          <w:rFonts w:ascii="仿宋_GB2312" w:eastAsia="仿宋_GB2312" w:hAnsi="宋体" w:hint="eastAsia"/>
          <w:sz w:val="30"/>
          <w:szCs w:val="30"/>
          <w:lang w:val="en-GB"/>
        </w:rPr>
        <w:t>（一）</w:t>
      </w:r>
      <w:r>
        <w:rPr>
          <w:rFonts w:ascii="仿宋_GB2312" w:eastAsia="仿宋_GB2312" w:hint="eastAsia"/>
          <w:bCs/>
          <w:sz w:val="30"/>
          <w:szCs w:val="30"/>
        </w:rPr>
        <w:t>专业贷款的</w:t>
      </w:r>
      <w:r>
        <w:rPr>
          <w:rFonts w:ascii="仿宋_GB2312" w:eastAsia="仿宋_GB2312" w:hAnsi="宋体" w:hint="eastAsia"/>
          <w:sz w:val="30"/>
          <w:szCs w:val="30"/>
        </w:rPr>
        <w:t>5个监管评级分别对应特定的风险权重，具体如下：</w:t>
      </w:r>
    </w:p>
    <w:p w14:paraId="2497C154" w14:textId="57321F4C"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1.监管评级“优”，风险权重为70%。</w:t>
      </w:r>
    </w:p>
    <w:p w14:paraId="6CE07B5F" w14:textId="38E782EC"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2.监管评级“良”，风险权重为90%。</w:t>
      </w:r>
    </w:p>
    <w:p w14:paraId="7AE9CCC4" w14:textId="2496692F"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3.监管评级“中”，风险权重为115%。</w:t>
      </w:r>
    </w:p>
    <w:p w14:paraId="766172B6" w14:textId="394DF48F"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4.监管评级“差”，风险权重为250%。</w:t>
      </w:r>
    </w:p>
    <w:p w14:paraId="137AA588" w14:textId="7EABEC89" w:rsidR="0069613A" w:rsidRDefault="00724B0E">
      <w:pPr>
        <w:adjustRightInd w:val="0"/>
        <w:snapToGrid w:val="0"/>
        <w:spacing w:line="480" w:lineRule="exact"/>
        <w:ind w:firstLineChars="200" w:firstLine="600"/>
        <w:rPr>
          <w:rFonts w:ascii="仿宋_GB2312" w:eastAsia="仿宋_GB2312"/>
          <w:bCs/>
          <w:sz w:val="30"/>
          <w:szCs w:val="30"/>
        </w:rPr>
      </w:pPr>
      <w:r>
        <w:rPr>
          <w:rFonts w:ascii="仿宋_GB2312" w:eastAsia="仿宋_GB2312" w:hAnsi="宋体" w:hint="eastAsia"/>
          <w:sz w:val="30"/>
          <w:szCs w:val="30"/>
        </w:rPr>
        <w:t>5.监管评级“违约”，风险权重为0%。</w:t>
      </w:r>
    </w:p>
    <w:p w14:paraId="632D1E28" w14:textId="249E34C3" w:rsidR="0069613A" w:rsidRDefault="00724B0E">
      <w:pPr>
        <w:adjustRightInd w:val="0"/>
        <w:snapToGrid w:val="0"/>
        <w:spacing w:line="480" w:lineRule="exact"/>
        <w:ind w:firstLineChars="200" w:firstLine="600"/>
        <w:rPr>
          <w:rFonts w:ascii="仿宋_GB2312" w:eastAsia="仿宋_GB2312"/>
          <w:bCs/>
          <w:sz w:val="30"/>
          <w:szCs w:val="30"/>
        </w:rPr>
      </w:pPr>
      <w:r>
        <w:rPr>
          <w:rFonts w:ascii="仿宋_GB2312" w:eastAsia="仿宋_GB2312" w:hint="eastAsia"/>
          <w:bCs/>
          <w:sz w:val="30"/>
          <w:szCs w:val="30"/>
        </w:rPr>
        <w:t>（二）如果商业银行或</w:t>
      </w:r>
      <w:r>
        <w:rPr>
          <w:rFonts w:ascii="仿宋_GB2312" w:eastAsia="仿宋_GB2312" w:hint="eastAsia"/>
          <w:sz w:val="30"/>
          <w:szCs w:val="30"/>
        </w:rPr>
        <w:t>国家金融监督管理总局</w:t>
      </w:r>
      <w:r>
        <w:rPr>
          <w:rFonts w:ascii="仿宋_GB2312" w:eastAsia="仿宋_GB2312" w:hint="eastAsia"/>
          <w:bCs/>
          <w:sz w:val="30"/>
          <w:szCs w:val="30"/>
        </w:rPr>
        <w:t>认为，产生收</w:t>
      </w:r>
      <w:r>
        <w:rPr>
          <w:rFonts w:ascii="仿宋_GB2312" w:eastAsia="仿宋_GB2312" w:hint="eastAsia"/>
          <w:bCs/>
          <w:sz w:val="30"/>
          <w:szCs w:val="30"/>
        </w:rPr>
        <w:lastRenderedPageBreak/>
        <w:t>入的房地产贷款的未来房地产出租收入、销售收入或土地出让收入的波动性较大，可提高其风险权重：</w:t>
      </w:r>
    </w:p>
    <w:p w14:paraId="54EAD6DF" w14:textId="645AF361"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1.监管评级“优”，风险权重为95%。</w:t>
      </w:r>
    </w:p>
    <w:p w14:paraId="504209E5" w14:textId="1037C894"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2.监管评级“良”，风险权重为120%。</w:t>
      </w:r>
    </w:p>
    <w:p w14:paraId="10826AB7" w14:textId="47167E4D" w:rsidR="0069613A" w:rsidRDefault="00724B0E">
      <w:pPr>
        <w:tabs>
          <w:tab w:val="left" w:pos="0"/>
        </w:tabs>
        <w:adjustRightInd w:val="0"/>
        <w:snapToGrid w:val="0"/>
        <w:spacing w:line="480" w:lineRule="exact"/>
        <w:ind w:firstLineChars="200" w:firstLine="600"/>
        <w:rPr>
          <w:rFonts w:ascii="仿宋_GB2312" w:eastAsia="仿宋_GB2312"/>
          <w:bCs/>
          <w:sz w:val="30"/>
          <w:szCs w:val="30"/>
        </w:rPr>
      </w:pPr>
      <w:r>
        <w:rPr>
          <w:rFonts w:ascii="仿宋_GB2312" w:eastAsia="仿宋_GB2312" w:hAnsi="宋体" w:hint="eastAsia"/>
          <w:sz w:val="30"/>
          <w:szCs w:val="30"/>
        </w:rPr>
        <w:t>3.监管评级“中”，风险权重为140%。</w:t>
      </w:r>
    </w:p>
    <w:p w14:paraId="76449DC2" w14:textId="77777777" w:rsidR="0069613A" w:rsidRDefault="00724B0E">
      <w:pPr>
        <w:adjustRightInd w:val="0"/>
        <w:snapToGrid w:val="0"/>
        <w:spacing w:line="480" w:lineRule="exact"/>
        <w:ind w:firstLineChars="200" w:firstLine="600"/>
        <w:rPr>
          <w:rFonts w:ascii="仿宋_GB2312" w:eastAsia="仿宋_GB2312" w:hAnsi="宋体"/>
          <w:sz w:val="30"/>
          <w:szCs w:val="30"/>
        </w:rPr>
      </w:pPr>
      <w:r>
        <w:rPr>
          <w:rFonts w:ascii="仿宋_GB2312" w:eastAsia="仿宋_GB2312" w:hint="eastAsia"/>
          <w:bCs/>
          <w:sz w:val="30"/>
          <w:szCs w:val="30"/>
        </w:rPr>
        <w:t>（三）符合下列条件之一的</w:t>
      </w:r>
      <w:r>
        <w:rPr>
          <w:rFonts w:ascii="仿宋_GB2312" w:eastAsia="仿宋_GB2312" w:hAnsi="宋体" w:hint="eastAsia"/>
          <w:sz w:val="30"/>
          <w:szCs w:val="30"/>
        </w:rPr>
        <w:t>专业贷款，监管评级为“优”的风险权重为50%；监管评级为“良”的风险权重为70%：</w:t>
      </w:r>
    </w:p>
    <w:p w14:paraId="41650CEB" w14:textId="44F83414"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1.贷款剩余期限不足2.5年。</w:t>
      </w:r>
    </w:p>
    <w:p w14:paraId="5CAD6D82" w14:textId="796A9C34"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w:t>
      </w:r>
      <w:r>
        <w:rPr>
          <w:rFonts w:ascii="仿宋_GB2312" w:eastAsia="仿宋_GB2312" w:hint="eastAsia"/>
          <w:sz w:val="30"/>
          <w:szCs w:val="30"/>
        </w:rPr>
        <w:t>国家金融监督管理总局</w:t>
      </w:r>
      <w:r>
        <w:rPr>
          <w:rFonts w:ascii="仿宋_GB2312" w:eastAsia="仿宋_GB2312" w:hAnsi="宋体" w:hint="eastAsia"/>
          <w:sz w:val="30"/>
          <w:szCs w:val="30"/>
        </w:rPr>
        <w:t>认定，商业银行授信和评级标准比监管评级标准更为审慎。</w:t>
      </w:r>
    </w:p>
    <w:p w14:paraId="044F01C7" w14:textId="09F77872"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rPr>
      </w:pPr>
      <w:r>
        <w:rPr>
          <w:rFonts w:ascii="仿宋_GB2312" w:eastAsia="仿宋_GB2312" w:hint="eastAsia"/>
          <w:bCs/>
          <w:sz w:val="30"/>
          <w:szCs w:val="30"/>
        </w:rPr>
        <w:t>如果商业银行或</w:t>
      </w:r>
      <w:r>
        <w:rPr>
          <w:rFonts w:ascii="仿宋_GB2312" w:eastAsia="仿宋_GB2312" w:hint="eastAsia"/>
          <w:sz w:val="30"/>
          <w:szCs w:val="30"/>
        </w:rPr>
        <w:t>国家金融监督管理总局</w:t>
      </w:r>
      <w:r>
        <w:rPr>
          <w:rFonts w:ascii="仿宋_GB2312" w:eastAsia="仿宋_GB2312" w:hint="eastAsia"/>
          <w:bCs/>
          <w:sz w:val="30"/>
          <w:szCs w:val="30"/>
        </w:rPr>
        <w:t>认为，产生收入的房地产贷款的未来房地产出租收入、销售收入或土地出让收入的波动性较大，</w:t>
      </w:r>
      <w:r>
        <w:rPr>
          <w:rFonts w:ascii="仿宋_GB2312" w:eastAsia="仿宋_GB2312" w:hAnsi="宋体" w:hint="eastAsia"/>
          <w:sz w:val="30"/>
          <w:szCs w:val="30"/>
        </w:rPr>
        <w:t>不适用上述优惠风险权重</w:t>
      </w:r>
      <w:r>
        <w:rPr>
          <w:rFonts w:ascii="仿宋_GB2312" w:eastAsia="仿宋_GB2312" w:hint="eastAsia"/>
          <w:bCs/>
          <w:sz w:val="30"/>
          <w:szCs w:val="30"/>
        </w:rPr>
        <w:t>。</w:t>
      </w:r>
    </w:p>
    <w:p w14:paraId="6603D1D5" w14:textId="77777777" w:rsidR="0069613A" w:rsidRDefault="00724B0E">
      <w:pPr>
        <w:pStyle w:val="2"/>
        <w:snapToGrid/>
        <w:spacing w:line="240" w:lineRule="auto"/>
        <w:ind w:firstLineChars="200" w:firstLine="600"/>
        <w:jc w:val="both"/>
      </w:pPr>
      <w:r>
        <w:rPr>
          <w:rFonts w:hint="eastAsia"/>
        </w:rPr>
        <w:t>五、监管评级对应的预期损失比例</w:t>
      </w:r>
    </w:p>
    <w:p w14:paraId="3B95CE77" w14:textId="77777777"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rPr>
      </w:pPr>
      <w:r>
        <w:rPr>
          <w:rFonts w:ascii="仿宋_GB2312" w:eastAsia="仿宋_GB2312" w:hint="eastAsia"/>
          <w:bCs/>
          <w:sz w:val="30"/>
          <w:szCs w:val="30"/>
        </w:rPr>
        <w:t>（一）专业贷款的</w:t>
      </w:r>
      <w:r>
        <w:rPr>
          <w:rFonts w:ascii="仿宋_GB2312" w:eastAsia="仿宋_GB2312" w:hAnsi="宋体" w:hint="eastAsia"/>
          <w:sz w:val="30"/>
          <w:szCs w:val="30"/>
        </w:rPr>
        <w:t>5个监管评级分别对应特定的预期损失比例，具体如下：</w:t>
      </w:r>
    </w:p>
    <w:p w14:paraId="7D1E8F42" w14:textId="75D46EAC"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1.监管评级“优”，预期损失比例为0.4%。</w:t>
      </w:r>
    </w:p>
    <w:p w14:paraId="186AC3A0" w14:textId="71A6C4B4"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2.监管评级“良”，预期损失比例为0.8%。</w:t>
      </w:r>
    </w:p>
    <w:p w14:paraId="52DF9349" w14:textId="25D50FEC"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3.监管评级“中”，预期损失比例为2.8%。</w:t>
      </w:r>
    </w:p>
    <w:p w14:paraId="66224044" w14:textId="79D0A52D"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4.监管评级“差”，预期损失比例为8%。</w:t>
      </w:r>
    </w:p>
    <w:p w14:paraId="4B086E5C" w14:textId="545DA462"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5.监管评级“违约”，预期损失比例为50%。</w:t>
      </w:r>
    </w:p>
    <w:p w14:paraId="1D7E8A5A" w14:textId="0AD47CAD" w:rsidR="0069613A" w:rsidRDefault="00724B0E">
      <w:pPr>
        <w:adjustRightInd w:val="0"/>
        <w:snapToGrid w:val="0"/>
        <w:spacing w:line="480" w:lineRule="exact"/>
        <w:ind w:firstLineChars="200" w:firstLine="600"/>
        <w:rPr>
          <w:rFonts w:ascii="仿宋_GB2312" w:eastAsia="仿宋_GB2312" w:hAnsi="宋体"/>
          <w:sz w:val="30"/>
          <w:szCs w:val="30"/>
        </w:rPr>
      </w:pPr>
      <w:r>
        <w:rPr>
          <w:rFonts w:ascii="仿宋_GB2312" w:eastAsia="仿宋_GB2312" w:hint="eastAsia"/>
          <w:bCs/>
          <w:sz w:val="30"/>
          <w:szCs w:val="30"/>
        </w:rPr>
        <w:t>（二）符合下列条件之一的</w:t>
      </w:r>
      <w:r>
        <w:rPr>
          <w:rFonts w:ascii="仿宋_GB2312" w:eastAsia="仿宋_GB2312" w:hAnsi="宋体" w:hint="eastAsia"/>
          <w:sz w:val="30"/>
          <w:szCs w:val="30"/>
        </w:rPr>
        <w:t>专业贷款，监管评级为“优”的预期损失比例为0%，监管评级为“良”的预期损失比例</w:t>
      </w:r>
      <w:r w:rsidR="0013090C">
        <w:rPr>
          <w:rFonts w:ascii="仿宋_GB2312" w:eastAsia="仿宋_GB2312" w:hAnsi="宋体" w:hint="eastAsia"/>
          <w:sz w:val="30"/>
          <w:szCs w:val="30"/>
        </w:rPr>
        <w:t>为</w:t>
      </w:r>
      <w:r>
        <w:rPr>
          <w:rFonts w:ascii="仿宋_GB2312" w:eastAsia="仿宋_GB2312" w:hAnsi="宋体" w:hint="eastAsia"/>
          <w:sz w:val="30"/>
          <w:szCs w:val="30"/>
        </w:rPr>
        <w:t>0.4%：</w:t>
      </w:r>
      <w:bookmarkStart w:id="1" w:name="_Toc178066391"/>
      <w:bookmarkStart w:id="2" w:name="_Toc178066390"/>
      <w:bookmarkStart w:id="3" w:name="_Toc175371647"/>
      <w:bookmarkEnd w:id="0"/>
    </w:p>
    <w:p w14:paraId="1A8E6AC0" w14:textId="27783951"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1.贷款剩余期限不足2.5年。</w:t>
      </w:r>
    </w:p>
    <w:p w14:paraId="64A2093C" w14:textId="6B80F6EC" w:rsidR="0069613A" w:rsidRDefault="00724B0E">
      <w:pPr>
        <w:tabs>
          <w:tab w:val="left" w:pos="0"/>
        </w:tabs>
        <w:adjustRightInd w:val="0"/>
        <w:snapToGrid w:val="0"/>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w:t>
      </w:r>
      <w:r>
        <w:rPr>
          <w:rFonts w:ascii="仿宋_GB2312" w:eastAsia="仿宋_GB2312" w:hint="eastAsia"/>
          <w:sz w:val="30"/>
          <w:szCs w:val="30"/>
        </w:rPr>
        <w:t>国家金融监督管理总局</w:t>
      </w:r>
      <w:r>
        <w:rPr>
          <w:rFonts w:ascii="仿宋_GB2312" w:eastAsia="仿宋_GB2312" w:hAnsi="宋体" w:hint="eastAsia"/>
          <w:sz w:val="30"/>
          <w:szCs w:val="30"/>
        </w:rPr>
        <w:t>认定，商业银行授信和评级标准比监管评级标准更为审慎。</w:t>
      </w:r>
      <w:bookmarkEnd w:id="1"/>
      <w:bookmarkEnd w:id="2"/>
      <w:bookmarkEnd w:id="3"/>
    </w:p>
    <w:p w14:paraId="3749398F" w14:textId="77777777" w:rsidR="0069613A" w:rsidRDefault="00724B0E">
      <w:pPr>
        <w:pStyle w:val="2"/>
        <w:snapToGrid/>
        <w:spacing w:line="240" w:lineRule="auto"/>
        <w:ind w:firstLineChars="200" w:firstLine="600"/>
        <w:jc w:val="both"/>
      </w:pPr>
      <w:r>
        <w:rPr>
          <w:rFonts w:hint="eastAsia"/>
        </w:rPr>
        <w:t>六、其他规定</w:t>
      </w:r>
    </w:p>
    <w:p w14:paraId="0F31F8F8" w14:textId="77777777" w:rsidR="0069613A" w:rsidRDefault="00724B0E">
      <w:pPr>
        <w:tabs>
          <w:tab w:val="left" w:pos="0"/>
        </w:tabs>
        <w:adjustRightInd w:val="0"/>
        <w:snapToGrid w:val="0"/>
        <w:spacing w:line="480" w:lineRule="exact"/>
        <w:ind w:firstLineChars="200" w:firstLine="600"/>
        <w:rPr>
          <w:rFonts w:ascii="仿宋_GB2312" w:eastAsia="仿宋_GB2312"/>
          <w:b/>
          <w:bCs/>
          <w:sz w:val="30"/>
          <w:szCs w:val="30"/>
        </w:rPr>
      </w:pPr>
      <w:r>
        <w:rPr>
          <w:rFonts w:ascii="仿宋_GB2312" w:eastAsia="仿宋_GB2312" w:hAnsi="宋体" w:hint="eastAsia"/>
          <w:sz w:val="30"/>
          <w:szCs w:val="30"/>
        </w:rPr>
        <w:t>表1、表2、表3、表4为本附件的组成部分。其中：</w:t>
      </w:r>
    </w:p>
    <w:p w14:paraId="0B2909A7" w14:textId="77777777" w:rsidR="0069613A" w:rsidRDefault="00724B0E">
      <w:pPr>
        <w:numPr>
          <w:ilvl w:val="1"/>
          <w:numId w:val="0"/>
        </w:numPr>
        <w:tabs>
          <w:tab w:val="left" w:pos="567"/>
        </w:tabs>
        <w:adjustRightInd w:val="0"/>
        <w:snapToGrid w:val="0"/>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表1：项目融资的监管评级标准</w:t>
      </w:r>
    </w:p>
    <w:p w14:paraId="4064110D" w14:textId="77777777" w:rsidR="0069613A" w:rsidRDefault="00724B0E">
      <w:pPr>
        <w:numPr>
          <w:ilvl w:val="1"/>
          <w:numId w:val="0"/>
        </w:numPr>
        <w:tabs>
          <w:tab w:val="left" w:pos="567"/>
        </w:tabs>
        <w:adjustRightInd w:val="0"/>
        <w:snapToGrid w:val="0"/>
        <w:spacing w:line="480" w:lineRule="exact"/>
        <w:ind w:firstLineChars="200" w:firstLine="600"/>
        <w:rPr>
          <w:rFonts w:ascii="仿宋_GB2312" w:eastAsia="仿宋_GB2312"/>
          <w:sz w:val="30"/>
          <w:szCs w:val="30"/>
        </w:rPr>
      </w:pPr>
      <w:r>
        <w:rPr>
          <w:rFonts w:ascii="仿宋_GB2312" w:eastAsia="仿宋_GB2312" w:hint="eastAsia"/>
          <w:sz w:val="30"/>
          <w:szCs w:val="30"/>
        </w:rPr>
        <w:t>表2：物品融资的监管评级标准</w:t>
      </w:r>
    </w:p>
    <w:p w14:paraId="59EF0134" w14:textId="77777777" w:rsidR="0069613A" w:rsidRDefault="00724B0E">
      <w:pPr>
        <w:numPr>
          <w:ilvl w:val="1"/>
          <w:numId w:val="0"/>
        </w:numPr>
        <w:tabs>
          <w:tab w:val="left" w:pos="567"/>
        </w:tabs>
        <w:adjustRightInd w:val="0"/>
        <w:snapToGrid w:val="0"/>
        <w:spacing w:line="480" w:lineRule="exact"/>
        <w:ind w:firstLineChars="200" w:firstLine="600"/>
        <w:rPr>
          <w:rFonts w:ascii="仿宋_GB2312" w:eastAsia="仿宋_GB2312"/>
          <w:sz w:val="30"/>
          <w:szCs w:val="30"/>
        </w:rPr>
      </w:pPr>
      <w:r>
        <w:rPr>
          <w:rFonts w:ascii="仿宋_GB2312" w:eastAsia="仿宋_GB2312" w:hint="eastAsia"/>
          <w:sz w:val="30"/>
          <w:szCs w:val="30"/>
        </w:rPr>
        <w:t>表3：商品融资的监管评级标准</w:t>
      </w:r>
    </w:p>
    <w:p w14:paraId="410E0DCB" w14:textId="77777777" w:rsidR="0069613A" w:rsidRDefault="00724B0E">
      <w:pPr>
        <w:numPr>
          <w:ilvl w:val="1"/>
          <w:numId w:val="0"/>
        </w:numPr>
        <w:tabs>
          <w:tab w:val="left" w:pos="567"/>
        </w:tabs>
        <w:adjustRightInd w:val="0"/>
        <w:snapToGrid w:val="0"/>
        <w:spacing w:line="480" w:lineRule="exact"/>
        <w:ind w:firstLineChars="200" w:firstLine="600"/>
        <w:rPr>
          <w:rFonts w:ascii="仿宋_GB2312" w:eastAsia="仿宋_GB2312"/>
          <w:sz w:val="30"/>
          <w:szCs w:val="30"/>
        </w:rPr>
      </w:pPr>
      <w:r>
        <w:rPr>
          <w:rFonts w:ascii="仿宋_GB2312" w:eastAsia="仿宋_GB2312" w:hint="eastAsia"/>
          <w:sz w:val="30"/>
          <w:szCs w:val="30"/>
        </w:rPr>
        <w:t>表4：产生收入的房地产贷款的监管评级标准</w:t>
      </w:r>
    </w:p>
    <w:p w14:paraId="5333FFC8" w14:textId="77777777" w:rsidR="0069613A" w:rsidRDefault="0069613A">
      <w:pPr>
        <w:numPr>
          <w:ilvl w:val="1"/>
          <w:numId w:val="0"/>
        </w:numPr>
        <w:tabs>
          <w:tab w:val="left" w:pos="567"/>
        </w:tabs>
        <w:adjustRightInd w:val="0"/>
        <w:snapToGrid w:val="0"/>
        <w:spacing w:line="480" w:lineRule="exact"/>
        <w:ind w:leftChars="228" w:left="479" w:firstLineChars="200" w:firstLine="600"/>
        <w:rPr>
          <w:rFonts w:ascii="仿宋_GB2312" w:eastAsia="仿宋_GB2312"/>
          <w:sz w:val="30"/>
          <w:szCs w:val="30"/>
        </w:rPr>
      </w:pPr>
    </w:p>
    <w:p w14:paraId="0CE89019" w14:textId="77777777" w:rsidR="0069613A" w:rsidRDefault="0069613A">
      <w:pPr>
        <w:numPr>
          <w:ilvl w:val="1"/>
          <w:numId w:val="0"/>
        </w:numPr>
        <w:tabs>
          <w:tab w:val="left" w:pos="567"/>
        </w:tabs>
        <w:adjustRightInd w:val="0"/>
        <w:snapToGrid w:val="0"/>
        <w:spacing w:line="360" w:lineRule="auto"/>
        <w:ind w:leftChars="228" w:left="479" w:firstLineChars="200" w:firstLine="560"/>
        <w:rPr>
          <w:rFonts w:ascii="仿宋_GB2312" w:eastAsia="仿宋_GB2312"/>
          <w:sz w:val="28"/>
          <w:szCs w:val="28"/>
        </w:rPr>
        <w:sectPr w:rsidR="0069613A">
          <w:footerReference w:type="even" r:id="rId9"/>
          <w:footerReference w:type="default" r:id="rId10"/>
          <w:headerReference w:type="first" r:id="rId11"/>
          <w:footerReference w:type="first" r:id="rId12"/>
          <w:pgSz w:w="11906" w:h="16838"/>
          <w:pgMar w:top="1440" w:right="1797" w:bottom="1440" w:left="1797" w:header="720" w:footer="720" w:gutter="0"/>
          <w:cols w:space="720"/>
          <w:docGrid w:type="lines" w:linePitch="312"/>
        </w:sectPr>
      </w:pPr>
    </w:p>
    <w:p w14:paraId="50ECCCE6" w14:textId="77777777" w:rsidR="0069613A" w:rsidRDefault="00724B0E">
      <w:pPr>
        <w:numPr>
          <w:ilvl w:val="3"/>
          <w:numId w:val="0"/>
        </w:numPr>
        <w:spacing w:afterLines="50" w:after="120"/>
        <w:jc w:val="center"/>
        <w:rPr>
          <w:rFonts w:ascii="楷体_GB2312" w:eastAsia="楷体_GB2312"/>
          <w:b/>
          <w:sz w:val="28"/>
          <w:szCs w:val="28"/>
        </w:rPr>
      </w:pPr>
      <w:bookmarkStart w:id="4" w:name="_Toc154226057"/>
      <w:bookmarkStart w:id="5" w:name="_Toc178066395"/>
      <w:r>
        <w:rPr>
          <w:rFonts w:ascii="楷体_GB2312" w:eastAsia="楷体_GB2312" w:hint="eastAsia"/>
          <w:b/>
          <w:sz w:val="28"/>
          <w:szCs w:val="28"/>
        </w:rPr>
        <w:lastRenderedPageBreak/>
        <w:t>表</w:t>
      </w:r>
      <w:r>
        <w:rPr>
          <w:rFonts w:ascii="楷体_GB2312" w:eastAsia="楷体_GB2312"/>
          <w:b/>
          <w:sz w:val="28"/>
          <w:szCs w:val="28"/>
        </w:rPr>
        <w:t xml:space="preserve">1 </w:t>
      </w:r>
      <w:r>
        <w:rPr>
          <w:rFonts w:ascii="楷体_GB2312" w:eastAsia="楷体_GB2312" w:hint="eastAsia"/>
          <w:b/>
          <w:sz w:val="28"/>
          <w:szCs w:val="28"/>
        </w:rPr>
        <w:t>项目融资的监管评级标准</w:t>
      </w:r>
      <w:bookmarkEnd w:id="4"/>
      <w:bookmarkEnd w:id="5"/>
    </w:p>
    <w:tbl>
      <w:tblPr>
        <w:tblW w:w="14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7"/>
        <w:gridCol w:w="2835"/>
        <w:gridCol w:w="2835"/>
        <w:gridCol w:w="2835"/>
        <w:gridCol w:w="2835"/>
      </w:tblGrid>
      <w:tr w:rsidR="0069613A" w14:paraId="5280CD86" w14:textId="77777777">
        <w:trPr>
          <w:cantSplit/>
          <w:trHeight w:val="340"/>
          <w:tblHeader/>
        </w:trPr>
        <w:tc>
          <w:tcPr>
            <w:tcW w:w="3047" w:type="dxa"/>
            <w:vAlign w:val="center"/>
          </w:tcPr>
          <w:p w14:paraId="277D67C7" w14:textId="77777777" w:rsidR="0069613A" w:rsidRDefault="0069613A">
            <w:pPr>
              <w:pStyle w:val="TableColumnHeading"/>
              <w:keepNext w:val="0"/>
              <w:widowControl w:val="0"/>
              <w:spacing w:before="0" w:after="0"/>
              <w:jc w:val="both"/>
              <w:rPr>
                <w:rFonts w:asciiTheme="minorEastAsia" w:eastAsiaTheme="minorEastAsia" w:hAnsiTheme="minorEastAsia"/>
                <w:color w:val="000000"/>
                <w:sz w:val="24"/>
                <w:szCs w:val="24"/>
                <w:lang w:eastAsia="zh-CN"/>
              </w:rPr>
            </w:pPr>
          </w:p>
        </w:tc>
        <w:tc>
          <w:tcPr>
            <w:tcW w:w="2835" w:type="dxa"/>
            <w:vAlign w:val="center"/>
          </w:tcPr>
          <w:p w14:paraId="1102F711" w14:textId="77777777" w:rsidR="0069613A" w:rsidRDefault="00724B0E">
            <w:pPr>
              <w:pStyle w:val="TableColumnHeading"/>
              <w:keepNext w:val="0"/>
              <w:widowControl w:val="0"/>
              <w:spacing w:before="0" w:after="0"/>
              <w:rPr>
                <w:rFonts w:asciiTheme="minorEastAsia" w:eastAsiaTheme="minorEastAsia" w:hAnsiTheme="minorEastAsia"/>
                <w:b w:val="0"/>
                <w:color w:val="000000"/>
                <w:sz w:val="24"/>
                <w:szCs w:val="24"/>
                <w:lang w:eastAsia="zh-CN"/>
              </w:rPr>
            </w:pPr>
            <w:r>
              <w:rPr>
                <w:rFonts w:asciiTheme="minorEastAsia" w:eastAsiaTheme="minorEastAsia" w:hAnsiTheme="minorEastAsia" w:hint="eastAsia"/>
                <w:b w:val="0"/>
                <w:color w:val="000000"/>
                <w:sz w:val="24"/>
                <w:szCs w:val="24"/>
                <w:lang w:eastAsia="zh-CN"/>
              </w:rPr>
              <w:t>优</w:t>
            </w:r>
          </w:p>
        </w:tc>
        <w:tc>
          <w:tcPr>
            <w:tcW w:w="2835" w:type="dxa"/>
            <w:vAlign w:val="center"/>
          </w:tcPr>
          <w:p w14:paraId="39CCFC60" w14:textId="77777777" w:rsidR="0069613A" w:rsidRDefault="00724B0E">
            <w:pPr>
              <w:pStyle w:val="TableColumnHeading"/>
              <w:keepNext w:val="0"/>
              <w:widowControl w:val="0"/>
              <w:spacing w:before="0" w:after="0"/>
              <w:rPr>
                <w:rFonts w:asciiTheme="minorEastAsia" w:eastAsiaTheme="minorEastAsia" w:hAnsiTheme="minorEastAsia"/>
                <w:b w:val="0"/>
                <w:color w:val="000000"/>
                <w:sz w:val="24"/>
                <w:szCs w:val="24"/>
                <w:lang w:eastAsia="zh-CN"/>
              </w:rPr>
            </w:pPr>
            <w:r>
              <w:rPr>
                <w:rFonts w:asciiTheme="minorEastAsia" w:eastAsiaTheme="minorEastAsia" w:hAnsiTheme="minorEastAsia" w:hint="eastAsia"/>
                <w:b w:val="0"/>
                <w:color w:val="000000"/>
                <w:sz w:val="24"/>
                <w:szCs w:val="24"/>
                <w:lang w:eastAsia="zh-CN"/>
              </w:rPr>
              <w:t>良</w:t>
            </w:r>
          </w:p>
        </w:tc>
        <w:tc>
          <w:tcPr>
            <w:tcW w:w="2835" w:type="dxa"/>
            <w:vAlign w:val="center"/>
          </w:tcPr>
          <w:p w14:paraId="07FAC75E" w14:textId="77777777" w:rsidR="0069613A" w:rsidRDefault="00724B0E">
            <w:pPr>
              <w:pStyle w:val="TableColumnHeading"/>
              <w:keepNext w:val="0"/>
              <w:widowControl w:val="0"/>
              <w:spacing w:before="0" w:after="0"/>
              <w:rPr>
                <w:rFonts w:asciiTheme="minorEastAsia" w:eastAsiaTheme="minorEastAsia" w:hAnsiTheme="minorEastAsia"/>
                <w:b w:val="0"/>
                <w:color w:val="000000"/>
                <w:sz w:val="24"/>
                <w:szCs w:val="24"/>
                <w:lang w:eastAsia="zh-CN"/>
              </w:rPr>
            </w:pPr>
            <w:r>
              <w:rPr>
                <w:rFonts w:asciiTheme="minorEastAsia" w:eastAsiaTheme="minorEastAsia" w:hAnsiTheme="minorEastAsia" w:hint="eastAsia"/>
                <w:b w:val="0"/>
                <w:color w:val="000000"/>
                <w:sz w:val="24"/>
                <w:szCs w:val="24"/>
                <w:lang w:eastAsia="zh-CN"/>
              </w:rPr>
              <w:t>中</w:t>
            </w:r>
          </w:p>
        </w:tc>
        <w:tc>
          <w:tcPr>
            <w:tcW w:w="2835" w:type="dxa"/>
            <w:vAlign w:val="center"/>
          </w:tcPr>
          <w:p w14:paraId="3ABF287B" w14:textId="77777777" w:rsidR="0069613A" w:rsidRDefault="00724B0E">
            <w:pPr>
              <w:pStyle w:val="TableColumnHeading"/>
              <w:keepNext w:val="0"/>
              <w:widowControl w:val="0"/>
              <w:spacing w:before="0" w:after="0"/>
              <w:rPr>
                <w:rFonts w:asciiTheme="minorEastAsia" w:eastAsiaTheme="minorEastAsia" w:hAnsiTheme="minorEastAsia"/>
                <w:b w:val="0"/>
                <w:color w:val="000000"/>
                <w:sz w:val="24"/>
                <w:szCs w:val="24"/>
                <w:lang w:eastAsia="zh-CN"/>
              </w:rPr>
            </w:pPr>
            <w:r>
              <w:rPr>
                <w:rFonts w:asciiTheme="minorEastAsia" w:eastAsiaTheme="minorEastAsia" w:hAnsiTheme="minorEastAsia" w:hint="eastAsia"/>
                <w:b w:val="0"/>
                <w:color w:val="000000"/>
                <w:sz w:val="24"/>
                <w:szCs w:val="24"/>
                <w:lang w:eastAsia="zh-CN"/>
              </w:rPr>
              <w:t>差</w:t>
            </w:r>
          </w:p>
        </w:tc>
      </w:tr>
      <w:tr w:rsidR="0069613A" w14:paraId="46343F27" w14:textId="77777777">
        <w:trPr>
          <w:cantSplit/>
          <w:trHeight w:val="340"/>
        </w:trPr>
        <w:tc>
          <w:tcPr>
            <w:tcW w:w="3047" w:type="dxa"/>
            <w:vAlign w:val="center"/>
          </w:tcPr>
          <w:p w14:paraId="32597B87" w14:textId="77777777" w:rsidR="0069613A" w:rsidRDefault="00724B0E">
            <w:pPr>
              <w:pStyle w:val="TableRowHeading"/>
              <w:widowControl w:val="0"/>
              <w:spacing w:after="0"/>
              <w:jc w:val="both"/>
              <w:rPr>
                <w:rFonts w:asciiTheme="minorEastAsia" w:eastAsiaTheme="minorEastAsia" w:hAnsiTheme="minorEastAsia"/>
                <w:b/>
                <w:color w:val="000000"/>
                <w:sz w:val="24"/>
                <w:szCs w:val="24"/>
                <w:lang w:eastAsia="zh-CN"/>
              </w:rPr>
            </w:pPr>
            <w:r>
              <w:rPr>
                <w:rFonts w:asciiTheme="minorEastAsia" w:eastAsiaTheme="minorEastAsia" w:hAnsiTheme="minorEastAsia" w:hint="eastAsia"/>
                <w:b/>
                <w:color w:val="000000"/>
                <w:sz w:val="24"/>
                <w:szCs w:val="24"/>
                <w:lang w:eastAsia="zh-CN"/>
              </w:rPr>
              <w:t>财务状况</w:t>
            </w:r>
          </w:p>
        </w:tc>
        <w:tc>
          <w:tcPr>
            <w:tcW w:w="2835" w:type="dxa"/>
            <w:vAlign w:val="center"/>
          </w:tcPr>
          <w:p w14:paraId="2DE4A876" w14:textId="77777777" w:rsidR="0069613A" w:rsidRDefault="0069613A">
            <w:pPr>
              <w:pStyle w:val="TableColumnHeading"/>
              <w:keepNext w:val="0"/>
              <w:widowControl w:val="0"/>
              <w:spacing w:before="0" w:after="0"/>
              <w:jc w:val="both"/>
              <w:rPr>
                <w:rFonts w:asciiTheme="minorEastAsia" w:eastAsiaTheme="minorEastAsia" w:hAnsiTheme="minorEastAsia"/>
                <w:color w:val="000000"/>
                <w:sz w:val="24"/>
                <w:szCs w:val="24"/>
                <w:lang w:eastAsia="zh-CN"/>
              </w:rPr>
            </w:pPr>
          </w:p>
        </w:tc>
        <w:tc>
          <w:tcPr>
            <w:tcW w:w="2835" w:type="dxa"/>
            <w:vAlign w:val="center"/>
          </w:tcPr>
          <w:p w14:paraId="381F761C" w14:textId="77777777" w:rsidR="0069613A" w:rsidRDefault="0069613A">
            <w:pPr>
              <w:pStyle w:val="TableColumnHeading"/>
              <w:keepNext w:val="0"/>
              <w:widowControl w:val="0"/>
              <w:spacing w:before="0" w:after="0"/>
              <w:jc w:val="both"/>
              <w:rPr>
                <w:rFonts w:asciiTheme="minorEastAsia" w:eastAsiaTheme="minorEastAsia" w:hAnsiTheme="minorEastAsia"/>
                <w:color w:val="000000"/>
                <w:sz w:val="24"/>
                <w:szCs w:val="24"/>
                <w:lang w:eastAsia="zh-CN"/>
              </w:rPr>
            </w:pPr>
          </w:p>
        </w:tc>
        <w:tc>
          <w:tcPr>
            <w:tcW w:w="2835" w:type="dxa"/>
            <w:vAlign w:val="center"/>
          </w:tcPr>
          <w:p w14:paraId="2A02CF57" w14:textId="77777777" w:rsidR="0069613A" w:rsidRDefault="0069613A">
            <w:pPr>
              <w:pStyle w:val="TableColumnHeading"/>
              <w:keepNext w:val="0"/>
              <w:widowControl w:val="0"/>
              <w:spacing w:before="0" w:after="0"/>
              <w:jc w:val="both"/>
              <w:rPr>
                <w:rFonts w:asciiTheme="minorEastAsia" w:eastAsiaTheme="minorEastAsia" w:hAnsiTheme="minorEastAsia"/>
                <w:color w:val="000000"/>
                <w:sz w:val="24"/>
                <w:szCs w:val="24"/>
                <w:lang w:eastAsia="zh-CN"/>
              </w:rPr>
            </w:pPr>
          </w:p>
        </w:tc>
        <w:tc>
          <w:tcPr>
            <w:tcW w:w="2835" w:type="dxa"/>
            <w:vAlign w:val="center"/>
          </w:tcPr>
          <w:p w14:paraId="48D8F4CD" w14:textId="77777777" w:rsidR="0069613A" w:rsidRDefault="0069613A">
            <w:pPr>
              <w:pStyle w:val="TableColumnHeading"/>
              <w:keepNext w:val="0"/>
              <w:widowControl w:val="0"/>
              <w:spacing w:before="0" w:after="0"/>
              <w:jc w:val="both"/>
              <w:rPr>
                <w:rFonts w:asciiTheme="minorEastAsia" w:eastAsiaTheme="minorEastAsia" w:hAnsiTheme="minorEastAsia"/>
                <w:color w:val="000000"/>
                <w:sz w:val="24"/>
                <w:szCs w:val="24"/>
                <w:lang w:eastAsia="zh-CN"/>
              </w:rPr>
            </w:pPr>
          </w:p>
        </w:tc>
      </w:tr>
      <w:tr w:rsidR="0069613A" w14:paraId="543CD849" w14:textId="77777777">
        <w:trPr>
          <w:cantSplit/>
          <w:trHeight w:val="340"/>
        </w:trPr>
        <w:tc>
          <w:tcPr>
            <w:tcW w:w="3047" w:type="dxa"/>
            <w:vAlign w:val="center"/>
          </w:tcPr>
          <w:p w14:paraId="5D679D79" w14:textId="77777777" w:rsidR="0069613A" w:rsidRDefault="00724B0E">
            <w:pPr>
              <w:rPr>
                <w:rFonts w:cs="宋体"/>
                <w:sz w:val="24"/>
                <w:szCs w:val="32"/>
              </w:rPr>
            </w:pPr>
            <w:r>
              <w:rPr>
                <w:rFonts w:hint="eastAsia"/>
                <w:sz w:val="24"/>
                <w:szCs w:val="32"/>
                <w:lang w:val="en-GB"/>
              </w:rPr>
              <w:t>市场形势以及竞争地位</w:t>
            </w:r>
          </w:p>
        </w:tc>
        <w:tc>
          <w:tcPr>
            <w:tcW w:w="2835" w:type="dxa"/>
            <w:vAlign w:val="center"/>
          </w:tcPr>
          <w:p w14:paraId="6B1110C8" w14:textId="77777777" w:rsidR="0069613A" w:rsidRDefault="00724B0E">
            <w:pPr>
              <w:rPr>
                <w:sz w:val="24"/>
                <w:szCs w:val="32"/>
                <w:lang w:val="en-GB"/>
              </w:rPr>
            </w:pPr>
            <w:r>
              <w:rPr>
                <w:rFonts w:hint="eastAsia"/>
                <w:sz w:val="24"/>
                <w:szCs w:val="32"/>
                <w:lang w:val="en-GB"/>
              </w:rPr>
              <w:t>市场上仅有少数直接或间接竞争者或项目在位置、成本或技术上具有实质性和持久性优势</w:t>
            </w:r>
          </w:p>
          <w:p w14:paraId="08BDC318" w14:textId="77777777" w:rsidR="0069613A" w:rsidRDefault="00724B0E">
            <w:pPr>
              <w:rPr>
                <w:sz w:val="24"/>
                <w:szCs w:val="32"/>
                <w:lang w:val="en-GB"/>
              </w:rPr>
            </w:pPr>
            <w:r>
              <w:rPr>
                <w:rFonts w:hint="eastAsia"/>
                <w:sz w:val="24"/>
                <w:szCs w:val="32"/>
                <w:lang w:val="en-GB"/>
              </w:rPr>
              <w:t>市场中定位为顶级竞争者</w:t>
            </w:r>
          </w:p>
          <w:p w14:paraId="72F21BB3" w14:textId="77777777" w:rsidR="0069613A" w:rsidRDefault="00724B0E">
            <w:pPr>
              <w:rPr>
                <w:rFonts w:cs="宋体"/>
                <w:sz w:val="24"/>
                <w:szCs w:val="32"/>
              </w:rPr>
            </w:pPr>
            <w:r>
              <w:rPr>
                <w:rFonts w:hint="eastAsia"/>
                <w:sz w:val="24"/>
                <w:szCs w:val="32"/>
                <w:lang w:val="en-GB"/>
              </w:rPr>
              <w:t>市场需求较强并继续上升</w:t>
            </w:r>
          </w:p>
        </w:tc>
        <w:tc>
          <w:tcPr>
            <w:tcW w:w="2835" w:type="dxa"/>
            <w:vAlign w:val="center"/>
          </w:tcPr>
          <w:p w14:paraId="4D1D93C5" w14:textId="77777777" w:rsidR="0069613A" w:rsidRDefault="00724B0E">
            <w:pPr>
              <w:rPr>
                <w:sz w:val="24"/>
                <w:szCs w:val="32"/>
                <w:lang w:val="en-GB"/>
              </w:rPr>
            </w:pPr>
            <w:r>
              <w:rPr>
                <w:rFonts w:hint="eastAsia"/>
                <w:sz w:val="24"/>
                <w:szCs w:val="32"/>
                <w:lang w:val="en-GB"/>
              </w:rPr>
              <w:t>市场上仅有少数直接或间接竞争者或项目在位置、成本或技术上具有稍强的优势，但该状况不会持久</w:t>
            </w:r>
          </w:p>
          <w:p w14:paraId="02BABC38" w14:textId="77777777" w:rsidR="0069613A" w:rsidRDefault="00724B0E">
            <w:pPr>
              <w:rPr>
                <w:sz w:val="24"/>
                <w:szCs w:val="32"/>
                <w:lang w:val="en-GB"/>
              </w:rPr>
            </w:pPr>
            <w:r>
              <w:rPr>
                <w:rFonts w:hint="eastAsia"/>
                <w:sz w:val="24"/>
                <w:szCs w:val="32"/>
                <w:lang w:val="en-GB"/>
              </w:rPr>
              <w:t>市场中定位为一流竞争者</w:t>
            </w:r>
          </w:p>
          <w:p w14:paraId="50D3670A" w14:textId="77777777" w:rsidR="0069613A" w:rsidRDefault="00724B0E">
            <w:pPr>
              <w:rPr>
                <w:rFonts w:cs="宋体"/>
                <w:sz w:val="24"/>
                <w:szCs w:val="32"/>
              </w:rPr>
            </w:pPr>
            <w:r>
              <w:rPr>
                <w:rFonts w:hint="eastAsia"/>
                <w:sz w:val="24"/>
                <w:szCs w:val="32"/>
                <w:lang w:val="en-GB"/>
              </w:rPr>
              <w:t>市场需求较强并稳定</w:t>
            </w:r>
          </w:p>
        </w:tc>
        <w:tc>
          <w:tcPr>
            <w:tcW w:w="2835" w:type="dxa"/>
            <w:vAlign w:val="center"/>
          </w:tcPr>
          <w:p w14:paraId="5924DB67" w14:textId="77777777" w:rsidR="0069613A" w:rsidRDefault="00724B0E">
            <w:pPr>
              <w:rPr>
                <w:sz w:val="24"/>
                <w:szCs w:val="32"/>
                <w:lang w:val="en-GB"/>
              </w:rPr>
            </w:pPr>
            <w:r>
              <w:rPr>
                <w:rFonts w:hint="eastAsia"/>
                <w:sz w:val="24"/>
                <w:szCs w:val="32"/>
                <w:lang w:val="en-GB"/>
              </w:rPr>
              <w:t>项目在位置、成本或技术上不具有优势</w:t>
            </w:r>
          </w:p>
          <w:p w14:paraId="7601D70E" w14:textId="77777777" w:rsidR="0069613A" w:rsidRDefault="0069613A">
            <w:pPr>
              <w:rPr>
                <w:sz w:val="24"/>
                <w:szCs w:val="32"/>
                <w:lang w:val="en-GB"/>
              </w:rPr>
            </w:pPr>
          </w:p>
          <w:p w14:paraId="3FA42FB8" w14:textId="77777777" w:rsidR="0069613A" w:rsidRDefault="0069613A">
            <w:pPr>
              <w:rPr>
                <w:sz w:val="24"/>
                <w:szCs w:val="32"/>
                <w:lang w:val="en-GB"/>
              </w:rPr>
            </w:pPr>
          </w:p>
          <w:p w14:paraId="18C77499" w14:textId="77777777" w:rsidR="0069613A" w:rsidRDefault="00724B0E">
            <w:pPr>
              <w:rPr>
                <w:sz w:val="24"/>
                <w:szCs w:val="32"/>
                <w:lang w:val="en-GB"/>
              </w:rPr>
            </w:pPr>
            <w:r>
              <w:rPr>
                <w:rFonts w:hint="eastAsia"/>
                <w:sz w:val="24"/>
                <w:szCs w:val="32"/>
                <w:lang w:val="en-GB"/>
              </w:rPr>
              <w:t>市场中定位为一般竞争者</w:t>
            </w:r>
          </w:p>
          <w:p w14:paraId="36D0C163" w14:textId="77777777" w:rsidR="0069613A" w:rsidRDefault="00724B0E">
            <w:pPr>
              <w:rPr>
                <w:rFonts w:cs="宋体"/>
                <w:sz w:val="24"/>
                <w:szCs w:val="32"/>
              </w:rPr>
            </w:pPr>
            <w:r>
              <w:rPr>
                <w:rFonts w:hint="eastAsia"/>
                <w:sz w:val="24"/>
                <w:szCs w:val="32"/>
                <w:lang w:val="en-GB"/>
              </w:rPr>
              <w:t>市场需求充分并稳定</w:t>
            </w:r>
          </w:p>
        </w:tc>
        <w:tc>
          <w:tcPr>
            <w:tcW w:w="2835" w:type="dxa"/>
            <w:vAlign w:val="center"/>
          </w:tcPr>
          <w:p w14:paraId="0197C876" w14:textId="77777777" w:rsidR="0069613A" w:rsidRDefault="00724B0E">
            <w:pPr>
              <w:rPr>
                <w:sz w:val="24"/>
                <w:szCs w:val="32"/>
                <w:lang w:val="en-GB"/>
              </w:rPr>
            </w:pPr>
            <w:r>
              <w:rPr>
                <w:rFonts w:hint="eastAsia"/>
                <w:sz w:val="24"/>
                <w:szCs w:val="32"/>
                <w:lang w:val="en-GB"/>
              </w:rPr>
              <w:t>项目在位置、成本或技术上比平均水平弱</w:t>
            </w:r>
          </w:p>
          <w:p w14:paraId="36F21402" w14:textId="77777777" w:rsidR="0069613A" w:rsidRDefault="0069613A">
            <w:pPr>
              <w:rPr>
                <w:sz w:val="24"/>
                <w:szCs w:val="32"/>
                <w:lang w:val="en-GB"/>
              </w:rPr>
            </w:pPr>
          </w:p>
          <w:p w14:paraId="7FF672F5" w14:textId="77777777" w:rsidR="0069613A" w:rsidRDefault="0069613A">
            <w:pPr>
              <w:rPr>
                <w:sz w:val="24"/>
                <w:szCs w:val="32"/>
                <w:lang w:val="en-GB"/>
              </w:rPr>
            </w:pPr>
          </w:p>
          <w:p w14:paraId="2CA50B54" w14:textId="77777777" w:rsidR="0069613A" w:rsidRDefault="00724B0E">
            <w:pPr>
              <w:rPr>
                <w:sz w:val="24"/>
                <w:szCs w:val="32"/>
                <w:lang w:val="en-GB"/>
              </w:rPr>
            </w:pPr>
            <w:r>
              <w:rPr>
                <w:rFonts w:hint="eastAsia"/>
                <w:sz w:val="24"/>
                <w:szCs w:val="32"/>
                <w:lang w:val="en-GB"/>
              </w:rPr>
              <w:t>无明显的市场定位</w:t>
            </w:r>
          </w:p>
          <w:p w14:paraId="52B065C3" w14:textId="77777777" w:rsidR="0069613A" w:rsidRDefault="00724B0E">
            <w:pPr>
              <w:rPr>
                <w:rFonts w:cs="宋体"/>
                <w:sz w:val="24"/>
                <w:szCs w:val="32"/>
              </w:rPr>
            </w:pPr>
            <w:r>
              <w:rPr>
                <w:rFonts w:hint="eastAsia"/>
                <w:sz w:val="24"/>
                <w:szCs w:val="32"/>
                <w:lang w:val="en-GB"/>
              </w:rPr>
              <w:t>市场需求较差并持续下降</w:t>
            </w:r>
          </w:p>
        </w:tc>
      </w:tr>
      <w:tr w:rsidR="0069613A" w14:paraId="4D75AE74" w14:textId="77777777">
        <w:trPr>
          <w:cantSplit/>
          <w:trHeight w:val="340"/>
        </w:trPr>
        <w:tc>
          <w:tcPr>
            <w:tcW w:w="3047" w:type="dxa"/>
            <w:vAlign w:val="center"/>
          </w:tcPr>
          <w:p w14:paraId="3D423852"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bCs/>
                <w:sz w:val="24"/>
                <w:lang w:val="en-GB"/>
              </w:rPr>
              <w:t>财务比率（例如：偿债保障比率（</w:t>
            </w:r>
            <w:r>
              <w:rPr>
                <w:rFonts w:asciiTheme="minorEastAsia" w:eastAsiaTheme="minorEastAsia" w:hAnsiTheme="minorEastAsia"/>
                <w:bCs/>
                <w:sz w:val="24"/>
                <w:lang w:val="en-GB"/>
              </w:rPr>
              <w:t>DSCR），贷款期保障比率（LLCR），项目期保障比率（PLCR）和债务/资本比率）</w:t>
            </w:r>
          </w:p>
        </w:tc>
        <w:tc>
          <w:tcPr>
            <w:tcW w:w="2835" w:type="dxa"/>
            <w:vAlign w:val="center"/>
          </w:tcPr>
          <w:p w14:paraId="3077666D"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相对于项目风险程度来说，财务比率优，经济前景非常看好</w:t>
            </w:r>
          </w:p>
        </w:tc>
        <w:tc>
          <w:tcPr>
            <w:tcW w:w="2835" w:type="dxa"/>
            <w:vAlign w:val="center"/>
          </w:tcPr>
          <w:p w14:paraId="6FA125C2"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相对于项目风险程度来说，财务比率介于健康和一般之间，经济前景看好</w:t>
            </w:r>
          </w:p>
        </w:tc>
        <w:tc>
          <w:tcPr>
            <w:tcW w:w="2835" w:type="dxa"/>
            <w:vAlign w:val="center"/>
          </w:tcPr>
          <w:p w14:paraId="14326C3B"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相对于项目风险程度来说，财务比率符合标准</w:t>
            </w:r>
          </w:p>
        </w:tc>
        <w:tc>
          <w:tcPr>
            <w:tcW w:w="2835" w:type="dxa"/>
            <w:vAlign w:val="center"/>
          </w:tcPr>
          <w:p w14:paraId="6D6EC482"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相对于项目风险程度来说，财务比率弱</w:t>
            </w:r>
          </w:p>
        </w:tc>
      </w:tr>
      <w:tr w:rsidR="0069613A" w14:paraId="6605B7AE" w14:textId="77777777">
        <w:trPr>
          <w:cantSplit/>
          <w:trHeight w:val="340"/>
        </w:trPr>
        <w:tc>
          <w:tcPr>
            <w:tcW w:w="3047" w:type="dxa"/>
            <w:vAlign w:val="center"/>
          </w:tcPr>
          <w:p w14:paraId="36B28277"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bCs/>
                <w:sz w:val="24"/>
                <w:lang w:val="en-GB"/>
              </w:rPr>
              <w:t>压力分析</w:t>
            </w:r>
          </w:p>
        </w:tc>
        <w:tc>
          <w:tcPr>
            <w:tcW w:w="2835" w:type="dxa"/>
            <w:vAlign w:val="center"/>
          </w:tcPr>
          <w:p w14:paraId="7943DF67"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当经济和行业面临持续、严重的问题时，项目仍能偿还债务</w:t>
            </w:r>
          </w:p>
        </w:tc>
        <w:tc>
          <w:tcPr>
            <w:tcW w:w="2835" w:type="dxa"/>
            <w:vAlign w:val="center"/>
          </w:tcPr>
          <w:p w14:paraId="3BDE59E5"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当经济和行业面临一般问题时，项目能偿还债务。只有当经济发生严重问题时，项目才可能违约</w:t>
            </w:r>
          </w:p>
        </w:tc>
        <w:tc>
          <w:tcPr>
            <w:tcW w:w="2835" w:type="dxa"/>
            <w:vAlign w:val="center"/>
          </w:tcPr>
          <w:p w14:paraId="5C2B7A2F"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项目易受经济周期中常见的负面影响，可能在正常的低谷期违约</w:t>
            </w:r>
          </w:p>
        </w:tc>
        <w:tc>
          <w:tcPr>
            <w:tcW w:w="2835" w:type="dxa"/>
            <w:vAlign w:val="center"/>
          </w:tcPr>
          <w:p w14:paraId="0AFB4EAB"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如果情况不好转，项目可能违约</w:t>
            </w:r>
          </w:p>
        </w:tc>
      </w:tr>
      <w:tr w:rsidR="0069613A" w14:paraId="27E7053A" w14:textId="77777777">
        <w:trPr>
          <w:cantSplit/>
          <w:trHeight w:val="340"/>
        </w:trPr>
        <w:tc>
          <w:tcPr>
            <w:tcW w:w="3047" w:type="dxa"/>
            <w:vAlign w:val="center"/>
          </w:tcPr>
          <w:p w14:paraId="04648BF2" w14:textId="77777777" w:rsidR="0069613A" w:rsidRDefault="00724B0E">
            <w:pPr>
              <w:pStyle w:val="TableRowHeading"/>
              <w:widowControl w:val="0"/>
              <w:spacing w:after="0"/>
              <w:jc w:val="both"/>
              <w:rPr>
                <w:rFonts w:asciiTheme="minorEastAsia" w:eastAsiaTheme="minorEastAsia" w:hAnsiTheme="minorEastAsia"/>
                <w:b/>
                <w:i/>
                <w:color w:val="000000"/>
                <w:sz w:val="24"/>
                <w:szCs w:val="24"/>
                <w:lang w:eastAsia="zh-CN"/>
              </w:rPr>
            </w:pPr>
            <w:r>
              <w:rPr>
                <w:rFonts w:asciiTheme="minorEastAsia" w:eastAsiaTheme="minorEastAsia" w:hAnsiTheme="minorEastAsia" w:hint="eastAsia"/>
                <w:b/>
                <w:i/>
                <w:color w:val="000000"/>
                <w:sz w:val="24"/>
                <w:szCs w:val="24"/>
                <w:lang w:eastAsia="zh-CN"/>
              </w:rPr>
              <w:t>融资结构</w:t>
            </w:r>
          </w:p>
        </w:tc>
        <w:tc>
          <w:tcPr>
            <w:tcW w:w="2835" w:type="dxa"/>
            <w:vAlign w:val="center"/>
          </w:tcPr>
          <w:p w14:paraId="20596E73" w14:textId="77777777" w:rsidR="0069613A" w:rsidRDefault="0069613A">
            <w:pPr>
              <w:pStyle w:val="TableText"/>
              <w:keepNext w:val="0"/>
              <w:widowControl w:val="0"/>
              <w:spacing w:after="0"/>
              <w:jc w:val="both"/>
              <w:rPr>
                <w:rFonts w:asciiTheme="minorEastAsia" w:eastAsiaTheme="minorEastAsia" w:hAnsiTheme="minorEastAsia"/>
                <w:color w:val="000000"/>
                <w:sz w:val="24"/>
                <w:szCs w:val="24"/>
                <w:lang w:eastAsia="zh-CN"/>
              </w:rPr>
            </w:pPr>
          </w:p>
        </w:tc>
        <w:tc>
          <w:tcPr>
            <w:tcW w:w="2835" w:type="dxa"/>
            <w:vAlign w:val="center"/>
          </w:tcPr>
          <w:p w14:paraId="21EEF9B6" w14:textId="77777777" w:rsidR="0069613A" w:rsidRDefault="0069613A">
            <w:pPr>
              <w:pStyle w:val="TableText"/>
              <w:keepNext w:val="0"/>
              <w:widowControl w:val="0"/>
              <w:spacing w:after="0"/>
              <w:jc w:val="both"/>
              <w:rPr>
                <w:rFonts w:asciiTheme="minorEastAsia" w:eastAsiaTheme="minorEastAsia" w:hAnsiTheme="minorEastAsia"/>
                <w:color w:val="000000"/>
                <w:sz w:val="24"/>
                <w:szCs w:val="24"/>
                <w:lang w:eastAsia="zh-CN"/>
              </w:rPr>
            </w:pPr>
          </w:p>
        </w:tc>
        <w:tc>
          <w:tcPr>
            <w:tcW w:w="2835" w:type="dxa"/>
            <w:vAlign w:val="center"/>
          </w:tcPr>
          <w:p w14:paraId="67EE7CFA" w14:textId="77777777" w:rsidR="0069613A" w:rsidRDefault="0069613A">
            <w:pPr>
              <w:pStyle w:val="TableText"/>
              <w:keepNext w:val="0"/>
              <w:widowControl w:val="0"/>
              <w:spacing w:after="0"/>
              <w:jc w:val="both"/>
              <w:rPr>
                <w:rFonts w:asciiTheme="minorEastAsia" w:eastAsiaTheme="minorEastAsia" w:hAnsiTheme="minorEastAsia"/>
                <w:color w:val="000000"/>
                <w:sz w:val="24"/>
                <w:szCs w:val="24"/>
                <w:lang w:eastAsia="zh-CN"/>
              </w:rPr>
            </w:pPr>
          </w:p>
        </w:tc>
        <w:tc>
          <w:tcPr>
            <w:tcW w:w="2835" w:type="dxa"/>
            <w:vAlign w:val="center"/>
          </w:tcPr>
          <w:p w14:paraId="433D760F" w14:textId="77777777" w:rsidR="0069613A" w:rsidRDefault="0069613A">
            <w:pPr>
              <w:pStyle w:val="TableText"/>
              <w:keepNext w:val="0"/>
              <w:widowControl w:val="0"/>
              <w:spacing w:after="0"/>
              <w:jc w:val="both"/>
              <w:rPr>
                <w:rFonts w:asciiTheme="minorEastAsia" w:eastAsiaTheme="minorEastAsia" w:hAnsiTheme="minorEastAsia"/>
                <w:color w:val="000000"/>
                <w:sz w:val="24"/>
                <w:szCs w:val="24"/>
                <w:lang w:eastAsia="zh-CN"/>
              </w:rPr>
            </w:pPr>
          </w:p>
        </w:tc>
      </w:tr>
      <w:tr w:rsidR="0069613A" w14:paraId="18D2EB34" w14:textId="77777777">
        <w:trPr>
          <w:cantSplit/>
          <w:trHeight w:val="340"/>
        </w:trPr>
        <w:tc>
          <w:tcPr>
            <w:tcW w:w="3047" w:type="dxa"/>
            <w:vAlign w:val="center"/>
          </w:tcPr>
          <w:p w14:paraId="64C04B80"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bCs/>
                <w:sz w:val="24"/>
                <w:lang w:val="en-GB"/>
              </w:rPr>
              <w:t>贷款持续期与项目持续期的对比</w:t>
            </w:r>
          </w:p>
        </w:tc>
        <w:tc>
          <w:tcPr>
            <w:tcW w:w="2835" w:type="dxa"/>
            <w:vAlign w:val="center"/>
          </w:tcPr>
          <w:p w14:paraId="401D47A4"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项目的有效使用寿命大大超过贷款期限</w:t>
            </w:r>
          </w:p>
        </w:tc>
        <w:tc>
          <w:tcPr>
            <w:tcW w:w="2835" w:type="dxa"/>
            <w:vAlign w:val="center"/>
          </w:tcPr>
          <w:p w14:paraId="3E5225C3"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项目的有效使用寿命超过贷款期限</w:t>
            </w:r>
          </w:p>
        </w:tc>
        <w:tc>
          <w:tcPr>
            <w:tcW w:w="2835" w:type="dxa"/>
            <w:vAlign w:val="center"/>
          </w:tcPr>
          <w:p w14:paraId="707F72BE"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项目的有效使用寿命超过贷款期限</w:t>
            </w:r>
          </w:p>
        </w:tc>
        <w:tc>
          <w:tcPr>
            <w:tcW w:w="2835" w:type="dxa"/>
            <w:vAlign w:val="center"/>
          </w:tcPr>
          <w:p w14:paraId="6461D91C"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项目的有效使用寿命可能低于贷款期限</w:t>
            </w:r>
          </w:p>
        </w:tc>
      </w:tr>
      <w:tr w:rsidR="0069613A" w14:paraId="201ED6C0" w14:textId="77777777">
        <w:trPr>
          <w:cantSplit/>
          <w:trHeight w:val="340"/>
        </w:trPr>
        <w:tc>
          <w:tcPr>
            <w:tcW w:w="3047" w:type="dxa"/>
            <w:vAlign w:val="center"/>
          </w:tcPr>
          <w:p w14:paraId="6E95F02C"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贷款分期偿还计划</w:t>
            </w:r>
          </w:p>
        </w:tc>
        <w:tc>
          <w:tcPr>
            <w:tcW w:w="2835" w:type="dxa"/>
            <w:vAlign w:val="center"/>
          </w:tcPr>
          <w:p w14:paraId="092BB05D"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债务本息分期均衡偿还</w:t>
            </w:r>
          </w:p>
        </w:tc>
        <w:tc>
          <w:tcPr>
            <w:tcW w:w="2835" w:type="dxa"/>
            <w:vAlign w:val="center"/>
          </w:tcPr>
          <w:p w14:paraId="6C19944F"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债务本息分期均衡偿还</w:t>
            </w:r>
          </w:p>
        </w:tc>
        <w:tc>
          <w:tcPr>
            <w:tcW w:w="2835" w:type="dxa"/>
            <w:vAlign w:val="center"/>
          </w:tcPr>
          <w:p w14:paraId="2C5B8134"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债务本息分期均衡偿还，但有少部分到期一次性偿还</w:t>
            </w:r>
          </w:p>
        </w:tc>
        <w:tc>
          <w:tcPr>
            <w:tcW w:w="2835" w:type="dxa"/>
            <w:vAlign w:val="center"/>
          </w:tcPr>
          <w:p w14:paraId="4D786DF3"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到期一次性偿还，或债务本息定期等额偿还，但有很大部分到期一次性偿还</w:t>
            </w:r>
          </w:p>
        </w:tc>
      </w:tr>
      <w:tr w:rsidR="0069613A" w14:paraId="4D31330C" w14:textId="77777777">
        <w:trPr>
          <w:cantSplit/>
          <w:trHeight w:val="340"/>
        </w:trPr>
        <w:tc>
          <w:tcPr>
            <w:tcW w:w="3047" w:type="dxa"/>
            <w:vAlign w:val="center"/>
          </w:tcPr>
          <w:p w14:paraId="5A214490" w14:textId="77777777" w:rsidR="0069613A" w:rsidRDefault="00724B0E">
            <w:pPr>
              <w:pStyle w:val="TableRowHeading"/>
              <w:widowControl w:val="0"/>
              <w:spacing w:after="0"/>
              <w:jc w:val="both"/>
              <w:rPr>
                <w:rFonts w:asciiTheme="minorEastAsia" w:eastAsiaTheme="minorEastAsia" w:hAnsiTheme="minorEastAsia"/>
                <w:b/>
                <w:color w:val="000000"/>
                <w:sz w:val="24"/>
                <w:szCs w:val="24"/>
                <w:lang w:eastAsia="zh-CN"/>
              </w:rPr>
            </w:pPr>
            <w:r>
              <w:rPr>
                <w:rFonts w:asciiTheme="minorEastAsia" w:eastAsiaTheme="minorEastAsia" w:hAnsiTheme="minorEastAsia" w:hint="eastAsia"/>
                <w:b/>
                <w:color w:val="000000"/>
                <w:sz w:val="24"/>
                <w:szCs w:val="24"/>
                <w:lang w:eastAsia="zh-CN"/>
              </w:rPr>
              <w:t>政治、法律环境</w:t>
            </w:r>
          </w:p>
        </w:tc>
        <w:tc>
          <w:tcPr>
            <w:tcW w:w="2835" w:type="dxa"/>
            <w:vAlign w:val="center"/>
          </w:tcPr>
          <w:p w14:paraId="495026B9" w14:textId="77777777" w:rsidR="0069613A" w:rsidRDefault="0069613A">
            <w:pPr>
              <w:rPr>
                <w:rFonts w:asciiTheme="minorEastAsia" w:eastAsiaTheme="minorEastAsia" w:hAnsiTheme="minorEastAsia"/>
                <w:color w:val="000000"/>
                <w:sz w:val="24"/>
              </w:rPr>
            </w:pPr>
          </w:p>
        </w:tc>
        <w:tc>
          <w:tcPr>
            <w:tcW w:w="2835" w:type="dxa"/>
            <w:vAlign w:val="center"/>
          </w:tcPr>
          <w:p w14:paraId="22EA5BF4" w14:textId="77777777" w:rsidR="0069613A" w:rsidRDefault="0069613A">
            <w:pPr>
              <w:rPr>
                <w:rFonts w:asciiTheme="minorEastAsia" w:eastAsiaTheme="minorEastAsia" w:hAnsiTheme="minorEastAsia"/>
                <w:color w:val="000000"/>
                <w:sz w:val="24"/>
              </w:rPr>
            </w:pPr>
          </w:p>
        </w:tc>
        <w:tc>
          <w:tcPr>
            <w:tcW w:w="2835" w:type="dxa"/>
            <w:vAlign w:val="center"/>
          </w:tcPr>
          <w:p w14:paraId="13D663D4" w14:textId="77777777" w:rsidR="0069613A" w:rsidRDefault="0069613A">
            <w:pPr>
              <w:rPr>
                <w:rFonts w:asciiTheme="minorEastAsia" w:eastAsiaTheme="minorEastAsia" w:hAnsiTheme="minorEastAsia"/>
                <w:color w:val="000000"/>
                <w:sz w:val="24"/>
              </w:rPr>
            </w:pPr>
          </w:p>
        </w:tc>
        <w:tc>
          <w:tcPr>
            <w:tcW w:w="2835" w:type="dxa"/>
            <w:vAlign w:val="center"/>
          </w:tcPr>
          <w:p w14:paraId="22C07ABC" w14:textId="77777777" w:rsidR="0069613A" w:rsidRDefault="0069613A">
            <w:pPr>
              <w:rPr>
                <w:rFonts w:asciiTheme="minorEastAsia" w:eastAsiaTheme="minorEastAsia" w:hAnsiTheme="minorEastAsia"/>
                <w:color w:val="000000"/>
                <w:sz w:val="24"/>
              </w:rPr>
            </w:pPr>
          </w:p>
        </w:tc>
      </w:tr>
      <w:tr w:rsidR="0069613A" w14:paraId="04E9279E" w14:textId="77777777">
        <w:trPr>
          <w:cantSplit/>
          <w:trHeight w:val="340"/>
        </w:trPr>
        <w:tc>
          <w:tcPr>
            <w:tcW w:w="3047" w:type="dxa"/>
            <w:vAlign w:val="center"/>
          </w:tcPr>
          <w:p w14:paraId="73802866"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考虑项目类型和风险缓释之后的政治风险，包括风险转移</w:t>
            </w:r>
          </w:p>
        </w:tc>
        <w:tc>
          <w:tcPr>
            <w:tcW w:w="2835" w:type="dxa"/>
            <w:vAlign w:val="center"/>
          </w:tcPr>
          <w:p w14:paraId="169AD77B"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风险很低，可供使用的风险缓释工具功能优异</w:t>
            </w:r>
          </w:p>
        </w:tc>
        <w:tc>
          <w:tcPr>
            <w:tcW w:w="2835" w:type="dxa"/>
            <w:vAlign w:val="center"/>
          </w:tcPr>
          <w:p w14:paraId="4D493810"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风险低，可供使用的风险缓释工具功能良好</w:t>
            </w:r>
          </w:p>
        </w:tc>
        <w:tc>
          <w:tcPr>
            <w:tcW w:w="2835" w:type="dxa"/>
            <w:vAlign w:val="center"/>
          </w:tcPr>
          <w:p w14:paraId="0CF8A85D"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风险不高，可供使用的风险缓释工具功能一般</w:t>
            </w:r>
          </w:p>
        </w:tc>
        <w:tc>
          <w:tcPr>
            <w:tcW w:w="2835" w:type="dxa"/>
            <w:vAlign w:val="center"/>
          </w:tcPr>
          <w:p w14:paraId="3A5FB680"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风险很高，缺乏可供使用的风险缓释工具或其功能较差</w:t>
            </w:r>
          </w:p>
        </w:tc>
      </w:tr>
      <w:tr w:rsidR="0069613A" w14:paraId="76342388" w14:textId="77777777">
        <w:trPr>
          <w:cantSplit/>
          <w:trHeight w:val="340"/>
        </w:trPr>
        <w:tc>
          <w:tcPr>
            <w:tcW w:w="3047" w:type="dxa"/>
            <w:vAlign w:val="center"/>
          </w:tcPr>
          <w:p w14:paraId="7FA18713"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政府的支持和项目在长期对国家的重要程度</w:t>
            </w:r>
          </w:p>
        </w:tc>
        <w:tc>
          <w:tcPr>
            <w:tcW w:w="2835" w:type="dxa"/>
            <w:vAlign w:val="center"/>
          </w:tcPr>
          <w:p w14:paraId="72C7EA52"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项目（主要是出口导向型的）对国家具有重大战略性意义，政府强有力的支持</w:t>
            </w:r>
          </w:p>
        </w:tc>
        <w:tc>
          <w:tcPr>
            <w:tcW w:w="2835" w:type="dxa"/>
            <w:vAlign w:val="center"/>
          </w:tcPr>
          <w:p w14:paraId="7A7546E5"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项目对国家重要，政府支持程度较高</w:t>
            </w:r>
          </w:p>
        </w:tc>
        <w:tc>
          <w:tcPr>
            <w:tcW w:w="2835" w:type="dxa"/>
            <w:vAlign w:val="center"/>
          </w:tcPr>
          <w:p w14:paraId="002DA9D2"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项目不具有战略意义，但毫无疑问对政府有利，政府可能未明确表示支持</w:t>
            </w:r>
          </w:p>
        </w:tc>
        <w:tc>
          <w:tcPr>
            <w:tcW w:w="2835" w:type="dxa"/>
            <w:vAlign w:val="center"/>
          </w:tcPr>
          <w:p w14:paraId="72D87CAE"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项目对国家不重要，政府不支持或支持较弱</w:t>
            </w:r>
          </w:p>
        </w:tc>
      </w:tr>
      <w:tr w:rsidR="0069613A" w14:paraId="1F4A87A6" w14:textId="77777777">
        <w:trPr>
          <w:cantSplit/>
          <w:trHeight w:val="340"/>
        </w:trPr>
        <w:tc>
          <w:tcPr>
            <w:tcW w:w="3047" w:type="dxa"/>
            <w:vAlign w:val="center"/>
          </w:tcPr>
          <w:p w14:paraId="49441E74"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法律和监管环境的稳定性（法律变革的风险）</w:t>
            </w:r>
          </w:p>
        </w:tc>
        <w:tc>
          <w:tcPr>
            <w:tcW w:w="2835" w:type="dxa"/>
            <w:vAlign w:val="center"/>
          </w:tcPr>
          <w:p w14:paraId="55512055"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长期稳定有利的监管环境</w:t>
            </w:r>
          </w:p>
        </w:tc>
        <w:tc>
          <w:tcPr>
            <w:tcW w:w="2835" w:type="dxa"/>
            <w:vAlign w:val="center"/>
          </w:tcPr>
          <w:p w14:paraId="24522EB4"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中期稳定有利的监管环境</w:t>
            </w:r>
          </w:p>
        </w:tc>
        <w:tc>
          <w:tcPr>
            <w:tcW w:w="2835" w:type="dxa"/>
            <w:vAlign w:val="center"/>
          </w:tcPr>
          <w:p w14:paraId="7FD6705A"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能比较确定地预测监管环境的变化</w:t>
            </w:r>
          </w:p>
        </w:tc>
        <w:tc>
          <w:tcPr>
            <w:tcW w:w="2835" w:type="dxa"/>
            <w:vAlign w:val="center"/>
          </w:tcPr>
          <w:p w14:paraId="60A1190A"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项目可能受当前和未来的监管问题影响</w:t>
            </w:r>
          </w:p>
        </w:tc>
      </w:tr>
      <w:tr w:rsidR="0069613A" w14:paraId="0FF355F6" w14:textId="77777777">
        <w:trPr>
          <w:cantSplit/>
          <w:trHeight w:val="340"/>
        </w:trPr>
        <w:tc>
          <w:tcPr>
            <w:tcW w:w="3047" w:type="dxa"/>
            <w:vAlign w:val="center"/>
          </w:tcPr>
          <w:p w14:paraId="0942BE2E"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遵照当地有关法律，获得所有必要支持和许可的程度</w:t>
            </w:r>
          </w:p>
        </w:tc>
        <w:tc>
          <w:tcPr>
            <w:tcW w:w="2835" w:type="dxa"/>
            <w:vAlign w:val="center"/>
          </w:tcPr>
          <w:p w14:paraId="60869A24"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高</w:t>
            </w:r>
          </w:p>
        </w:tc>
        <w:tc>
          <w:tcPr>
            <w:tcW w:w="2835" w:type="dxa"/>
            <w:vAlign w:val="center"/>
          </w:tcPr>
          <w:p w14:paraId="26D43018"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较高</w:t>
            </w:r>
          </w:p>
        </w:tc>
        <w:tc>
          <w:tcPr>
            <w:tcW w:w="2835" w:type="dxa"/>
            <w:vAlign w:val="center"/>
          </w:tcPr>
          <w:p w14:paraId="3545DA77"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一般</w:t>
            </w:r>
          </w:p>
        </w:tc>
        <w:tc>
          <w:tcPr>
            <w:tcW w:w="2835" w:type="dxa"/>
            <w:vAlign w:val="center"/>
          </w:tcPr>
          <w:p w14:paraId="53DAE796"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低</w:t>
            </w:r>
          </w:p>
        </w:tc>
      </w:tr>
      <w:tr w:rsidR="0069613A" w14:paraId="1039C9FA" w14:textId="77777777">
        <w:trPr>
          <w:cantSplit/>
          <w:trHeight w:val="340"/>
        </w:trPr>
        <w:tc>
          <w:tcPr>
            <w:tcW w:w="3047" w:type="dxa"/>
            <w:vAlign w:val="center"/>
          </w:tcPr>
          <w:p w14:paraId="05358A80"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有关合同和抵质押品的强制执行力</w:t>
            </w:r>
          </w:p>
        </w:tc>
        <w:tc>
          <w:tcPr>
            <w:tcW w:w="2835" w:type="dxa"/>
            <w:vAlign w:val="center"/>
          </w:tcPr>
          <w:p w14:paraId="720EF297"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合同和抵质押品能强制执行</w:t>
            </w:r>
          </w:p>
        </w:tc>
        <w:tc>
          <w:tcPr>
            <w:tcW w:w="2835" w:type="dxa"/>
            <w:vAlign w:val="center"/>
          </w:tcPr>
          <w:p w14:paraId="427D7D7F"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合同和抵质押品能强制执行</w:t>
            </w:r>
          </w:p>
        </w:tc>
        <w:tc>
          <w:tcPr>
            <w:tcW w:w="2835" w:type="dxa"/>
            <w:vAlign w:val="center"/>
          </w:tcPr>
          <w:p w14:paraId="634447AD"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即使存在若干非要害问题，合同和抵质押品仍能强制执行</w:t>
            </w:r>
          </w:p>
        </w:tc>
        <w:tc>
          <w:tcPr>
            <w:tcW w:w="2835" w:type="dxa"/>
            <w:vAlign w:val="center"/>
          </w:tcPr>
          <w:p w14:paraId="4D7EB02F"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合同和抵质押品强制执行方面存在要害问题尚未解决</w:t>
            </w:r>
            <w:r>
              <w:rPr>
                <w:rFonts w:asciiTheme="minorEastAsia" w:eastAsiaTheme="minorEastAsia" w:hAnsiTheme="minorEastAsia"/>
                <w:color w:val="000000"/>
                <w:sz w:val="24"/>
                <w:szCs w:val="24"/>
                <w:lang w:eastAsia="zh-CN"/>
              </w:rPr>
              <w:t xml:space="preserve"> </w:t>
            </w:r>
          </w:p>
        </w:tc>
      </w:tr>
      <w:tr w:rsidR="0069613A" w14:paraId="22335C8C" w14:textId="77777777">
        <w:trPr>
          <w:cantSplit/>
          <w:trHeight w:val="340"/>
        </w:trPr>
        <w:tc>
          <w:tcPr>
            <w:tcW w:w="3047" w:type="dxa"/>
            <w:vAlign w:val="center"/>
          </w:tcPr>
          <w:p w14:paraId="14063990" w14:textId="77777777" w:rsidR="0069613A" w:rsidRDefault="00724B0E">
            <w:pPr>
              <w:pStyle w:val="TableRowHeading"/>
              <w:widowControl w:val="0"/>
              <w:spacing w:after="0"/>
              <w:jc w:val="both"/>
              <w:rPr>
                <w:rFonts w:asciiTheme="minorEastAsia" w:eastAsiaTheme="minorEastAsia" w:hAnsiTheme="minorEastAsia"/>
                <w:b/>
                <w:color w:val="000000"/>
                <w:sz w:val="24"/>
                <w:szCs w:val="24"/>
                <w:lang w:eastAsia="zh-CN"/>
              </w:rPr>
            </w:pPr>
            <w:r>
              <w:rPr>
                <w:rFonts w:asciiTheme="minorEastAsia" w:eastAsiaTheme="minorEastAsia" w:hAnsiTheme="minorEastAsia" w:hint="eastAsia"/>
                <w:b/>
                <w:color w:val="000000"/>
                <w:sz w:val="24"/>
                <w:szCs w:val="24"/>
                <w:lang w:eastAsia="zh-CN"/>
              </w:rPr>
              <w:t>交易特点</w:t>
            </w:r>
          </w:p>
        </w:tc>
        <w:tc>
          <w:tcPr>
            <w:tcW w:w="2835" w:type="dxa"/>
            <w:vAlign w:val="center"/>
          </w:tcPr>
          <w:p w14:paraId="4DDB1690" w14:textId="77777777" w:rsidR="0069613A" w:rsidRDefault="0069613A">
            <w:pPr>
              <w:rPr>
                <w:rFonts w:asciiTheme="minorEastAsia" w:eastAsiaTheme="minorEastAsia" w:hAnsiTheme="minorEastAsia"/>
                <w:color w:val="000000"/>
                <w:sz w:val="24"/>
              </w:rPr>
            </w:pPr>
          </w:p>
        </w:tc>
        <w:tc>
          <w:tcPr>
            <w:tcW w:w="2835" w:type="dxa"/>
            <w:vAlign w:val="center"/>
          </w:tcPr>
          <w:p w14:paraId="68FD7690" w14:textId="77777777" w:rsidR="0069613A" w:rsidRDefault="0069613A">
            <w:pPr>
              <w:rPr>
                <w:rFonts w:asciiTheme="minorEastAsia" w:eastAsiaTheme="minorEastAsia" w:hAnsiTheme="minorEastAsia"/>
                <w:color w:val="000000"/>
                <w:sz w:val="24"/>
              </w:rPr>
            </w:pPr>
          </w:p>
        </w:tc>
        <w:tc>
          <w:tcPr>
            <w:tcW w:w="2835" w:type="dxa"/>
            <w:vAlign w:val="center"/>
          </w:tcPr>
          <w:p w14:paraId="5EBA73DD" w14:textId="77777777" w:rsidR="0069613A" w:rsidRDefault="0069613A">
            <w:pPr>
              <w:rPr>
                <w:rFonts w:asciiTheme="minorEastAsia" w:eastAsiaTheme="minorEastAsia" w:hAnsiTheme="minorEastAsia"/>
                <w:color w:val="000000"/>
                <w:sz w:val="24"/>
              </w:rPr>
            </w:pPr>
          </w:p>
        </w:tc>
        <w:tc>
          <w:tcPr>
            <w:tcW w:w="2835" w:type="dxa"/>
            <w:vAlign w:val="center"/>
          </w:tcPr>
          <w:p w14:paraId="31FBC14C" w14:textId="77777777" w:rsidR="0069613A" w:rsidRDefault="0069613A">
            <w:pPr>
              <w:rPr>
                <w:rFonts w:asciiTheme="minorEastAsia" w:eastAsiaTheme="minorEastAsia" w:hAnsiTheme="minorEastAsia"/>
                <w:color w:val="000000"/>
                <w:sz w:val="24"/>
              </w:rPr>
            </w:pPr>
          </w:p>
        </w:tc>
      </w:tr>
      <w:tr w:rsidR="0069613A" w14:paraId="545B31AC" w14:textId="77777777">
        <w:trPr>
          <w:cantSplit/>
          <w:trHeight w:val="340"/>
        </w:trPr>
        <w:tc>
          <w:tcPr>
            <w:tcW w:w="3047" w:type="dxa"/>
            <w:vAlign w:val="center"/>
          </w:tcPr>
          <w:p w14:paraId="27723BD4" w14:textId="77777777" w:rsidR="0069613A" w:rsidRDefault="00724B0E">
            <w:pPr>
              <w:rPr>
                <w:rFonts w:asciiTheme="minorEastAsia" w:eastAsiaTheme="minorEastAsia" w:hAnsiTheme="minorEastAsia"/>
                <w:b/>
                <w:i/>
                <w:color w:val="000000"/>
                <w:sz w:val="24"/>
              </w:rPr>
            </w:pPr>
            <w:r>
              <w:rPr>
                <w:rFonts w:asciiTheme="minorEastAsia" w:eastAsiaTheme="minorEastAsia" w:hAnsiTheme="minorEastAsia" w:hint="eastAsia"/>
                <w:b/>
                <w:i/>
                <w:color w:val="000000"/>
                <w:sz w:val="24"/>
              </w:rPr>
              <w:t>设计和技术风险</w:t>
            </w:r>
          </w:p>
        </w:tc>
        <w:tc>
          <w:tcPr>
            <w:tcW w:w="2835" w:type="dxa"/>
            <w:vAlign w:val="center"/>
          </w:tcPr>
          <w:p w14:paraId="646E0D1A"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技术和设计完全可靠</w:t>
            </w:r>
          </w:p>
        </w:tc>
        <w:tc>
          <w:tcPr>
            <w:tcW w:w="2835" w:type="dxa"/>
            <w:vAlign w:val="center"/>
          </w:tcPr>
          <w:p w14:paraId="6CF99D85"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技术和设计完全可靠</w:t>
            </w:r>
          </w:p>
        </w:tc>
        <w:tc>
          <w:tcPr>
            <w:tcW w:w="2835" w:type="dxa"/>
            <w:vAlign w:val="center"/>
          </w:tcPr>
          <w:p w14:paraId="3F1CF9EB"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技术和设计可靠——用强大的一揽子完工方案可缓解萌芽阶段的问题</w:t>
            </w:r>
          </w:p>
        </w:tc>
        <w:tc>
          <w:tcPr>
            <w:tcW w:w="2835" w:type="dxa"/>
            <w:vAlign w:val="center"/>
          </w:tcPr>
          <w:p w14:paraId="55AC76EC"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技术和设计不可靠</w:t>
            </w:r>
            <w:r>
              <w:rPr>
                <w:rFonts w:asciiTheme="minorEastAsia" w:eastAsiaTheme="minorEastAsia" w:hAnsiTheme="minorEastAsia"/>
                <w:color w:val="000000"/>
                <w:sz w:val="24"/>
                <w:szCs w:val="24"/>
                <w:lang w:eastAsia="zh-CN"/>
              </w:rPr>
              <w:t>/存在技术问题和/或设计复杂</w:t>
            </w:r>
          </w:p>
        </w:tc>
      </w:tr>
      <w:tr w:rsidR="0069613A" w14:paraId="0F040D87" w14:textId="77777777">
        <w:trPr>
          <w:cantSplit/>
          <w:trHeight w:val="340"/>
        </w:trPr>
        <w:tc>
          <w:tcPr>
            <w:tcW w:w="3047" w:type="dxa"/>
            <w:vAlign w:val="center"/>
          </w:tcPr>
          <w:p w14:paraId="498D6994" w14:textId="77777777" w:rsidR="0069613A" w:rsidRDefault="00724B0E">
            <w:pPr>
              <w:pStyle w:val="TableRowHeading"/>
              <w:widowControl w:val="0"/>
              <w:spacing w:after="0"/>
              <w:jc w:val="both"/>
              <w:rPr>
                <w:rFonts w:asciiTheme="minorEastAsia" w:eastAsiaTheme="minorEastAsia" w:hAnsiTheme="minorEastAsia"/>
                <w:b/>
                <w:i/>
                <w:color w:val="000000"/>
                <w:sz w:val="24"/>
                <w:szCs w:val="24"/>
                <w:lang w:eastAsia="zh-CN"/>
              </w:rPr>
            </w:pPr>
            <w:r>
              <w:rPr>
                <w:rFonts w:asciiTheme="minorEastAsia" w:eastAsiaTheme="minorEastAsia" w:hAnsiTheme="minorEastAsia" w:hint="eastAsia"/>
                <w:b/>
                <w:i/>
                <w:color w:val="000000"/>
                <w:sz w:val="24"/>
                <w:szCs w:val="24"/>
                <w:lang w:eastAsia="zh-CN"/>
              </w:rPr>
              <w:t>建设风险</w:t>
            </w:r>
          </w:p>
        </w:tc>
        <w:tc>
          <w:tcPr>
            <w:tcW w:w="2835" w:type="dxa"/>
            <w:vAlign w:val="center"/>
          </w:tcPr>
          <w:p w14:paraId="5118214A" w14:textId="77777777" w:rsidR="0069613A" w:rsidRDefault="0069613A">
            <w:pPr>
              <w:pStyle w:val="TableText"/>
              <w:keepNext w:val="0"/>
              <w:widowControl w:val="0"/>
              <w:spacing w:after="0"/>
              <w:jc w:val="both"/>
              <w:rPr>
                <w:rFonts w:asciiTheme="minorEastAsia" w:eastAsiaTheme="minorEastAsia" w:hAnsiTheme="minorEastAsia"/>
                <w:color w:val="000000"/>
                <w:sz w:val="24"/>
                <w:szCs w:val="24"/>
                <w:lang w:eastAsia="zh-CN"/>
              </w:rPr>
            </w:pPr>
          </w:p>
        </w:tc>
        <w:tc>
          <w:tcPr>
            <w:tcW w:w="2835" w:type="dxa"/>
            <w:vAlign w:val="center"/>
          </w:tcPr>
          <w:p w14:paraId="25C1FB83" w14:textId="77777777" w:rsidR="0069613A" w:rsidRDefault="0069613A">
            <w:pPr>
              <w:pStyle w:val="TableText"/>
              <w:keepNext w:val="0"/>
              <w:widowControl w:val="0"/>
              <w:spacing w:after="0"/>
              <w:jc w:val="both"/>
              <w:rPr>
                <w:rFonts w:asciiTheme="minorEastAsia" w:eastAsiaTheme="minorEastAsia" w:hAnsiTheme="minorEastAsia"/>
                <w:color w:val="000000"/>
                <w:sz w:val="24"/>
                <w:szCs w:val="24"/>
                <w:lang w:eastAsia="zh-CN"/>
              </w:rPr>
            </w:pPr>
          </w:p>
        </w:tc>
        <w:tc>
          <w:tcPr>
            <w:tcW w:w="2835" w:type="dxa"/>
            <w:vAlign w:val="center"/>
          </w:tcPr>
          <w:p w14:paraId="1DDA8C16" w14:textId="77777777" w:rsidR="0069613A" w:rsidRDefault="0069613A">
            <w:pPr>
              <w:pStyle w:val="TableText"/>
              <w:keepNext w:val="0"/>
              <w:widowControl w:val="0"/>
              <w:spacing w:after="0"/>
              <w:jc w:val="both"/>
              <w:rPr>
                <w:rFonts w:asciiTheme="minorEastAsia" w:eastAsiaTheme="minorEastAsia" w:hAnsiTheme="minorEastAsia"/>
                <w:color w:val="000000"/>
                <w:sz w:val="24"/>
                <w:szCs w:val="24"/>
                <w:lang w:eastAsia="zh-CN"/>
              </w:rPr>
            </w:pPr>
          </w:p>
        </w:tc>
        <w:tc>
          <w:tcPr>
            <w:tcW w:w="2835" w:type="dxa"/>
            <w:vAlign w:val="center"/>
          </w:tcPr>
          <w:p w14:paraId="643CE402" w14:textId="77777777" w:rsidR="0069613A" w:rsidRDefault="0069613A">
            <w:pPr>
              <w:pStyle w:val="TableText"/>
              <w:keepNext w:val="0"/>
              <w:widowControl w:val="0"/>
              <w:spacing w:after="0"/>
              <w:jc w:val="both"/>
              <w:rPr>
                <w:rFonts w:asciiTheme="minorEastAsia" w:eastAsiaTheme="minorEastAsia" w:hAnsiTheme="minorEastAsia"/>
                <w:color w:val="000000"/>
                <w:sz w:val="24"/>
                <w:szCs w:val="24"/>
                <w:lang w:eastAsia="zh-CN"/>
              </w:rPr>
            </w:pPr>
          </w:p>
        </w:tc>
      </w:tr>
      <w:tr w:rsidR="0069613A" w14:paraId="3BA3377C" w14:textId="77777777">
        <w:trPr>
          <w:cantSplit/>
          <w:trHeight w:val="340"/>
        </w:trPr>
        <w:tc>
          <w:tcPr>
            <w:tcW w:w="3047" w:type="dxa"/>
            <w:vAlign w:val="center"/>
          </w:tcPr>
          <w:p w14:paraId="29879DA1"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审批和选址</w:t>
            </w:r>
          </w:p>
        </w:tc>
        <w:tc>
          <w:tcPr>
            <w:tcW w:w="2835" w:type="dxa"/>
            <w:vAlign w:val="center"/>
          </w:tcPr>
          <w:p w14:paraId="52B6FC0F"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已获全部批件</w:t>
            </w:r>
          </w:p>
        </w:tc>
        <w:tc>
          <w:tcPr>
            <w:tcW w:w="2835" w:type="dxa"/>
            <w:vAlign w:val="center"/>
          </w:tcPr>
          <w:p w14:paraId="50F0ABBB"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一些事项尚待批准但获批可能性很大</w:t>
            </w:r>
          </w:p>
        </w:tc>
        <w:tc>
          <w:tcPr>
            <w:tcW w:w="2835" w:type="dxa"/>
            <w:vAlign w:val="center"/>
          </w:tcPr>
          <w:p w14:paraId="3BF90E6F"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一些事项尚待批准但审批程序明确，审批只是例行公事</w:t>
            </w:r>
          </w:p>
        </w:tc>
        <w:tc>
          <w:tcPr>
            <w:tcW w:w="2835" w:type="dxa"/>
            <w:vAlign w:val="center"/>
          </w:tcPr>
          <w:p w14:paraId="5CAB8892"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尚未获得关键批件，审批并非例行公事，可能还要满足其他一些重要条件</w:t>
            </w:r>
          </w:p>
        </w:tc>
      </w:tr>
      <w:tr w:rsidR="0069613A" w14:paraId="1B8E14BD" w14:textId="77777777">
        <w:trPr>
          <w:cantSplit/>
          <w:trHeight w:val="340"/>
        </w:trPr>
        <w:tc>
          <w:tcPr>
            <w:tcW w:w="3047" w:type="dxa"/>
            <w:vAlign w:val="center"/>
          </w:tcPr>
          <w:p w14:paraId="7F945FD8"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建设合同类型</w:t>
            </w:r>
          </w:p>
        </w:tc>
        <w:tc>
          <w:tcPr>
            <w:tcW w:w="2835" w:type="dxa"/>
            <w:vAlign w:val="center"/>
          </w:tcPr>
          <w:p w14:paraId="7A2DCC77"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价格和日期都固定的总承包工程、采购及建设合同（</w:t>
            </w:r>
            <w:r>
              <w:rPr>
                <w:rFonts w:asciiTheme="minorEastAsia" w:eastAsiaTheme="minorEastAsia" w:hAnsiTheme="minorEastAsia"/>
                <w:color w:val="000000"/>
                <w:sz w:val="24"/>
                <w:szCs w:val="24"/>
                <w:lang w:eastAsia="zh-CN"/>
              </w:rPr>
              <w:t>EPC）</w:t>
            </w:r>
          </w:p>
        </w:tc>
        <w:tc>
          <w:tcPr>
            <w:tcW w:w="2835" w:type="dxa"/>
            <w:vAlign w:val="center"/>
          </w:tcPr>
          <w:p w14:paraId="4A09D9C1"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价格和日期都固定的总承包工程、采购及建设合同</w:t>
            </w:r>
          </w:p>
        </w:tc>
        <w:tc>
          <w:tcPr>
            <w:tcW w:w="2835" w:type="dxa"/>
            <w:vAlign w:val="center"/>
          </w:tcPr>
          <w:p w14:paraId="76F3A9EF"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价格和日期都固定的总承包建设合同，有一家或一家以上的承包商</w:t>
            </w:r>
          </w:p>
        </w:tc>
        <w:tc>
          <w:tcPr>
            <w:tcW w:w="2835" w:type="dxa"/>
            <w:vAlign w:val="center"/>
          </w:tcPr>
          <w:p w14:paraId="7CCB3A72"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缺乏价格固定的总承包合同或合同不完整和</w:t>
            </w:r>
            <w:r>
              <w:rPr>
                <w:rFonts w:asciiTheme="minorEastAsia" w:eastAsiaTheme="minorEastAsia" w:hAnsiTheme="minorEastAsia"/>
                <w:color w:val="000000"/>
                <w:sz w:val="24"/>
                <w:szCs w:val="24"/>
                <w:lang w:eastAsia="zh-CN"/>
              </w:rPr>
              <w:t>/或存在与各承包商多方联络的问题</w:t>
            </w:r>
          </w:p>
        </w:tc>
      </w:tr>
      <w:tr w:rsidR="0069613A" w14:paraId="7D66DAF4" w14:textId="77777777">
        <w:trPr>
          <w:cantSplit/>
          <w:trHeight w:val="340"/>
        </w:trPr>
        <w:tc>
          <w:tcPr>
            <w:tcW w:w="3047" w:type="dxa"/>
            <w:vAlign w:val="center"/>
          </w:tcPr>
          <w:p w14:paraId="34BE4ABD"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项目完成担保</w:t>
            </w:r>
          </w:p>
        </w:tc>
        <w:tc>
          <w:tcPr>
            <w:tcW w:w="2835" w:type="dxa"/>
            <w:vAlign w:val="center"/>
          </w:tcPr>
          <w:p w14:paraId="0345F15B"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约定的损害赔偿金充足且由金融实物资产支持以及</w:t>
            </w:r>
            <w:r>
              <w:rPr>
                <w:rFonts w:asciiTheme="minorEastAsia" w:eastAsiaTheme="minorEastAsia" w:hAnsiTheme="minorEastAsia"/>
                <w:color w:val="000000"/>
                <w:sz w:val="24"/>
                <w:szCs w:val="24"/>
                <w:lang w:eastAsia="zh-CN"/>
              </w:rPr>
              <w:t>/或财务实力雄厚的项目发起人提供项目完成担保</w:t>
            </w:r>
          </w:p>
        </w:tc>
        <w:tc>
          <w:tcPr>
            <w:tcW w:w="2835" w:type="dxa"/>
            <w:vAlign w:val="center"/>
          </w:tcPr>
          <w:p w14:paraId="2D48E87B"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约定的损害赔偿金较多且由金融实物资产支持以及</w:t>
            </w:r>
            <w:r>
              <w:rPr>
                <w:rFonts w:asciiTheme="minorEastAsia" w:eastAsiaTheme="minorEastAsia" w:hAnsiTheme="minorEastAsia"/>
                <w:color w:val="000000"/>
                <w:sz w:val="24"/>
                <w:szCs w:val="24"/>
                <w:lang w:eastAsia="zh-CN"/>
              </w:rPr>
              <w:t>/或财务实力较强的项目发起人提供项目完成担保</w:t>
            </w:r>
          </w:p>
        </w:tc>
        <w:tc>
          <w:tcPr>
            <w:tcW w:w="2835" w:type="dxa"/>
            <w:vAlign w:val="center"/>
          </w:tcPr>
          <w:p w14:paraId="610B87E8"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约定的损害赔偿金适当且由金融实物资产支持以及</w:t>
            </w:r>
            <w:r>
              <w:rPr>
                <w:rFonts w:asciiTheme="minorEastAsia" w:eastAsiaTheme="minorEastAsia" w:hAnsiTheme="minorEastAsia"/>
                <w:color w:val="000000"/>
                <w:sz w:val="24"/>
                <w:szCs w:val="24"/>
                <w:lang w:eastAsia="zh-CN"/>
              </w:rPr>
              <w:t>/或财务实力较强的项目发起人提供项目完成担保</w:t>
            </w:r>
          </w:p>
        </w:tc>
        <w:tc>
          <w:tcPr>
            <w:tcW w:w="2835" w:type="dxa"/>
            <w:vAlign w:val="center"/>
          </w:tcPr>
          <w:p w14:paraId="1269BC3B"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约定的损害赔偿金不足或缺乏金融实物资产的支持或项目完成担保较弱</w:t>
            </w:r>
          </w:p>
        </w:tc>
      </w:tr>
      <w:tr w:rsidR="0069613A" w14:paraId="46352D9E" w14:textId="77777777">
        <w:trPr>
          <w:cantSplit/>
          <w:trHeight w:val="340"/>
        </w:trPr>
        <w:tc>
          <w:tcPr>
            <w:tcW w:w="3047" w:type="dxa"/>
            <w:vAlign w:val="center"/>
          </w:tcPr>
          <w:p w14:paraId="6DEAB355"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承包商承建类似项目的业绩和财务实力</w:t>
            </w:r>
          </w:p>
        </w:tc>
        <w:tc>
          <w:tcPr>
            <w:tcW w:w="2835" w:type="dxa"/>
            <w:vAlign w:val="center"/>
          </w:tcPr>
          <w:p w14:paraId="5FEEA4E9"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强</w:t>
            </w:r>
          </w:p>
        </w:tc>
        <w:tc>
          <w:tcPr>
            <w:tcW w:w="2835" w:type="dxa"/>
            <w:vAlign w:val="center"/>
          </w:tcPr>
          <w:p w14:paraId="6139612C"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较强</w:t>
            </w:r>
          </w:p>
        </w:tc>
        <w:tc>
          <w:tcPr>
            <w:tcW w:w="2835" w:type="dxa"/>
            <w:vAlign w:val="center"/>
          </w:tcPr>
          <w:p w14:paraId="7151CFB7"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中</w:t>
            </w:r>
          </w:p>
        </w:tc>
        <w:tc>
          <w:tcPr>
            <w:tcW w:w="2835" w:type="dxa"/>
            <w:vAlign w:val="center"/>
          </w:tcPr>
          <w:p w14:paraId="6A9A8D8C"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弱</w:t>
            </w:r>
          </w:p>
        </w:tc>
      </w:tr>
      <w:tr w:rsidR="0069613A" w14:paraId="1CBED9CC" w14:textId="77777777">
        <w:trPr>
          <w:cantSplit/>
          <w:trHeight w:val="340"/>
        </w:trPr>
        <w:tc>
          <w:tcPr>
            <w:tcW w:w="3047" w:type="dxa"/>
            <w:vAlign w:val="center"/>
          </w:tcPr>
          <w:p w14:paraId="0123E69C" w14:textId="77777777" w:rsidR="0069613A" w:rsidRDefault="00724B0E">
            <w:pPr>
              <w:pStyle w:val="TableRowHeading"/>
              <w:widowControl w:val="0"/>
              <w:spacing w:after="0"/>
              <w:jc w:val="both"/>
              <w:rPr>
                <w:rFonts w:asciiTheme="minorEastAsia" w:eastAsiaTheme="minorEastAsia" w:hAnsiTheme="minorEastAsia"/>
                <w:b/>
                <w:i/>
                <w:color w:val="000000"/>
                <w:sz w:val="24"/>
                <w:szCs w:val="24"/>
                <w:lang w:eastAsia="zh-CN"/>
              </w:rPr>
            </w:pPr>
            <w:r>
              <w:rPr>
                <w:rFonts w:asciiTheme="minorEastAsia" w:eastAsiaTheme="minorEastAsia" w:hAnsiTheme="minorEastAsia" w:hint="eastAsia"/>
                <w:b/>
                <w:i/>
                <w:color w:val="000000"/>
                <w:sz w:val="24"/>
                <w:szCs w:val="24"/>
                <w:lang w:eastAsia="zh-CN"/>
              </w:rPr>
              <w:t>操作风险</w:t>
            </w:r>
          </w:p>
        </w:tc>
        <w:tc>
          <w:tcPr>
            <w:tcW w:w="2835" w:type="dxa"/>
            <w:vAlign w:val="center"/>
          </w:tcPr>
          <w:p w14:paraId="5952AAD7" w14:textId="77777777" w:rsidR="0069613A" w:rsidRDefault="0069613A">
            <w:pPr>
              <w:rPr>
                <w:rFonts w:asciiTheme="minorEastAsia" w:eastAsiaTheme="minorEastAsia" w:hAnsiTheme="minorEastAsia"/>
                <w:color w:val="000000"/>
                <w:sz w:val="24"/>
              </w:rPr>
            </w:pPr>
          </w:p>
        </w:tc>
        <w:tc>
          <w:tcPr>
            <w:tcW w:w="2835" w:type="dxa"/>
            <w:vAlign w:val="center"/>
          </w:tcPr>
          <w:p w14:paraId="5370CE7A" w14:textId="77777777" w:rsidR="0069613A" w:rsidRDefault="0069613A">
            <w:pPr>
              <w:rPr>
                <w:rFonts w:asciiTheme="minorEastAsia" w:eastAsiaTheme="minorEastAsia" w:hAnsiTheme="minorEastAsia"/>
                <w:color w:val="000000"/>
                <w:sz w:val="24"/>
              </w:rPr>
            </w:pPr>
          </w:p>
        </w:tc>
        <w:tc>
          <w:tcPr>
            <w:tcW w:w="2835" w:type="dxa"/>
            <w:vAlign w:val="center"/>
          </w:tcPr>
          <w:p w14:paraId="29ADF17E" w14:textId="77777777" w:rsidR="0069613A" w:rsidRDefault="0069613A">
            <w:pPr>
              <w:rPr>
                <w:rFonts w:asciiTheme="minorEastAsia" w:eastAsiaTheme="minorEastAsia" w:hAnsiTheme="minorEastAsia"/>
                <w:color w:val="000000"/>
                <w:sz w:val="24"/>
              </w:rPr>
            </w:pPr>
          </w:p>
        </w:tc>
        <w:tc>
          <w:tcPr>
            <w:tcW w:w="2835" w:type="dxa"/>
            <w:vAlign w:val="center"/>
          </w:tcPr>
          <w:p w14:paraId="11163A14" w14:textId="77777777" w:rsidR="0069613A" w:rsidRDefault="0069613A">
            <w:pPr>
              <w:rPr>
                <w:rFonts w:asciiTheme="minorEastAsia" w:eastAsiaTheme="minorEastAsia" w:hAnsiTheme="minorEastAsia"/>
                <w:color w:val="000000"/>
                <w:sz w:val="24"/>
              </w:rPr>
            </w:pPr>
          </w:p>
        </w:tc>
      </w:tr>
      <w:tr w:rsidR="0069613A" w14:paraId="32CB8A34" w14:textId="77777777">
        <w:trPr>
          <w:cantSplit/>
          <w:trHeight w:val="340"/>
        </w:trPr>
        <w:tc>
          <w:tcPr>
            <w:tcW w:w="3047" w:type="dxa"/>
            <w:vAlign w:val="center"/>
          </w:tcPr>
          <w:p w14:paraId="60B63A5A"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营运与维护（</w:t>
            </w:r>
            <w:r>
              <w:rPr>
                <w:rFonts w:asciiTheme="minorEastAsia" w:eastAsiaTheme="minorEastAsia" w:hAnsiTheme="minorEastAsia"/>
                <w:color w:val="000000"/>
                <w:sz w:val="24"/>
              </w:rPr>
              <w:t>O &amp; M</w:t>
            </w:r>
            <w:r>
              <w:rPr>
                <w:rFonts w:asciiTheme="minorEastAsia" w:eastAsiaTheme="minorEastAsia" w:hAnsiTheme="minorEastAsia" w:hint="eastAsia"/>
                <w:color w:val="000000"/>
                <w:sz w:val="24"/>
              </w:rPr>
              <w:t>）的范围和性质</w:t>
            </w:r>
          </w:p>
        </w:tc>
        <w:tc>
          <w:tcPr>
            <w:tcW w:w="2835" w:type="dxa"/>
            <w:vAlign w:val="center"/>
          </w:tcPr>
          <w:p w14:paraId="49E98754"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完备的长期营运和维护合同，最好附带业绩激励条款，和</w:t>
            </w:r>
            <w:r>
              <w:rPr>
                <w:rFonts w:asciiTheme="minorEastAsia" w:eastAsiaTheme="minorEastAsia" w:hAnsiTheme="minorEastAsia"/>
                <w:color w:val="000000"/>
                <w:sz w:val="24"/>
                <w:szCs w:val="24"/>
                <w:lang w:eastAsia="zh-CN"/>
              </w:rPr>
              <w:t>/或营运和维护储备金账户</w:t>
            </w:r>
          </w:p>
        </w:tc>
        <w:tc>
          <w:tcPr>
            <w:tcW w:w="2835" w:type="dxa"/>
            <w:vAlign w:val="center"/>
          </w:tcPr>
          <w:p w14:paraId="1EF98C4A"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长期的营运和维护合同，和</w:t>
            </w:r>
            <w:r>
              <w:rPr>
                <w:rFonts w:asciiTheme="minorEastAsia" w:eastAsiaTheme="minorEastAsia" w:hAnsiTheme="minorEastAsia"/>
                <w:color w:val="000000"/>
                <w:sz w:val="24"/>
                <w:szCs w:val="24"/>
                <w:lang w:eastAsia="zh-CN"/>
              </w:rPr>
              <w:t>/或营运和维护储备金账户</w:t>
            </w:r>
          </w:p>
        </w:tc>
        <w:tc>
          <w:tcPr>
            <w:tcW w:w="2835" w:type="dxa"/>
            <w:vAlign w:val="center"/>
          </w:tcPr>
          <w:p w14:paraId="6687C680"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不完备的营运和维护合同，或附带营运和维护储备金账户</w:t>
            </w:r>
          </w:p>
        </w:tc>
        <w:tc>
          <w:tcPr>
            <w:tcW w:w="2835" w:type="dxa"/>
            <w:vAlign w:val="center"/>
          </w:tcPr>
          <w:p w14:paraId="01D7119E"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缺乏营运和维护合同：缓释操作无法抵御高营业成本的风险</w:t>
            </w:r>
          </w:p>
        </w:tc>
      </w:tr>
      <w:tr w:rsidR="0069613A" w14:paraId="1E4361D6" w14:textId="77777777">
        <w:trPr>
          <w:cantSplit/>
          <w:trHeight w:val="340"/>
        </w:trPr>
        <w:tc>
          <w:tcPr>
            <w:tcW w:w="3047" w:type="dxa"/>
            <w:vAlign w:val="center"/>
          </w:tcPr>
          <w:p w14:paraId="4581C263" w14:textId="77777777" w:rsidR="0069613A" w:rsidRDefault="00724B0E">
            <w:pPr>
              <w:rPr>
                <w:rFonts w:asciiTheme="minorEastAsia" w:eastAsiaTheme="minorEastAsia" w:hAnsiTheme="minorEastAsia"/>
                <w:b/>
                <w:color w:val="000000"/>
                <w:sz w:val="24"/>
              </w:rPr>
            </w:pPr>
            <w:r>
              <w:rPr>
                <w:rFonts w:asciiTheme="minorEastAsia" w:eastAsiaTheme="minorEastAsia" w:hAnsiTheme="minorEastAsia" w:hint="eastAsia"/>
                <w:color w:val="000000"/>
                <w:sz w:val="24"/>
              </w:rPr>
              <w:t>运营商的专业能力，业绩和财务实力</w:t>
            </w:r>
          </w:p>
        </w:tc>
        <w:tc>
          <w:tcPr>
            <w:tcW w:w="2835" w:type="dxa"/>
            <w:vAlign w:val="center"/>
          </w:tcPr>
          <w:p w14:paraId="1E0B241D"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很强，或者项目发起人承诺提供技术支持</w:t>
            </w:r>
          </w:p>
        </w:tc>
        <w:tc>
          <w:tcPr>
            <w:tcW w:w="2835" w:type="dxa"/>
            <w:vAlign w:val="center"/>
          </w:tcPr>
          <w:p w14:paraId="2C751F57"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较强</w:t>
            </w:r>
          </w:p>
        </w:tc>
        <w:tc>
          <w:tcPr>
            <w:tcW w:w="2835" w:type="dxa"/>
            <w:vAlign w:val="center"/>
          </w:tcPr>
          <w:p w14:paraId="244005ED"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中</w:t>
            </w:r>
          </w:p>
        </w:tc>
        <w:tc>
          <w:tcPr>
            <w:tcW w:w="2835" w:type="dxa"/>
            <w:vAlign w:val="center"/>
          </w:tcPr>
          <w:p w14:paraId="47302D37"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不强</w:t>
            </w:r>
            <w:r>
              <w:rPr>
                <w:rFonts w:asciiTheme="minorEastAsia" w:eastAsiaTheme="minorEastAsia" w:hAnsiTheme="minorEastAsia"/>
                <w:color w:val="000000"/>
                <w:sz w:val="24"/>
                <w:szCs w:val="24"/>
                <w:lang w:eastAsia="zh-CN"/>
              </w:rPr>
              <w:t>/弱，或者当地运营商受当局控制</w:t>
            </w:r>
          </w:p>
        </w:tc>
      </w:tr>
      <w:tr w:rsidR="0069613A" w14:paraId="3C6A063C" w14:textId="77777777">
        <w:trPr>
          <w:cantSplit/>
          <w:trHeight w:val="340"/>
        </w:trPr>
        <w:tc>
          <w:tcPr>
            <w:tcW w:w="3047" w:type="dxa"/>
            <w:vAlign w:val="center"/>
          </w:tcPr>
          <w:p w14:paraId="1A0D13D4" w14:textId="77777777" w:rsidR="0069613A" w:rsidRDefault="00724B0E">
            <w:pPr>
              <w:pStyle w:val="TableRowHeading"/>
              <w:widowControl w:val="0"/>
              <w:spacing w:after="0"/>
              <w:ind w:left="57"/>
              <w:jc w:val="both"/>
              <w:rPr>
                <w:rFonts w:asciiTheme="minorEastAsia" w:eastAsiaTheme="minorEastAsia" w:hAnsiTheme="minorEastAsia"/>
                <w:b/>
                <w:i/>
                <w:color w:val="000000"/>
                <w:sz w:val="24"/>
                <w:szCs w:val="24"/>
                <w:lang w:eastAsia="zh-CN"/>
              </w:rPr>
            </w:pPr>
            <w:r>
              <w:rPr>
                <w:rFonts w:asciiTheme="minorEastAsia" w:eastAsiaTheme="minorEastAsia" w:hAnsiTheme="minorEastAsia" w:hint="eastAsia"/>
                <w:b/>
                <w:i/>
                <w:color w:val="000000"/>
                <w:sz w:val="24"/>
                <w:szCs w:val="24"/>
                <w:lang w:eastAsia="zh-CN"/>
              </w:rPr>
              <w:t>承购风险</w:t>
            </w:r>
            <w:r>
              <w:rPr>
                <w:rFonts w:asciiTheme="minorEastAsia" w:eastAsiaTheme="minorEastAsia" w:hAnsiTheme="minorEastAsia" w:hint="eastAsia"/>
                <w:b/>
                <w:i/>
                <w:color w:val="000000"/>
                <w:sz w:val="24"/>
                <w:szCs w:val="24"/>
                <w:lang w:val="en-US" w:eastAsia="zh-CN"/>
              </w:rPr>
              <w:t>（</w:t>
            </w:r>
            <w:r>
              <w:rPr>
                <w:rFonts w:asciiTheme="minorEastAsia" w:eastAsiaTheme="minorEastAsia" w:hAnsiTheme="minorEastAsia" w:hint="eastAsia"/>
                <w:b/>
                <w:i/>
                <w:color w:val="000000"/>
                <w:sz w:val="24"/>
                <w:szCs w:val="24"/>
                <w:lang w:eastAsia="zh-CN"/>
              </w:rPr>
              <w:t>o</w:t>
            </w:r>
            <w:r>
              <w:rPr>
                <w:rFonts w:asciiTheme="minorEastAsia" w:eastAsiaTheme="minorEastAsia" w:hAnsiTheme="minorEastAsia"/>
                <w:b/>
                <w:i/>
                <w:color w:val="000000"/>
                <w:sz w:val="24"/>
                <w:szCs w:val="24"/>
              </w:rPr>
              <w:t>ff-take risk</w:t>
            </w:r>
            <w:r>
              <w:rPr>
                <w:rFonts w:asciiTheme="minorEastAsia" w:eastAsiaTheme="minorEastAsia" w:hAnsiTheme="minorEastAsia" w:hint="eastAsia"/>
                <w:b/>
                <w:i/>
                <w:color w:val="000000"/>
                <w:sz w:val="24"/>
                <w:szCs w:val="24"/>
                <w:lang w:val="en-US" w:eastAsia="zh-CN"/>
              </w:rPr>
              <w:t>）</w:t>
            </w:r>
          </w:p>
        </w:tc>
        <w:tc>
          <w:tcPr>
            <w:tcW w:w="2835" w:type="dxa"/>
            <w:vAlign w:val="center"/>
          </w:tcPr>
          <w:p w14:paraId="02BE71A1" w14:textId="77777777" w:rsidR="0069613A" w:rsidRDefault="0069613A">
            <w:pPr>
              <w:pStyle w:val="TableText"/>
              <w:keepNext w:val="0"/>
              <w:widowControl w:val="0"/>
              <w:spacing w:after="0"/>
              <w:jc w:val="both"/>
              <w:rPr>
                <w:rFonts w:asciiTheme="minorEastAsia" w:eastAsiaTheme="minorEastAsia" w:hAnsiTheme="minorEastAsia"/>
                <w:color w:val="000000"/>
                <w:sz w:val="24"/>
                <w:szCs w:val="24"/>
              </w:rPr>
            </w:pPr>
          </w:p>
        </w:tc>
        <w:tc>
          <w:tcPr>
            <w:tcW w:w="2835" w:type="dxa"/>
            <w:vAlign w:val="center"/>
          </w:tcPr>
          <w:p w14:paraId="5F19D726" w14:textId="77777777" w:rsidR="0069613A" w:rsidRDefault="0069613A">
            <w:pPr>
              <w:pStyle w:val="TableText"/>
              <w:keepNext w:val="0"/>
              <w:widowControl w:val="0"/>
              <w:spacing w:after="0"/>
              <w:jc w:val="both"/>
              <w:rPr>
                <w:rFonts w:asciiTheme="minorEastAsia" w:eastAsiaTheme="minorEastAsia" w:hAnsiTheme="minorEastAsia"/>
                <w:color w:val="000000"/>
                <w:sz w:val="24"/>
                <w:szCs w:val="24"/>
              </w:rPr>
            </w:pPr>
          </w:p>
        </w:tc>
        <w:tc>
          <w:tcPr>
            <w:tcW w:w="2835" w:type="dxa"/>
            <w:vAlign w:val="center"/>
          </w:tcPr>
          <w:p w14:paraId="7D5FA658" w14:textId="77777777" w:rsidR="0069613A" w:rsidRDefault="0069613A">
            <w:pPr>
              <w:pStyle w:val="TableText"/>
              <w:keepNext w:val="0"/>
              <w:widowControl w:val="0"/>
              <w:spacing w:after="0"/>
              <w:jc w:val="both"/>
              <w:rPr>
                <w:rFonts w:asciiTheme="minorEastAsia" w:eastAsiaTheme="minorEastAsia" w:hAnsiTheme="minorEastAsia"/>
                <w:color w:val="000000"/>
                <w:sz w:val="24"/>
                <w:szCs w:val="24"/>
              </w:rPr>
            </w:pPr>
          </w:p>
        </w:tc>
        <w:tc>
          <w:tcPr>
            <w:tcW w:w="2835" w:type="dxa"/>
            <w:vAlign w:val="center"/>
          </w:tcPr>
          <w:p w14:paraId="597D7122" w14:textId="77777777" w:rsidR="0069613A" w:rsidRDefault="0069613A">
            <w:pPr>
              <w:pStyle w:val="TableText"/>
              <w:keepNext w:val="0"/>
              <w:widowControl w:val="0"/>
              <w:spacing w:after="0"/>
              <w:jc w:val="both"/>
              <w:rPr>
                <w:rFonts w:asciiTheme="minorEastAsia" w:eastAsiaTheme="minorEastAsia" w:hAnsiTheme="minorEastAsia"/>
                <w:color w:val="000000"/>
                <w:sz w:val="24"/>
                <w:szCs w:val="24"/>
              </w:rPr>
            </w:pPr>
          </w:p>
        </w:tc>
      </w:tr>
      <w:tr w:rsidR="0069613A" w14:paraId="0398528E" w14:textId="77777777">
        <w:trPr>
          <w:cantSplit/>
          <w:trHeight w:val="340"/>
        </w:trPr>
        <w:tc>
          <w:tcPr>
            <w:tcW w:w="3047" w:type="dxa"/>
            <w:vAlign w:val="center"/>
          </w:tcPr>
          <w:p w14:paraId="4A7E0051"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noProof/>
                <w:color w:val="000000"/>
                <w:sz w:val="24"/>
              </w:rPr>
              <mc:AlternateContent>
                <mc:Choice Requires="wps">
                  <w:drawing>
                    <wp:anchor distT="0" distB="0" distL="114300" distR="114300" simplePos="0" relativeHeight="251659264" behindDoc="0" locked="0" layoutInCell="0" allowOverlap="1" wp14:anchorId="1147D83D" wp14:editId="0C3F49DF">
                      <wp:simplePos x="0" y="0"/>
                      <wp:positionH relativeFrom="column">
                        <wp:posOffset>-233045</wp:posOffset>
                      </wp:positionH>
                      <wp:positionV relativeFrom="paragraph">
                        <wp:posOffset>6712585</wp:posOffset>
                      </wp:positionV>
                      <wp:extent cx="342900" cy="342900"/>
                      <wp:effectExtent l="0" t="0" r="4445" b="254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wps:spPr>
                            <wps:txbx>
                              <w:txbxContent>
                                <w:p w14:paraId="769CC56B" w14:textId="77777777" w:rsidR="0069613A" w:rsidRDefault="00724B0E">
                                  <w:r>
                                    <w:t>178</w:t>
                                  </w:r>
                                  <w:r>
                                    <w:rPr>
                                      <w:noProof/>
                                    </w:rPr>
                                    <w:drawing>
                                      <wp:inline distT="0" distB="0" distL="0" distR="0" wp14:anchorId="04D89E53" wp14:editId="053E86DC">
                                        <wp:extent cx="161290" cy="16129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1290" cy="161290"/>
                                                </a:xfrm>
                                                <a:prstGeom prst="rect">
                                                  <a:avLst/>
                                                </a:prstGeom>
                                                <a:noFill/>
                                                <a:ln>
                                                  <a:noFill/>
                                                </a:ln>
                                              </pic:spPr>
                                            </pic:pic>
                                          </a:graphicData>
                                        </a:graphic>
                                      </wp:inline>
                                    </w:drawing>
                                  </w:r>
                                </w:p>
                              </w:txbxContent>
                            </wps:txbx>
                            <wps:bodyPr rot="0" vert="vert" wrap="square" lIns="91440" tIns="45720" rIns="91440" bIns="45720" anchor="t" anchorCtr="0" upright="1">
                              <a:noAutofit/>
                            </wps:bodyPr>
                          </wps:wsp>
                        </a:graphicData>
                      </a:graphic>
                    </wp:anchor>
                  </w:drawing>
                </mc:Choice>
                <mc:Fallback xmlns:wpsCustomData="http://www.wps.cn/officeDocument/2013/wpsCustomData">
                  <w:pict>
                    <v:shape id="文本框 2" o:spid="_x0000_s1026" o:spt="202" type="#_x0000_t202" style="position:absolute;left:0pt;margin-left:-18.35pt;margin-top:528.55pt;height:27pt;width:27pt;z-index:251659264;mso-width-relative:page;mso-height-relative:page;" fillcolor="#FFFFFF" filled="t" stroked="f" coordsize="21600,21600" o:allowincell="f" o:gfxdata="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A46MXG2QAAAAwBAAAPAAAAAAAAAAEAIAAAADgAAABkcnMvZG93&#10;bnJldi54bWxQSwECFAAUAAAACACHTuJA8KYcQyICAAA9BAAADgAAAAAAAAABACAAAAA+AQAAZHJz&#10;L2Uyb0RvYy54bWxQSwUGAAAAAAYABgBZAQAA0gUAAAAA&#10;">
                      <v:fill on="t" focussize="0,0"/>
                      <v:stroke on="f"/>
                      <v:imagedata o:title=""/>
                      <o:lock v:ext="edit" aspectratio="f"/>
                      <v:textbox style="layout-flow:vertical;">
                        <w:txbxContent>
                          <w:p>
                            <w:r>
                              <w:t>178</w:t>
                            </w:r>
                            <w:r>
                              <w:drawing>
                                <wp:inline distT="0" distB="0" distL="0" distR="0">
                                  <wp:extent cx="161290" cy="16129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61290" cy="161290"/>
                                          </a:xfrm>
                                          <a:prstGeom prst="rect">
                                            <a:avLst/>
                                          </a:prstGeom>
                                          <a:noFill/>
                                          <a:ln>
                                            <a:noFill/>
                                          </a:ln>
                                        </pic:spPr>
                                      </pic:pic>
                                    </a:graphicData>
                                  </a:graphic>
                                </wp:inline>
                              </w:drawing>
                            </w:r>
                          </w:p>
                        </w:txbxContent>
                      </v:textbox>
                    </v:shape>
                  </w:pict>
                </mc:Fallback>
              </mc:AlternateContent>
            </w:r>
            <w:r>
              <w:rPr>
                <w:rFonts w:asciiTheme="minorEastAsia" w:eastAsiaTheme="minorEastAsia" w:hAnsiTheme="minorEastAsia"/>
                <w:color w:val="000000"/>
                <w:sz w:val="24"/>
              </w:rPr>
              <w:t>(a)</w:t>
            </w:r>
            <w:r>
              <w:rPr>
                <w:rFonts w:asciiTheme="minorEastAsia" w:eastAsiaTheme="minorEastAsia" w:hAnsiTheme="minorEastAsia" w:hint="eastAsia"/>
                <w:color w:val="000000"/>
                <w:sz w:val="24"/>
              </w:rPr>
              <w:t>存在照付不议（</w:t>
            </w:r>
            <w:r>
              <w:rPr>
                <w:rFonts w:asciiTheme="minorEastAsia" w:eastAsiaTheme="minorEastAsia" w:hAnsiTheme="minorEastAsia"/>
                <w:color w:val="000000"/>
                <w:sz w:val="24"/>
              </w:rPr>
              <w:t>take-or-pay</w:t>
            </w:r>
            <w:r>
              <w:rPr>
                <w:rFonts w:asciiTheme="minorEastAsia" w:eastAsiaTheme="minorEastAsia" w:hAnsiTheme="minorEastAsia" w:hint="eastAsia"/>
                <w:color w:val="000000"/>
                <w:sz w:val="24"/>
              </w:rPr>
              <w:t>）合同或固定价格承购（</w:t>
            </w:r>
            <w:r>
              <w:rPr>
                <w:rFonts w:asciiTheme="minorEastAsia" w:eastAsiaTheme="minorEastAsia" w:hAnsiTheme="minorEastAsia"/>
                <w:color w:val="000000"/>
                <w:sz w:val="24"/>
              </w:rPr>
              <w:t>fixed-price off-take</w:t>
            </w:r>
            <w:r>
              <w:rPr>
                <w:rFonts w:asciiTheme="minorEastAsia" w:eastAsiaTheme="minorEastAsia" w:hAnsiTheme="minorEastAsia" w:hint="eastAsia"/>
                <w:color w:val="000000"/>
                <w:sz w:val="24"/>
              </w:rPr>
              <w:t>）合同的情况下</w:t>
            </w:r>
          </w:p>
        </w:tc>
        <w:tc>
          <w:tcPr>
            <w:tcW w:w="2835" w:type="dxa"/>
            <w:vAlign w:val="center"/>
          </w:tcPr>
          <w:p w14:paraId="5EDEF911"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承购方信誉卓著；合同终止条款完备；项目合同期限略微长于债务期限</w:t>
            </w:r>
          </w:p>
        </w:tc>
        <w:tc>
          <w:tcPr>
            <w:tcW w:w="2835" w:type="dxa"/>
            <w:vAlign w:val="center"/>
          </w:tcPr>
          <w:p w14:paraId="2B05F29E"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承购方信誉良好；合同终止条款完备；项目合同期限长于债务期限</w:t>
            </w:r>
          </w:p>
        </w:tc>
        <w:tc>
          <w:tcPr>
            <w:tcW w:w="2835" w:type="dxa"/>
            <w:vAlign w:val="center"/>
          </w:tcPr>
          <w:p w14:paraId="1E397164"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承购方信誉一般；合同对终止条款做一般规定；项目合同期限一般等于债务期限</w:t>
            </w:r>
          </w:p>
        </w:tc>
        <w:tc>
          <w:tcPr>
            <w:tcW w:w="2835" w:type="dxa"/>
            <w:vAlign w:val="center"/>
          </w:tcPr>
          <w:p w14:paraId="1CBFC293"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承购方信誉较差；合同终止条款规定不全；项目合同期限不长于债务期限</w:t>
            </w:r>
          </w:p>
        </w:tc>
      </w:tr>
      <w:tr w:rsidR="0069613A" w14:paraId="59A53F62" w14:textId="77777777">
        <w:trPr>
          <w:cantSplit/>
          <w:trHeight w:val="340"/>
        </w:trPr>
        <w:tc>
          <w:tcPr>
            <w:tcW w:w="3047" w:type="dxa"/>
            <w:vAlign w:val="center"/>
          </w:tcPr>
          <w:p w14:paraId="05A3BA33"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color w:val="000000"/>
                <w:sz w:val="24"/>
              </w:rPr>
              <w:lastRenderedPageBreak/>
              <w:t>(b)</w:t>
            </w:r>
            <w:r>
              <w:rPr>
                <w:rFonts w:asciiTheme="minorEastAsia" w:eastAsiaTheme="minorEastAsia" w:hAnsiTheme="minorEastAsia" w:hint="eastAsia"/>
                <w:color w:val="000000"/>
                <w:sz w:val="24"/>
              </w:rPr>
              <w:t>不存在照付不议合同或固定价格承购合同的情况下</w:t>
            </w:r>
          </w:p>
        </w:tc>
        <w:tc>
          <w:tcPr>
            <w:tcW w:w="2835" w:type="dxa"/>
            <w:vAlign w:val="center"/>
          </w:tcPr>
          <w:p w14:paraId="752AFB3C"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项目产品即所产生的主要服务或商品在世界范围销售顺畅；即使市场价格增长率低于过去，产品也能按预定价格出售</w:t>
            </w:r>
          </w:p>
        </w:tc>
        <w:tc>
          <w:tcPr>
            <w:tcW w:w="2835" w:type="dxa"/>
            <w:vAlign w:val="center"/>
          </w:tcPr>
          <w:p w14:paraId="0CF51C4B"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项目产品即所产生的主要服务或商品在地区市场销售顺畅，即使市场价格增长率低于过去，产品也能按预定价格出售</w:t>
            </w:r>
          </w:p>
        </w:tc>
        <w:tc>
          <w:tcPr>
            <w:tcW w:w="2835" w:type="dxa"/>
            <w:vAlign w:val="center"/>
          </w:tcPr>
          <w:p w14:paraId="324B2783"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商品销售范围有限且只能按比预定价格低的价格出售</w:t>
            </w:r>
          </w:p>
        </w:tc>
        <w:tc>
          <w:tcPr>
            <w:tcW w:w="2835" w:type="dxa"/>
            <w:vAlign w:val="center"/>
          </w:tcPr>
          <w:p w14:paraId="0837A442"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项目产品只有一两个买家或者在有组织市场一般无法售出</w:t>
            </w:r>
          </w:p>
        </w:tc>
      </w:tr>
      <w:tr w:rsidR="0069613A" w14:paraId="63A30370" w14:textId="77777777">
        <w:trPr>
          <w:cantSplit/>
          <w:trHeight w:val="340"/>
        </w:trPr>
        <w:tc>
          <w:tcPr>
            <w:tcW w:w="3047" w:type="dxa"/>
            <w:vAlign w:val="center"/>
          </w:tcPr>
          <w:p w14:paraId="337D706A" w14:textId="77777777" w:rsidR="0069613A" w:rsidRDefault="00724B0E">
            <w:pPr>
              <w:pStyle w:val="TableRowHeading"/>
              <w:widowControl w:val="0"/>
              <w:spacing w:after="0"/>
              <w:jc w:val="both"/>
              <w:rPr>
                <w:rFonts w:asciiTheme="minorEastAsia" w:eastAsiaTheme="minorEastAsia" w:hAnsiTheme="minorEastAsia"/>
                <w:b/>
                <w:i/>
                <w:color w:val="000000"/>
                <w:sz w:val="24"/>
                <w:szCs w:val="24"/>
                <w:lang w:eastAsia="zh-CN"/>
              </w:rPr>
            </w:pPr>
            <w:r>
              <w:rPr>
                <w:rFonts w:asciiTheme="minorEastAsia" w:eastAsiaTheme="minorEastAsia" w:hAnsiTheme="minorEastAsia" w:hint="eastAsia"/>
                <w:b/>
                <w:i/>
                <w:color w:val="000000"/>
                <w:sz w:val="24"/>
                <w:szCs w:val="24"/>
                <w:lang w:eastAsia="zh-CN"/>
              </w:rPr>
              <w:t>供货商风险</w:t>
            </w:r>
          </w:p>
        </w:tc>
        <w:tc>
          <w:tcPr>
            <w:tcW w:w="2835" w:type="dxa"/>
            <w:vAlign w:val="center"/>
          </w:tcPr>
          <w:p w14:paraId="6E4E55DE" w14:textId="77777777" w:rsidR="0069613A" w:rsidRDefault="0069613A">
            <w:pPr>
              <w:ind w:left="57"/>
              <w:rPr>
                <w:rFonts w:asciiTheme="minorEastAsia" w:eastAsiaTheme="minorEastAsia" w:hAnsiTheme="minorEastAsia"/>
                <w:color w:val="000000"/>
                <w:sz w:val="24"/>
              </w:rPr>
            </w:pPr>
          </w:p>
        </w:tc>
        <w:tc>
          <w:tcPr>
            <w:tcW w:w="2835" w:type="dxa"/>
            <w:vAlign w:val="center"/>
          </w:tcPr>
          <w:p w14:paraId="4E410ACD" w14:textId="77777777" w:rsidR="0069613A" w:rsidRDefault="0069613A">
            <w:pPr>
              <w:ind w:left="57"/>
              <w:rPr>
                <w:rFonts w:asciiTheme="minorEastAsia" w:eastAsiaTheme="minorEastAsia" w:hAnsiTheme="minorEastAsia"/>
                <w:color w:val="000000"/>
                <w:sz w:val="24"/>
              </w:rPr>
            </w:pPr>
          </w:p>
        </w:tc>
        <w:tc>
          <w:tcPr>
            <w:tcW w:w="2835" w:type="dxa"/>
            <w:vAlign w:val="center"/>
          </w:tcPr>
          <w:p w14:paraId="30483CB4" w14:textId="77777777" w:rsidR="0069613A" w:rsidRDefault="0069613A">
            <w:pPr>
              <w:ind w:left="57"/>
              <w:rPr>
                <w:rFonts w:asciiTheme="minorEastAsia" w:eastAsiaTheme="minorEastAsia" w:hAnsiTheme="minorEastAsia"/>
                <w:color w:val="000000"/>
                <w:sz w:val="24"/>
              </w:rPr>
            </w:pPr>
          </w:p>
        </w:tc>
        <w:tc>
          <w:tcPr>
            <w:tcW w:w="2835" w:type="dxa"/>
            <w:vAlign w:val="center"/>
          </w:tcPr>
          <w:p w14:paraId="5E4DA440" w14:textId="77777777" w:rsidR="0069613A" w:rsidRDefault="0069613A">
            <w:pPr>
              <w:ind w:left="57"/>
              <w:rPr>
                <w:rFonts w:asciiTheme="minorEastAsia" w:eastAsiaTheme="minorEastAsia" w:hAnsiTheme="minorEastAsia"/>
                <w:color w:val="000000"/>
                <w:sz w:val="24"/>
              </w:rPr>
            </w:pPr>
          </w:p>
        </w:tc>
      </w:tr>
      <w:tr w:rsidR="0069613A" w14:paraId="4358044C" w14:textId="77777777">
        <w:trPr>
          <w:cantSplit/>
          <w:trHeight w:val="340"/>
        </w:trPr>
        <w:tc>
          <w:tcPr>
            <w:tcW w:w="3047" w:type="dxa"/>
            <w:vAlign w:val="center"/>
          </w:tcPr>
          <w:p w14:paraId="7FC7D7DE"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原材料（</w:t>
            </w:r>
            <w:r>
              <w:rPr>
                <w:rFonts w:asciiTheme="minorEastAsia" w:eastAsiaTheme="minorEastAsia" w:hAnsiTheme="minorEastAsia"/>
                <w:color w:val="000000"/>
                <w:sz w:val="24"/>
              </w:rPr>
              <w:t>feed-</w:t>
            </w:r>
            <w:r>
              <w:rPr>
                <w:rFonts w:asciiTheme="minorEastAsia" w:eastAsiaTheme="minorEastAsia" w:hAnsiTheme="minorEastAsia"/>
                <w:bCs/>
                <w:sz w:val="24"/>
                <w:lang w:val="en-GB"/>
              </w:rPr>
              <w:t>stocks</w:t>
            </w:r>
            <w:r>
              <w:rPr>
                <w:rFonts w:asciiTheme="minorEastAsia" w:eastAsiaTheme="minorEastAsia" w:hAnsiTheme="minorEastAsia" w:hint="eastAsia"/>
                <w:color w:val="000000"/>
                <w:sz w:val="24"/>
              </w:rPr>
              <w:t>）价格、数量和运输风险；供货商的业绩和财务实力</w:t>
            </w:r>
          </w:p>
        </w:tc>
        <w:tc>
          <w:tcPr>
            <w:tcW w:w="2835" w:type="dxa"/>
            <w:vAlign w:val="center"/>
          </w:tcPr>
          <w:p w14:paraId="30B16D57"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与财务实力很强的供货商签订长期供货合同</w:t>
            </w:r>
          </w:p>
        </w:tc>
        <w:tc>
          <w:tcPr>
            <w:tcW w:w="2835" w:type="dxa"/>
            <w:vAlign w:val="center"/>
          </w:tcPr>
          <w:p w14:paraId="21BC68AA"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与财务实力较强的供货商签订长期供货合同</w:t>
            </w:r>
          </w:p>
        </w:tc>
        <w:tc>
          <w:tcPr>
            <w:tcW w:w="2835" w:type="dxa"/>
            <w:vAlign w:val="center"/>
          </w:tcPr>
          <w:p w14:paraId="5408153A"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与财务实力较强的供货商签订长期供货合同，但仍可能存在一定程度的价格风险</w:t>
            </w:r>
          </w:p>
        </w:tc>
        <w:tc>
          <w:tcPr>
            <w:tcW w:w="2835" w:type="dxa"/>
            <w:vAlign w:val="center"/>
          </w:tcPr>
          <w:p w14:paraId="5523393F"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与财务实力弱的供货商签订短期或长期供货合同，肯定存在一定程度的价格风险</w:t>
            </w:r>
          </w:p>
        </w:tc>
      </w:tr>
      <w:tr w:rsidR="0069613A" w14:paraId="26C5EAD5" w14:textId="77777777">
        <w:trPr>
          <w:cantSplit/>
          <w:trHeight w:val="340"/>
        </w:trPr>
        <w:tc>
          <w:tcPr>
            <w:tcW w:w="3047" w:type="dxa"/>
            <w:vAlign w:val="center"/>
          </w:tcPr>
          <w:p w14:paraId="22A9AC5B"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储备风险（如</w:t>
            </w:r>
            <w:r>
              <w:rPr>
                <w:rFonts w:asciiTheme="minorEastAsia" w:eastAsiaTheme="minorEastAsia" w:hAnsiTheme="minorEastAsia" w:hint="eastAsia"/>
                <w:bCs/>
                <w:sz w:val="24"/>
                <w:lang w:val="en-GB"/>
              </w:rPr>
              <w:t>自然资源</w:t>
            </w:r>
            <w:r>
              <w:rPr>
                <w:rFonts w:asciiTheme="minorEastAsia" w:eastAsiaTheme="minorEastAsia" w:hAnsiTheme="minorEastAsia" w:hint="eastAsia"/>
                <w:color w:val="000000"/>
                <w:sz w:val="24"/>
              </w:rPr>
              <w:t>开发）</w:t>
            </w:r>
          </w:p>
        </w:tc>
        <w:tc>
          <w:tcPr>
            <w:tcW w:w="2835" w:type="dxa"/>
            <w:vAlign w:val="center"/>
          </w:tcPr>
          <w:p w14:paraId="6245E33E"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储备探明且已开发，并经独立方审计，在项目使用寿命期内超额满足需要</w:t>
            </w:r>
          </w:p>
        </w:tc>
        <w:tc>
          <w:tcPr>
            <w:tcW w:w="2835" w:type="dxa"/>
            <w:vAlign w:val="center"/>
          </w:tcPr>
          <w:p w14:paraId="2E2BA69A"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储备探明且已开发，并经独立方审计，在项目使用寿命期内超额满足需要</w:t>
            </w:r>
          </w:p>
        </w:tc>
        <w:tc>
          <w:tcPr>
            <w:tcW w:w="2835" w:type="dxa"/>
            <w:vAlign w:val="center"/>
          </w:tcPr>
          <w:p w14:paraId="5BA33D0F"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探明储备可在债务存续期满足项目需要</w:t>
            </w:r>
          </w:p>
        </w:tc>
        <w:tc>
          <w:tcPr>
            <w:tcW w:w="2835" w:type="dxa"/>
            <w:vAlign w:val="center"/>
          </w:tcPr>
          <w:p w14:paraId="206A3D7F"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项目在某种程度上依赖潜藏或尚未开发的储备</w:t>
            </w:r>
          </w:p>
        </w:tc>
      </w:tr>
      <w:tr w:rsidR="0069613A" w14:paraId="08313867" w14:textId="77777777">
        <w:trPr>
          <w:cantSplit/>
          <w:trHeight w:val="340"/>
        </w:trPr>
        <w:tc>
          <w:tcPr>
            <w:tcW w:w="3047" w:type="dxa"/>
            <w:vAlign w:val="center"/>
          </w:tcPr>
          <w:p w14:paraId="11CEC1FA" w14:textId="77777777" w:rsidR="0069613A" w:rsidRDefault="00724B0E">
            <w:pPr>
              <w:rPr>
                <w:rFonts w:asciiTheme="minorEastAsia" w:eastAsiaTheme="minorEastAsia" w:hAnsiTheme="minorEastAsia"/>
                <w:b/>
                <w:i/>
                <w:color w:val="000000"/>
                <w:sz w:val="24"/>
              </w:rPr>
            </w:pPr>
            <w:r>
              <w:rPr>
                <w:rFonts w:asciiTheme="minorEastAsia" w:eastAsiaTheme="minorEastAsia" w:hAnsiTheme="minorEastAsia" w:hint="eastAsia"/>
                <w:b/>
                <w:i/>
                <w:color w:val="000000"/>
                <w:sz w:val="24"/>
              </w:rPr>
              <w:t>不可抗力风险（战争、内乱、</w:t>
            </w:r>
            <w:r>
              <w:rPr>
                <w:rFonts w:asciiTheme="minorEastAsia" w:eastAsiaTheme="minorEastAsia" w:hAnsiTheme="minorEastAsia"/>
                <w:b/>
                <w:i/>
                <w:color w:val="000000"/>
                <w:sz w:val="24"/>
              </w:rPr>
              <w:t xml:space="preserve"> </w:t>
            </w:r>
            <w:r>
              <w:rPr>
                <w:rFonts w:asciiTheme="minorEastAsia" w:eastAsiaTheme="minorEastAsia" w:hAnsiTheme="minorEastAsia" w:hint="eastAsia"/>
                <w:b/>
                <w:i/>
                <w:color w:val="000000"/>
                <w:sz w:val="24"/>
              </w:rPr>
              <w:t>自然灾害等）</w:t>
            </w:r>
          </w:p>
        </w:tc>
        <w:tc>
          <w:tcPr>
            <w:tcW w:w="2835" w:type="dxa"/>
            <w:vAlign w:val="center"/>
          </w:tcPr>
          <w:p w14:paraId="43F44A12" w14:textId="77777777" w:rsidR="0069613A" w:rsidRDefault="00724B0E">
            <w:pPr>
              <w:rPr>
                <w:rFonts w:asciiTheme="minorEastAsia" w:eastAsiaTheme="minorEastAsia" w:hAnsiTheme="minorEastAsia" w:cs="宋体"/>
                <w:sz w:val="24"/>
              </w:rPr>
            </w:pPr>
            <w:r>
              <w:rPr>
                <w:rFonts w:asciiTheme="minorEastAsia" w:eastAsiaTheme="minorEastAsia" w:hAnsiTheme="minorEastAsia" w:cs="Arial" w:hint="eastAsia"/>
                <w:bCs/>
                <w:color w:val="000000"/>
                <w:sz w:val="24"/>
                <w:lang w:val="en-GB"/>
              </w:rPr>
              <w:t>风险缓释工具有效</w:t>
            </w:r>
            <w:r>
              <w:rPr>
                <w:rFonts w:asciiTheme="minorEastAsia" w:eastAsiaTheme="minorEastAsia" w:hAnsiTheme="minorEastAsia" w:cs="Arial"/>
                <w:color w:val="000000"/>
                <w:sz w:val="24"/>
                <w:lang w:val="en-GB"/>
              </w:rPr>
              <w:t xml:space="preserve">, </w:t>
            </w:r>
            <w:r>
              <w:rPr>
                <w:rFonts w:asciiTheme="minorEastAsia" w:eastAsiaTheme="minorEastAsia" w:hAnsiTheme="minorEastAsia" w:cs="Arial" w:hint="eastAsia"/>
                <w:color w:val="000000"/>
                <w:sz w:val="24"/>
                <w:lang w:val="en-GB"/>
              </w:rPr>
              <w:t>风险暴露的水平较低</w:t>
            </w:r>
          </w:p>
        </w:tc>
        <w:tc>
          <w:tcPr>
            <w:tcW w:w="2835" w:type="dxa"/>
            <w:vAlign w:val="center"/>
          </w:tcPr>
          <w:p w14:paraId="0DCA5B80" w14:textId="77777777" w:rsidR="0069613A" w:rsidRDefault="00724B0E">
            <w:pPr>
              <w:rPr>
                <w:rFonts w:asciiTheme="minorEastAsia" w:eastAsiaTheme="minorEastAsia" w:hAnsiTheme="minorEastAsia" w:cs="宋体"/>
                <w:sz w:val="24"/>
              </w:rPr>
            </w:pPr>
            <w:r>
              <w:rPr>
                <w:rFonts w:asciiTheme="minorEastAsia" w:eastAsiaTheme="minorEastAsia" w:hAnsiTheme="minorEastAsia" w:cs="Arial" w:hint="eastAsia"/>
                <w:bCs/>
                <w:color w:val="000000"/>
                <w:sz w:val="24"/>
                <w:lang w:val="en-GB"/>
              </w:rPr>
              <w:t>风险缓释工具有效</w:t>
            </w:r>
            <w:r>
              <w:rPr>
                <w:rFonts w:asciiTheme="minorEastAsia" w:eastAsiaTheme="minorEastAsia" w:hAnsiTheme="minorEastAsia" w:cs="Arial"/>
                <w:color w:val="000000"/>
                <w:sz w:val="24"/>
                <w:lang w:val="en-GB"/>
              </w:rPr>
              <w:t>,</w:t>
            </w:r>
            <w:r>
              <w:rPr>
                <w:rFonts w:asciiTheme="minorEastAsia" w:eastAsiaTheme="minorEastAsia" w:hAnsiTheme="minorEastAsia" w:cs="Arial" w:hint="eastAsia"/>
                <w:color w:val="000000"/>
                <w:sz w:val="24"/>
                <w:lang w:val="en-GB"/>
              </w:rPr>
              <w:t>风险暴露的水平较适中</w:t>
            </w:r>
            <w:r>
              <w:rPr>
                <w:rFonts w:asciiTheme="minorEastAsia" w:eastAsiaTheme="minorEastAsia" w:hAnsiTheme="minorEastAsia" w:cs="Arial"/>
                <w:color w:val="000000"/>
                <w:sz w:val="24"/>
                <w:lang w:val="en-GB"/>
              </w:rPr>
              <w:t xml:space="preserve"> </w:t>
            </w:r>
          </w:p>
        </w:tc>
        <w:tc>
          <w:tcPr>
            <w:tcW w:w="2835" w:type="dxa"/>
            <w:vAlign w:val="center"/>
          </w:tcPr>
          <w:p w14:paraId="2724F181" w14:textId="77777777" w:rsidR="0069613A" w:rsidRDefault="00724B0E">
            <w:pPr>
              <w:rPr>
                <w:rFonts w:asciiTheme="minorEastAsia" w:eastAsiaTheme="minorEastAsia" w:hAnsiTheme="minorEastAsia" w:cs="宋体"/>
                <w:sz w:val="24"/>
              </w:rPr>
            </w:pPr>
            <w:r>
              <w:rPr>
                <w:rFonts w:asciiTheme="minorEastAsia" w:eastAsiaTheme="minorEastAsia" w:hAnsiTheme="minorEastAsia" w:cs="Arial" w:hint="eastAsia"/>
                <w:bCs/>
                <w:color w:val="000000"/>
                <w:sz w:val="24"/>
                <w:lang w:val="en-GB"/>
              </w:rPr>
              <w:t>风险缓释工具有效</w:t>
            </w:r>
            <w:r>
              <w:rPr>
                <w:rFonts w:asciiTheme="minorEastAsia" w:eastAsiaTheme="minorEastAsia" w:hAnsiTheme="minorEastAsia" w:cs="Arial" w:hint="eastAsia"/>
                <w:color w:val="000000"/>
                <w:sz w:val="24"/>
                <w:lang w:val="en-GB"/>
              </w:rPr>
              <w:t>，一般防护</w:t>
            </w:r>
            <w:r>
              <w:rPr>
                <w:rFonts w:asciiTheme="minorEastAsia" w:eastAsiaTheme="minorEastAsia" w:hAnsiTheme="minorEastAsia" w:cs="Arial"/>
                <w:color w:val="000000"/>
                <w:sz w:val="24"/>
                <w:lang w:val="en-GB"/>
              </w:rPr>
              <w:t xml:space="preserve"> </w:t>
            </w:r>
          </w:p>
        </w:tc>
        <w:tc>
          <w:tcPr>
            <w:tcW w:w="2835" w:type="dxa"/>
            <w:vAlign w:val="center"/>
          </w:tcPr>
          <w:p w14:paraId="4F519796" w14:textId="77777777" w:rsidR="0069613A" w:rsidRDefault="00724B0E">
            <w:pPr>
              <w:rPr>
                <w:rFonts w:asciiTheme="minorEastAsia" w:eastAsiaTheme="minorEastAsia" w:hAnsiTheme="minorEastAsia" w:cs="宋体"/>
                <w:sz w:val="24"/>
              </w:rPr>
            </w:pPr>
            <w:r>
              <w:rPr>
                <w:rFonts w:asciiTheme="minorEastAsia" w:eastAsiaTheme="minorEastAsia" w:hAnsiTheme="minorEastAsia" w:cs="Arial" w:hint="eastAsia"/>
                <w:color w:val="000000"/>
                <w:sz w:val="24"/>
                <w:lang w:val="en-GB"/>
              </w:rPr>
              <w:t>存在明显风险，不能完全缓释</w:t>
            </w:r>
          </w:p>
        </w:tc>
      </w:tr>
      <w:tr w:rsidR="0069613A" w14:paraId="6F0D8A3C" w14:textId="77777777">
        <w:trPr>
          <w:cantSplit/>
          <w:trHeight w:val="340"/>
        </w:trPr>
        <w:tc>
          <w:tcPr>
            <w:tcW w:w="3047" w:type="dxa"/>
            <w:vAlign w:val="center"/>
          </w:tcPr>
          <w:p w14:paraId="634D71E7" w14:textId="77777777" w:rsidR="0069613A" w:rsidRDefault="00724B0E">
            <w:pPr>
              <w:pStyle w:val="TableRowHeading"/>
              <w:widowControl w:val="0"/>
              <w:spacing w:after="0"/>
              <w:jc w:val="both"/>
              <w:rPr>
                <w:rFonts w:asciiTheme="minorEastAsia" w:eastAsiaTheme="minorEastAsia" w:hAnsiTheme="minorEastAsia"/>
                <w:b/>
                <w:color w:val="000000"/>
                <w:sz w:val="24"/>
                <w:szCs w:val="24"/>
                <w:lang w:eastAsia="zh-CN"/>
              </w:rPr>
            </w:pPr>
            <w:r>
              <w:rPr>
                <w:rFonts w:asciiTheme="minorEastAsia" w:eastAsiaTheme="minorEastAsia" w:hAnsiTheme="minorEastAsia" w:hint="eastAsia"/>
                <w:b/>
                <w:color w:val="000000"/>
                <w:sz w:val="24"/>
                <w:szCs w:val="24"/>
                <w:lang w:eastAsia="zh-CN"/>
              </w:rPr>
              <w:t>项目发起人</w:t>
            </w:r>
            <w:r>
              <w:rPr>
                <w:rFonts w:asciiTheme="minorEastAsia" w:eastAsiaTheme="minorEastAsia" w:hAnsiTheme="minorEastAsia"/>
                <w:b/>
                <w:color w:val="000000"/>
                <w:sz w:val="24"/>
                <w:szCs w:val="24"/>
                <w:lang w:eastAsia="zh-CN"/>
              </w:rPr>
              <w:t>/债务人的实力</w:t>
            </w:r>
          </w:p>
        </w:tc>
        <w:tc>
          <w:tcPr>
            <w:tcW w:w="2835" w:type="dxa"/>
            <w:vAlign w:val="center"/>
          </w:tcPr>
          <w:p w14:paraId="2D178462" w14:textId="77777777" w:rsidR="0069613A" w:rsidRDefault="0069613A">
            <w:pPr>
              <w:pStyle w:val="TableText"/>
              <w:keepNext w:val="0"/>
              <w:widowControl w:val="0"/>
              <w:spacing w:after="0"/>
              <w:jc w:val="both"/>
              <w:rPr>
                <w:rFonts w:asciiTheme="minorEastAsia" w:eastAsiaTheme="minorEastAsia" w:hAnsiTheme="minorEastAsia"/>
                <w:color w:val="000000"/>
                <w:sz w:val="24"/>
                <w:szCs w:val="24"/>
                <w:lang w:eastAsia="zh-CN"/>
              </w:rPr>
            </w:pPr>
          </w:p>
        </w:tc>
        <w:tc>
          <w:tcPr>
            <w:tcW w:w="2835" w:type="dxa"/>
            <w:vAlign w:val="center"/>
          </w:tcPr>
          <w:p w14:paraId="7A3E78CB" w14:textId="77777777" w:rsidR="0069613A" w:rsidRDefault="0069613A">
            <w:pPr>
              <w:pStyle w:val="TableText"/>
              <w:keepNext w:val="0"/>
              <w:widowControl w:val="0"/>
              <w:spacing w:after="0"/>
              <w:jc w:val="both"/>
              <w:rPr>
                <w:rFonts w:asciiTheme="minorEastAsia" w:eastAsiaTheme="minorEastAsia" w:hAnsiTheme="minorEastAsia"/>
                <w:color w:val="000000"/>
                <w:sz w:val="24"/>
                <w:szCs w:val="24"/>
                <w:lang w:eastAsia="zh-CN"/>
              </w:rPr>
            </w:pPr>
          </w:p>
        </w:tc>
        <w:tc>
          <w:tcPr>
            <w:tcW w:w="2835" w:type="dxa"/>
            <w:vAlign w:val="center"/>
          </w:tcPr>
          <w:p w14:paraId="49ACF1BE" w14:textId="77777777" w:rsidR="0069613A" w:rsidRDefault="0069613A">
            <w:pPr>
              <w:pStyle w:val="TableText"/>
              <w:keepNext w:val="0"/>
              <w:widowControl w:val="0"/>
              <w:spacing w:after="0"/>
              <w:jc w:val="both"/>
              <w:rPr>
                <w:rFonts w:asciiTheme="minorEastAsia" w:eastAsiaTheme="minorEastAsia" w:hAnsiTheme="minorEastAsia"/>
                <w:color w:val="000000"/>
                <w:sz w:val="24"/>
                <w:szCs w:val="24"/>
                <w:lang w:eastAsia="zh-CN"/>
              </w:rPr>
            </w:pPr>
          </w:p>
        </w:tc>
        <w:tc>
          <w:tcPr>
            <w:tcW w:w="2835" w:type="dxa"/>
            <w:vAlign w:val="center"/>
          </w:tcPr>
          <w:p w14:paraId="0AC2D261" w14:textId="77777777" w:rsidR="0069613A" w:rsidRDefault="0069613A">
            <w:pPr>
              <w:pStyle w:val="TableText"/>
              <w:keepNext w:val="0"/>
              <w:widowControl w:val="0"/>
              <w:spacing w:after="0"/>
              <w:jc w:val="both"/>
              <w:rPr>
                <w:rFonts w:asciiTheme="minorEastAsia" w:eastAsiaTheme="minorEastAsia" w:hAnsiTheme="minorEastAsia"/>
                <w:color w:val="000000"/>
                <w:sz w:val="24"/>
                <w:szCs w:val="24"/>
                <w:lang w:eastAsia="zh-CN"/>
              </w:rPr>
            </w:pPr>
          </w:p>
        </w:tc>
      </w:tr>
      <w:tr w:rsidR="0069613A" w14:paraId="75694EF2" w14:textId="77777777">
        <w:trPr>
          <w:cantSplit/>
          <w:trHeight w:val="340"/>
        </w:trPr>
        <w:tc>
          <w:tcPr>
            <w:tcW w:w="3047" w:type="dxa"/>
            <w:vAlign w:val="center"/>
          </w:tcPr>
          <w:p w14:paraId="757D0612" w14:textId="77777777" w:rsidR="0069613A" w:rsidRDefault="00724B0E">
            <w:pPr>
              <w:rPr>
                <w:rFonts w:asciiTheme="minorEastAsia" w:eastAsiaTheme="minorEastAsia" w:hAnsiTheme="minorEastAsia" w:cs="宋体"/>
                <w:sz w:val="24"/>
              </w:rPr>
            </w:pPr>
            <w:r>
              <w:rPr>
                <w:rFonts w:asciiTheme="minorEastAsia" w:eastAsiaTheme="minorEastAsia" w:hAnsiTheme="minorEastAsia" w:hint="eastAsia"/>
                <w:sz w:val="24"/>
                <w:lang w:val="en-GB"/>
              </w:rPr>
              <w:t>发起人</w:t>
            </w:r>
            <w:r>
              <w:rPr>
                <w:rFonts w:asciiTheme="minorEastAsia" w:eastAsiaTheme="minorEastAsia" w:hAnsiTheme="minorEastAsia"/>
                <w:bCs/>
                <w:sz w:val="24"/>
                <w:lang w:val="en-GB"/>
              </w:rPr>
              <w:t>/</w:t>
            </w:r>
            <w:r>
              <w:rPr>
                <w:rFonts w:asciiTheme="minorEastAsia" w:eastAsiaTheme="minorEastAsia" w:hAnsiTheme="minorEastAsia" w:hint="eastAsia"/>
                <w:bCs/>
                <w:sz w:val="24"/>
                <w:lang w:val="en-GB"/>
              </w:rPr>
              <w:t>债务人</w:t>
            </w:r>
            <w:r>
              <w:rPr>
                <w:rFonts w:asciiTheme="minorEastAsia" w:eastAsiaTheme="minorEastAsia" w:hAnsiTheme="minorEastAsia" w:hint="eastAsia"/>
                <w:sz w:val="24"/>
                <w:lang w:val="en-GB"/>
              </w:rPr>
              <w:t>的业绩、财务实力和国别</w:t>
            </w:r>
            <w:r>
              <w:rPr>
                <w:rFonts w:asciiTheme="minorEastAsia" w:eastAsiaTheme="minorEastAsia" w:hAnsiTheme="minorEastAsia"/>
                <w:sz w:val="24"/>
                <w:lang w:val="en-GB"/>
              </w:rPr>
              <w:t>/</w:t>
            </w:r>
            <w:r>
              <w:rPr>
                <w:rFonts w:asciiTheme="minorEastAsia" w:eastAsiaTheme="minorEastAsia" w:hAnsiTheme="minorEastAsia" w:hint="eastAsia"/>
                <w:sz w:val="24"/>
                <w:lang w:val="en-GB"/>
              </w:rPr>
              <w:t>行业经历</w:t>
            </w:r>
            <w:r>
              <w:rPr>
                <w:rFonts w:asciiTheme="minorEastAsia" w:eastAsiaTheme="minorEastAsia" w:hAnsiTheme="minorEastAsia"/>
                <w:sz w:val="24"/>
                <w:lang w:val="en-GB"/>
              </w:rPr>
              <w:t xml:space="preserve"> </w:t>
            </w:r>
          </w:p>
        </w:tc>
        <w:tc>
          <w:tcPr>
            <w:tcW w:w="2835" w:type="dxa"/>
            <w:vAlign w:val="center"/>
          </w:tcPr>
          <w:p w14:paraId="585EDE7E" w14:textId="77777777" w:rsidR="0069613A" w:rsidRDefault="00724B0E">
            <w:pPr>
              <w:rPr>
                <w:rFonts w:asciiTheme="minorEastAsia" w:eastAsiaTheme="minorEastAsia" w:hAnsiTheme="minorEastAsia" w:cs="宋体"/>
                <w:sz w:val="24"/>
              </w:rPr>
            </w:pPr>
            <w:r>
              <w:rPr>
                <w:rFonts w:asciiTheme="minorEastAsia" w:eastAsiaTheme="minorEastAsia" w:hAnsiTheme="minorEastAsia" w:hint="eastAsia"/>
                <w:sz w:val="24"/>
                <w:lang w:val="en-GB"/>
              </w:rPr>
              <w:t>发起人</w:t>
            </w:r>
            <w:r>
              <w:rPr>
                <w:rFonts w:asciiTheme="minorEastAsia" w:eastAsiaTheme="minorEastAsia" w:hAnsiTheme="minorEastAsia"/>
                <w:bCs/>
                <w:sz w:val="24"/>
                <w:lang w:val="en-GB"/>
              </w:rPr>
              <w:t>/</w:t>
            </w:r>
            <w:r>
              <w:rPr>
                <w:rFonts w:asciiTheme="minorEastAsia" w:eastAsiaTheme="minorEastAsia" w:hAnsiTheme="minorEastAsia" w:hint="eastAsia"/>
                <w:bCs/>
                <w:sz w:val="24"/>
                <w:lang w:val="en-GB"/>
              </w:rPr>
              <w:t>债务人</w:t>
            </w:r>
            <w:r>
              <w:rPr>
                <w:rFonts w:asciiTheme="minorEastAsia" w:eastAsiaTheme="minorEastAsia" w:hAnsiTheme="minorEastAsia" w:hint="eastAsia"/>
                <w:sz w:val="24"/>
                <w:lang w:val="en-GB"/>
              </w:rPr>
              <w:t>业绩优秀，财务实力雄厚</w:t>
            </w:r>
            <w:r>
              <w:rPr>
                <w:rFonts w:asciiTheme="minorEastAsia" w:eastAsiaTheme="minorEastAsia" w:hAnsiTheme="minorEastAsia"/>
                <w:sz w:val="24"/>
                <w:lang w:val="en-GB"/>
              </w:rPr>
              <w:t xml:space="preserve"> </w:t>
            </w:r>
          </w:p>
        </w:tc>
        <w:tc>
          <w:tcPr>
            <w:tcW w:w="2835" w:type="dxa"/>
            <w:vAlign w:val="center"/>
          </w:tcPr>
          <w:p w14:paraId="4A8A6EA6" w14:textId="77777777" w:rsidR="0069613A" w:rsidRDefault="00724B0E">
            <w:pPr>
              <w:rPr>
                <w:rFonts w:asciiTheme="minorEastAsia" w:eastAsiaTheme="minorEastAsia" w:hAnsiTheme="minorEastAsia" w:cs="宋体"/>
                <w:sz w:val="24"/>
              </w:rPr>
            </w:pPr>
            <w:r>
              <w:rPr>
                <w:rFonts w:asciiTheme="minorEastAsia" w:eastAsiaTheme="minorEastAsia" w:hAnsiTheme="minorEastAsia" w:hint="eastAsia"/>
                <w:sz w:val="24"/>
                <w:lang w:val="en-GB"/>
              </w:rPr>
              <w:t>发起人</w:t>
            </w:r>
            <w:r>
              <w:rPr>
                <w:rFonts w:asciiTheme="minorEastAsia" w:eastAsiaTheme="minorEastAsia" w:hAnsiTheme="minorEastAsia"/>
                <w:bCs/>
                <w:sz w:val="24"/>
                <w:lang w:val="en-GB"/>
              </w:rPr>
              <w:t>/</w:t>
            </w:r>
            <w:r>
              <w:rPr>
                <w:rFonts w:asciiTheme="minorEastAsia" w:eastAsiaTheme="minorEastAsia" w:hAnsiTheme="minorEastAsia" w:hint="eastAsia"/>
                <w:bCs/>
                <w:sz w:val="24"/>
                <w:lang w:val="en-GB"/>
              </w:rPr>
              <w:t>债务人</w:t>
            </w:r>
            <w:r>
              <w:rPr>
                <w:rFonts w:asciiTheme="minorEastAsia" w:eastAsiaTheme="minorEastAsia" w:hAnsiTheme="minorEastAsia" w:hint="eastAsia"/>
                <w:sz w:val="24"/>
                <w:lang w:val="en-GB"/>
              </w:rPr>
              <w:t>业绩良好，财务实力良好</w:t>
            </w:r>
            <w:r>
              <w:rPr>
                <w:rFonts w:asciiTheme="minorEastAsia" w:eastAsiaTheme="minorEastAsia" w:hAnsiTheme="minorEastAsia"/>
                <w:sz w:val="24"/>
                <w:lang w:val="en-GB"/>
              </w:rPr>
              <w:t xml:space="preserve"> </w:t>
            </w:r>
          </w:p>
        </w:tc>
        <w:tc>
          <w:tcPr>
            <w:tcW w:w="2835" w:type="dxa"/>
            <w:vAlign w:val="center"/>
          </w:tcPr>
          <w:p w14:paraId="3BC3BF34" w14:textId="77777777" w:rsidR="0069613A" w:rsidRDefault="00724B0E">
            <w:pPr>
              <w:rPr>
                <w:rFonts w:asciiTheme="minorEastAsia" w:eastAsiaTheme="minorEastAsia" w:hAnsiTheme="minorEastAsia" w:cs="宋体"/>
                <w:sz w:val="24"/>
              </w:rPr>
            </w:pPr>
            <w:r>
              <w:rPr>
                <w:rFonts w:asciiTheme="minorEastAsia" w:eastAsiaTheme="minorEastAsia" w:hAnsiTheme="minorEastAsia" w:hint="eastAsia"/>
                <w:sz w:val="24"/>
                <w:lang w:val="en-GB"/>
              </w:rPr>
              <w:t>发起人</w:t>
            </w:r>
            <w:r>
              <w:rPr>
                <w:rFonts w:asciiTheme="minorEastAsia" w:eastAsiaTheme="minorEastAsia" w:hAnsiTheme="minorEastAsia"/>
                <w:bCs/>
                <w:sz w:val="24"/>
                <w:lang w:val="en-GB"/>
              </w:rPr>
              <w:t>/</w:t>
            </w:r>
            <w:r>
              <w:rPr>
                <w:rFonts w:asciiTheme="minorEastAsia" w:eastAsiaTheme="minorEastAsia" w:hAnsiTheme="minorEastAsia" w:hint="eastAsia"/>
                <w:bCs/>
                <w:sz w:val="24"/>
                <w:lang w:val="en-GB"/>
              </w:rPr>
              <w:t>债务人</w:t>
            </w:r>
            <w:r>
              <w:rPr>
                <w:rFonts w:asciiTheme="minorEastAsia" w:eastAsiaTheme="minorEastAsia" w:hAnsiTheme="minorEastAsia" w:hint="eastAsia"/>
                <w:sz w:val="24"/>
                <w:lang w:val="en-GB"/>
              </w:rPr>
              <w:t>业绩一般，财务实力良好</w:t>
            </w:r>
            <w:r>
              <w:rPr>
                <w:rFonts w:asciiTheme="minorEastAsia" w:eastAsiaTheme="minorEastAsia" w:hAnsiTheme="minorEastAsia"/>
                <w:sz w:val="24"/>
                <w:lang w:val="en-GB"/>
              </w:rPr>
              <w:t xml:space="preserve"> </w:t>
            </w:r>
          </w:p>
        </w:tc>
        <w:tc>
          <w:tcPr>
            <w:tcW w:w="2835" w:type="dxa"/>
            <w:vAlign w:val="center"/>
          </w:tcPr>
          <w:p w14:paraId="5F8B131E" w14:textId="77777777" w:rsidR="0069613A" w:rsidRDefault="00724B0E">
            <w:pPr>
              <w:rPr>
                <w:rFonts w:asciiTheme="minorEastAsia" w:eastAsiaTheme="minorEastAsia" w:hAnsiTheme="minorEastAsia" w:cs="宋体"/>
                <w:sz w:val="24"/>
              </w:rPr>
            </w:pPr>
            <w:r>
              <w:rPr>
                <w:rFonts w:asciiTheme="minorEastAsia" w:eastAsiaTheme="minorEastAsia" w:hAnsiTheme="minorEastAsia" w:hint="eastAsia"/>
                <w:sz w:val="24"/>
                <w:lang w:val="en-GB"/>
              </w:rPr>
              <w:t>发起人</w:t>
            </w:r>
            <w:r>
              <w:rPr>
                <w:rFonts w:asciiTheme="minorEastAsia" w:eastAsiaTheme="minorEastAsia" w:hAnsiTheme="minorEastAsia"/>
                <w:bCs/>
                <w:sz w:val="24"/>
                <w:lang w:val="en-GB"/>
              </w:rPr>
              <w:t>/</w:t>
            </w:r>
            <w:r>
              <w:rPr>
                <w:rFonts w:asciiTheme="minorEastAsia" w:eastAsiaTheme="minorEastAsia" w:hAnsiTheme="minorEastAsia" w:hint="eastAsia"/>
                <w:bCs/>
                <w:sz w:val="24"/>
                <w:lang w:val="en-GB"/>
              </w:rPr>
              <w:t>债务人</w:t>
            </w:r>
            <w:r>
              <w:rPr>
                <w:rFonts w:asciiTheme="minorEastAsia" w:eastAsiaTheme="minorEastAsia" w:hAnsiTheme="minorEastAsia" w:hint="eastAsia"/>
                <w:sz w:val="24"/>
                <w:lang w:val="en-GB"/>
              </w:rPr>
              <w:t>缺乏业绩或业绩值得怀疑以及</w:t>
            </w:r>
            <w:r>
              <w:rPr>
                <w:rFonts w:asciiTheme="minorEastAsia" w:eastAsiaTheme="minorEastAsia" w:hAnsiTheme="minorEastAsia"/>
                <w:sz w:val="24"/>
                <w:lang w:val="en-GB"/>
              </w:rPr>
              <w:t>/</w:t>
            </w:r>
            <w:r>
              <w:rPr>
                <w:rFonts w:asciiTheme="minorEastAsia" w:eastAsiaTheme="minorEastAsia" w:hAnsiTheme="minorEastAsia" w:hint="eastAsia"/>
                <w:sz w:val="24"/>
                <w:lang w:val="en-GB"/>
              </w:rPr>
              <w:t>或财务实力微弱</w:t>
            </w:r>
            <w:r>
              <w:rPr>
                <w:rFonts w:asciiTheme="minorEastAsia" w:eastAsiaTheme="minorEastAsia" w:hAnsiTheme="minorEastAsia"/>
                <w:sz w:val="24"/>
                <w:lang w:val="en-GB"/>
              </w:rPr>
              <w:t xml:space="preserve"> </w:t>
            </w:r>
          </w:p>
        </w:tc>
      </w:tr>
      <w:tr w:rsidR="0069613A" w14:paraId="03D28973" w14:textId="77777777">
        <w:trPr>
          <w:cantSplit/>
          <w:trHeight w:val="340"/>
        </w:trPr>
        <w:tc>
          <w:tcPr>
            <w:tcW w:w="3047" w:type="dxa"/>
            <w:vAlign w:val="center"/>
          </w:tcPr>
          <w:p w14:paraId="64068D14" w14:textId="77777777" w:rsidR="0069613A" w:rsidRDefault="00724B0E">
            <w:pPr>
              <w:rPr>
                <w:rFonts w:asciiTheme="minorEastAsia" w:eastAsiaTheme="minorEastAsia" w:hAnsiTheme="minorEastAsia" w:cs="宋体"/>
                <w:sz w:val="24"/>
              </w:rPr>
            </w:pPr>
            <w:r>
              <w:rPr>
                <w:rFonts w:asciiTheme="minorEastAsia" w:eastAsiaTheme="minorEastAsia" w:hAnsiTheme="minorEastAsia" w:hint="eastAsia"/>
                <w:sz w:val="24"/>
                <w:lang w:val="en-GB"/>
              </w:rPr>
              <w:lastRenderedPageBreak/>
              <w:t>发起人</w:t>
            </w:r>
            <w:r>
              <w:rPr>
                <w:rFonts w:asciiTheme="minorEastAsia" w:eastAsiaTheme="minorEastAsia" w:hAnsiTheme="minorEastAsia"/>
                <w:bCs/>
                <w:sz w:val="24"/>
                <w:lang w:val="en-GB"/>
              </w:rPr>
              <w:t>/</w:t>
            </w:r>
            <w:r>
              <w:rPr>
                <w:rFonts w:asciiTheme="minorEastAsia" w:eastAsiaTheme="minorEastAsia" w:hAnsiTheme="minorEastAsia" w:hint="eastAsia"/>
                <w:bCs/>
                <w:sz w:val="24"/>
                <w:lang w:val="en-GB"/>
              </w:rPr>
              <w:t>债务人</w:t>
            </w:r>
            <w:r>
              <w:rPr>
                <w:rFonts w:asciiTheme="minorEastAsia" w:eastAsiaTheme="minorEastAsia" w:hAnsiTheme="minorEastAsia" w:hint="eastAsia"/>
                <w:sz w:val="24"/>
                <w:lang w:val="en-GB"/>
              </w:rPr>
              <w:t>对项目的支持力度，例如有股权、所有权条款保障，有在必要时向项目补充注资的激励机制，以及</w:t>
            </w:r>
            <w:r>
              <w:rPr>
                <w:rFonts w:asciiTheme="minorEastAsia" w:eastAsiaTheme="minorEastAsia" w:hAnsiTheme="minorEastAsia" w:hint="eastAsia"/>
                <w:bCs/>
                <w:sz w:val="24"/>
                <w:lang w:val="en-GB"/>
              </w:rPr>
              <w:t>其他相关交易</w:t>
            </w:r>
          </w:p>
        </w:tc>
        <w:tc>
          <w:tcPr>
            <w:tcW w:w="2835" w:type="dxa"/>
            <w:vAlign w:val="center"/>
          </w:tcPr>
          <w:p w14:paraId="6A5F1925" w14:textId="77777777" w:rsidR="0069613A" w:rsidRDefault="00724B0E">
            <w:pPr>
              <w:rPr>
                <w:rFonts w:asciiTheme="minorEastAsia" w:eastAsiaTheme="minorEastAsia" w:hAnsiTheme="minorEastAsia"/>
                <w:sz w:val="24"/>
                <w:lang w:val="en-GB"/>
              </w:rPr>
            </w:pPr>
            <w:r>
              <w:rPr>
                <w:rFonts w:asciiTheme="minorEastAsia" w:eastAsiaTheme="minorEastAsia" w:hAnsiTheme="minorEastAsia" w:hint="eastAsia"/>
                <w:sz w:val="24"/>
                <w:lang w:val="en-GB"/>
              </w:rPr>
              <w:t>支持力度大</w:t>
            </w:r>
          </w:p>
          <w:p w14:paraId="5D549B53" w14:textId="77777777" w:rsidR="0069613A" w:rsidRDefault="00724B0E">
            <w:pPr>
              <w:rPr>
                <w:rFonts w:asciiTheme="minorEastAsia" w:eastAsiaTheme="minorEastAsia" w:hAnsiTheme="minorEastAsia"/>
                <w:sz w:val="24"/>
                <w:lang w:val="en-GB"/>
              </w:rPr>
            </w:pPr>
            <w:r>
              <w:rPr>
                <w:rFonts w:asciiTheme="minorEastAsia" w:eastAsiaTheme="minorEastAsia" w:hAnsiTheme="minorEastAsia" w:hint="eastAsia"/>
                <w:sz w:val="24"/>
                <w:lang w:val="en-GB"/>
              </w:rPr>
              <w:t>项目对发起人具有高度战略意义（核心业务</w:t>
            </w:r>
            <w:r>
              <w:rPr>
                <w:rFonts w:asciiTheme="minorEastAsia" w:eastAsiaTheme="minorEastAsia" w:hAnsiTheme="minorEastAsia" w:cs="Arial"/>
                <w:sz w:val="24"/>
                <w:lang w:val="en-GB"/>
              </w:rPr>
              <w:t>—</w:t>
            </w:r>
            <w:r>
              <w:rPr>
                <w:rFonts w:asciiTheme="minorEastAsia" w:eastAsiaTheme="minorEastAsia" w:hAnsiTheme="minorEastAsia" w:hint="eastAsia"/>
                <w:sz w:val="24"/>
                <w:lang w:val="en-GB"/>
              </w:rPr>
              <w:t>长期战略）</w:t>
            </w:r>
          </w:p>
          <w:p w14:paraId="11D794CC" w14:textId="77777777" w:rsidR="0069613A" w:rsidRDefault="00724B0E">
            <w:pPr>
              <w:rPr>
                <w:rFonts w:asciiTheme="minorEastAsia" w:eastAsiaTheme="minorEastAsia" w:hAnsiTheme="minorEastAsia" w:cs="宋体"/>
                <w:sz w:val="24"/>
              </w:rPr>
            </w:pPr>
            <w:r>
              <w:rPr>
                <w:rFonts w:asciiTheme="minorEastAsia" w:eastAsiaTheme="minorEastAsia" w:hAnsiTheme="minorEastAsia" w:hint="eastAsia"/>
                <w:bCs/>
                <w:sz w:val="24"/>
                <w:lang w:val="en-GB"/>
              </w:rPr>
              <w:t>发起人</w:t>
            </w:r>
            <w:r>
              <w:rPr>
                <w:rFonts w:asciiTheme="minorEastAsia" w:eastAsiaTheme="minorEastAsia" w:hAnsiTheme="minorEastAsia"/>
                <w:bCs/>
                <w:sz w:val="24"/>
                <w:lang w:val="en-GB"/>
              </w:rPr>
              <w:t>/</w:t>
            </w:r>
            <w:r>
              <w:rPr>
                <w:rFonts w:asciiTheme="minorEastAsia" w:eastAsiaTheme="minorEastAsia" w:hAnsiTheme="minorEastAsia" w:hint="eastAsia"/>
                <w:bCs/>
                <w:sz w:val="24"/>
                <w:lang w:val="en-GB"/>
              </w:rPr>
              <w:t>债务人对他人或相关交易的承诺效力较低或无承诺</w:t>
            </w:r>
          </w:p>
        </w:tc>
        <w:tc>
          <w:tcPr>
            <w:tcW w:w="2835" w:type="dxa"/>
            <w:vAlign w:val="center"/>
          </w:tcPr>
          <w:p w14:paraId="16742131" w14:textId="77777777" w:rsidR="0069613A" w:rsidRDefault="00724B0E">
            <w:pPr>
              <w:rPr>
                <w:rFonts w:asciiTheme="minorEastAsia" w:eastAsiaTheme="minorEastAsia" w:hAnsiTheme="minorEastAsia"/>
                <w:sz w:val="24"/>
                <w:lang w:val="en-GB"/>
              </w:rPr>
            </w:pPr>
            <w:r>
              <w:rPr>
                <w:rFonts w:asciiTheme="minorEastAsia" w:eastAsiaTheme="minorEastAsia" w:hAnsiTheme="minorEastAsia" w:hint="eastAsia"/>
                <w:sz w:val="24"/>
                <w:lang w:val="en-GB"/>
              </w:rPr>
              <w:t>支持力度较大</w:t>
            </w:r>
          </w:p>
          <w:p w14:paraId="002A086E" w14:textId="77777777" w:rsidR="0069613A" w:rsidRDefault="00724B0E">
            <w:pPr>
              <w:rPr>
                <w:rFonts w:asciiTheme="minorEastAsia" w:eastAsiaTheme="minorEastAsia" w:hAnsiTheme="minorEastAsia"/>
                <w:sz w:val="24"/>
                <w:lang w:val="en-GB"/>
              </w:rPr>
            </w:pPr>
            <w:r>
              <w:rPr>
                <w:rFonts w:asciiTheme="minorEastAsia" w:eastAsiaTheme="minorEastAsia" w:hAnsiTheme="minorEastAsia" w:hint="eastAsia"/>
                <w:sz w:val="24"/>
                <w:lang w:val="en-GB"/>
              </w:rPr>
              <w:t>项目对发起人具有战略意义（核心业务</w:t>
            </w:r>
            <w:r>
              <w:rPr>
                <w:rFonts w:asciiTheme="minorEastAsia" w:eastAsiaTheme="minorEastAsia" w:hAnsiTheme="minorEastAsia" w:cs="Arial"/>
                <w:sz w:val="24"/>
                <w:lang w:val="en-GB"/>
              </w:rPr>
              <w:t>—</w:t>
            </w:r>
            <w:r>
              <w:rPr>
                <w:rFonts w:asciiTheme="minorEastAsia" w:eastAsiaTheme="minorEastAsia" w:hAnsiTheme="minorEastAsia" w:hint="eastAsia"/>
                <w:sz w:val="24"/>
                <w:lang w:val="en-GB"/>
              </w:rPr>
              <w:t>长期战略）</w:t>
            </w:r>
          </w:p>
          <w:p w14:paraId="67921D34" w14:textId="77777777" w:rsidR="0069613A" w:rsidRDefault="00724B0E">
            <w:pPr>
              <w:rPr>
                <w:rFonts w:asciiTheme="minorEastAsia" w:eastAsiaTheme="minorEastAsia" w:hAnsiTheme="minorEastAsia" w:cs="宋体"/>
                <w:sz w:val="24"/>
              </w:rPr>
            </w:pPr>
            <w:r>
              <w:rPr>
                <w:rFonts w:asciiTheme="minorEastAsia" w:eastAsiaTheme="minorEastAsia" w:hAnsiTheme="minorEastAsia" w:hint="eastAsia"/>
                <w:bCs/>
                <w:sz w:val="24"/>
                <w:lang w:val="en-GB"/>
              </w:rPr>
              <w:t>发起人</w:t>
            </w:r>
            <w:r>
              <w:rPr>
                <w:rFonts w:asciiTheme="minorEastAsia" w:eastAsiaTheme="minorEastAsia" w:hAnsiTheme="minorEastAsia"/>
                <w:bCs/>
                <w:sz w:val="24"/>
                <w:lang w:val="en-GB"/>
              </w:rPr>
              <w:t>/</w:t>
            </w:r>
            <w:r>
              <w:rPr>
                <w:rFonts w:asciiTheme="minorEastAsia" w:eastAsiaTheme="minorEastAsia" w:hAnsiTheme="minorEastAsia" w:hint="eastAsia"/>
                <w:bCs/>
                <w:sz w:val="24"/>
                <w:lang w:val="en-GB"/>
              </w:rPr>
              <w:t>债务人对他人或相关交易有相对效力较高的承诺</w:t>
            </w:r>
          </w:p>
        </w:tc>
        <w:tc>
          <w:tcPr>
            <w:tcW w:w="2835" w:type="dxa"/>
            <w:vAlign w:val="center"/>
          </w:tcPr>
          <w:p w14:paraId="6B774B66" w14:textId="77777777" w:rsidR="0069613A" w:rsidRDefault="00724B0E">
            <w:pPr>
              <w:rPr>
                <w:rFonts w:asciiTheme="minorEastAsia" w:eastAsiaTheme="minorEastAsia" w:hAnsiTheme="minorEastAsia"/>
                <w:sz w:val="24"/>
                <w:lang w:val="en-GB"/>
              </w:rPr>
            </w:pPr>
            <w:r>
              <w:rPr>
                <w:rFonts w:asciiTheme="minorEastAsia" w:eastAsiaTheme="minorEastAsia" w:hAnsiTheme="minorEastAsia" w:hint="eastAsia"/>
                <w:sz w:val="24"/>
                <w:lang w:val="en-GB"/>
              </w:rPr>
              <w:t>支持力度一般</w:t>
            </w:r>
          </w:p>
          <w:p w14:paraId="5A948BC7" w14:textId="77777777" w:rsidR="0069613A" w:rsidRDefault="00724B0E">
            <w:pPr>
              <w:rPr>
                <w:rFonts w:asciiTheme="minorEastAsia" w:eastAsiaTheme="minorEastAsia" w:hAnsiTheme="minorEastAsia"/>
                <w:sz w:val="24"/>
                <w:lang w:val="en-GB"/>
              </w:rPr>
            </w:pPr>
            <w:r>
              <w:rPr>
                <w:rFonts w:asciiTheme="minorEastAsia" w:eastAsiaTheme="minorEastAsia" w:hAnsiTheme="minorEastAsia" w:hint="eastAsia"/>
                <w:sz w:val="24"/>
                <w:lang w:val="en-GB"/>
              </w:rPr>
              <w:t>项目对发起人重要（核心业务）</w:t>
            </w:r>
          </w:p>
          <w:p w14:paraId="0FC337B9" w14:textId="77777777" w:rsidR="0069613A" w:rsidRDefault="00724B0E">
            <w:pPr>
              <w:rPr>
                <w:rFonts w:asciiTheme="minorEastAsia" w:eastAsiaTheme="minorEastAsia" w:hAnsiTheme="minorEastAsia" w:cs="宋体"/>
                <w:sz w:val="24"/>
              </w:rPr>
            </w:pPr>
            <w:r>
              <w:rPr>
                <w:rFonts w:asciiTheme="minorEastAsia" w:eastAsiaTheme="minorEastAsia" w:hAnsiTheme="minorEastAsia" w:hint="eastAsia"/>
                <w:bCs/>
                <w:sz w:val="24"/>
                <w:lang w:val="en-GB"/>
              </w:rPr>
              <w:t>发起人</w:t>
            </w:r>
            <w:r>
              <w:rPr>
                <w:rFonts w:asciiTheme="minorEastAsia" w:eastAsiaTheme="minorEastAsia" w:hAnsiTheme="minorEastAsia"/>
                <w:bCs/>
                <w:sz w:val="24"/>
                <w:lang w:val="en-GB"/>
              </w:rPr>
              <w:t>/</w:t>
            </w:r>
            <w:r>
              <w:rPr>
                <w:rFonts w:asciiTheme="minorEastAsia" w:eastAsiaTheme="minorEastAsia" w:hAnsiTheme="minorEastAsia" w:hint="eastAsia"/>
                <w:bCs/>
                <w:sz w:val="24"/>
                <w:lang w:val="en-GB"/>
              </w:rPr>
              <w:t>债务人对他人或相关交易具有一些相对重要的承诺</w:t>
            </w:r>
          </w:p>
        </w:tc>
        <w:tc>
          <w:tcPr>
            <w:tcW w:w="2835" w:type="dxa"/>
            <w:vAlign w:val="center"/>
          </w:tcPr>
          <w:p w14:paraId="4F3D734C" w14:textId="77777777" w:rsidR="0069613A" w:rsidRDefault="00724B0E">
            <w:pPr>
              <w:rPr>
                <w:rFonts w:asciiTheme="minorEastAsia" w:eastAsiaTheme="minorEastAsia" w:hAnsiTheme="minorEastAsia"/>
                <w:sz w:val="24"/>
                <w:lang w:val="en-GB"/>
              </w:rPr>
            </w:pPr>
            <w:r>
              <w:rPr>
                <w:rFonts w:asciiTheme="minorEastAsia" w:eastAsiaTheme="minorEastAsia" w:hAnsiTheme="minorEastAsia" w:hint="eastAsia"/>
                <w:sz w:val="24"/>
                <w:lang w:val="en-GB"/>
              </w:rPr>
              <w:t>支持有限</w:t>
            </w:r>
          </w:p>
          <w:p w14:paraId="037D0234" w14:textId="77777777" w:rsidR="0069613A" w:rsidRDefault="00724B0E">
            <w:pPr>
              <w:rPr>
                <w:rFonts w:asciiTheme="minorEastAsia" w:eastAsiaTheme="minorEastAsia" w:hAnsiTheme="minorEastAsia"/>
                <w:bCs/>
                <w:sz w:val="24"/>
                <w:lang w:val="en-GB"/>
              </w:rPr>
            </w:pPr>
            <w:r>
              <w:rPr>
                <w:rFonts w:asciiTheme="minorEastAsia" w:eastAsiaTheme="minorEastAsia" w:hAnsiTheme="minorEastAsia" w:hint="eastAsia"/>
                <w:sz w:val="24"/>
                <w:lang w:val="en-GB"/>
              </w:rPr>
              <w:t>项目对发起人的长期战略或核心业务无关紧要</w:t>
            </w:r>
            <w:r>
              <w:rPr>
                <w:rFonts w:asciiTheme="minorEastAsia" w:eastAsiaTheme="minorEastAsia" w:hAnsiTheme="minorEastAsia"/>
                <w:sz w:val="24"/>
                <w:lang w:val="en-GB"/>
              </w:rPr>
              <w:t xml:space="preserve"> </w:t>
            </w:r>
          </w:p>
          <w:p w14:paraId="6DCA4554" w14:textId="77777777" w:rsidR="0069613A" w:rsidRDefault="00724B0E">
            <w:pPr>
              <w:rPr>
                <w:rFonts w:asciiTheme="minorEastAsia" w:eastAsiaTheme="minorEastAsia" w:hAnsiTheme="minorEastAsia" w:cs="宋体"/>
                <w:sz w:val="24"/>
              </w:rPr>
            </w:pPr>
            <w:r>
              <w:rPr>
                <w:rFonts w:asciiTheme="minorEastAsia" w:eastAsiaTheme="minorEastAsia" w:hAnsiTheme="minorEastAsia" w:hint="eastAsia"/>
                <w:bCs/>
                <w:sz w:val="24"/>
                <w:lang w:val="en-GB"/>
              </w:rPr>
              <w:t>发起人</w:t>
            </w:r>
            <w:r>
              <w:rPr>
                <w:rFonts w:asciiTheme="minorEastAsia" w:eastAsiaTheme="minorEastAsia" w:hAnsiTheme="minorEastAsia"/>
                <w:bCs/>
                <w:sz w:val="24"/>
                <w:lang w:val="en-GB"/>
              </w:rPr>
              <w:t>/</w:t>
            </w:r>
            <w:r>
              <w:rPr>
                <w:rFonts w:asciiTheme="minorEastAsia" w:eastAsiaTheme="minorEastAsia" w:hAnsiTheme="minorEastAsia" w:hint="eastAsia"/>
                <w:bCs/>
                <w:sz w:val="24"/>
                <w:lang w:val="en-GB"/>
              </w:rPr>
              <w:t>债务人对他人或相关交易的承诺极有可能影响当前项目</w:t>
            </w:r>
          </w:p>
        </w:tc>
      </w:tr>
      <w:tr w:rsidR="0069613A" w14:paraId="01E9EDB9" w14:textId="77777777">
        <w:trPr>
          <w:cantSplit/>
          <w:trHeight w:val="340"/>
        </w:trPr>
        <w:tc>
          <w:tcPr>
            <w:tcW w:w="3047" w:type="dxa"/>
            <w:vAlign w:val="center"/>
          </w:tcPr>
          <w:p w14:paraId="3EEFC3D7" w14:textId="77777777" w:rsidR="0069613A" w:rsidRDefault="00724B0E">
            <w:pPr>
              <w:pStyle w:val="TableRowHeading"/>
              <w:widowControl w:val="0"/>
              <w:spacing w:after="0"/>
              <w:jc w:val="both"/>
              <w:rPr>
                <w:rFonts w:asciiTheme="minorEastAsia" w:eastAsiaTheme="minorEastAsia" w:hAnsiTheme="minorEastAsia"/>
                <w:b/>
                <w:color w:val="000000"/>
                <w:sz w:val="24"/>
                <w:szCs w:val="24"/>
                <w:lang w:eastAsia="zh-CN"/>
              </w:rPr>
            </w:pPr>
            <w:r>
              <w:rPr>
                <w:rFonts w:asciiTheme="minorEastAsia" w:eastAsiaTheme="minorEastAsia" w:hAnsiTheme="minorEastAsia" w:hint="eastAsia"/>
                <w:b/>
                <w:color w:val="000000"/>
                <w:sz w:val="24"/>
                <w:szCs w:val="24"/>
                <w:lang w:eastAsia="zh-CN"/>
              </w:rPr>
              <w:t>担保安排</w:t>
            </w:r>
          </w:p>
        </w:tc>
        <w:tc>
          <w:tcPr>
            <w:tcW w:w="2835" w:type="dxa"/>
            <w:vAlign w:val="center"/>
          </w:tcPr>
          <w:p w14:paraId="0F38D863" w14:textId="77777777" w:rsidR="0069613A" w:rsidRDefault="0069613A">
            <w:pPr>
              <w:pStyle w:val="TableText"/>
              <w:keepNext w:val="0"/>
              <w:widowControl w:val="0"/>
              <w:spacing w:after="0"/>
              <w:jc w:val="both"/>
              <w:rPr>
                <w:rFonts w:asciiTheme="minorEastAsia" w:eastAsiaTheme="minorEastAsia" w:hAnsiTheme="minorEastAsia"/>
                <w:b/>
                <w:color w:val="000000"/>
                <w:sz w:val="24"/>
                <w:szCs w:val="24"/>
                <w:lang w:eastAsia="zh-CN"/>
              </w:rPr>
            </w:pPr>
          </w:p>
        </w:tc>
        <w:tc>
          <w:tcPr>
            <w:tcW w:w="2835" w:type="dxa"/>
            <w:vAlign w:val="center"/>
          </w:tcPr>
          <w:p w14:paraId="12D21A2C" w14:textId="77777777" w:rsidR="0069613A" w:rsidRDefault="0069613A">
            <w:pPr>
              <w:pStyle w:val="TableText"/>
              <w:keepNext w:val="0"/>
              <w:widowControl w:val="0"/>
              <w:spacing w:after="0"/>
              <w:jc w:val="both"/>
              <w:rPr>
                <w:rFonts w:asciiTheme="minorEastAsia" w:eastAsiaTheme="minorEastAsia" w:hAnsiTheme="minorEastAsia"/>
                <w:b/>
                <w:color w:val="000000"/>
                <w:sz w:val="24"/>
                <w:szCs w:val="24"/>
                <w:lang w:eastAsia="zh-CN"/>
              </w:rPr>
            </w:pPr>
          </w:p>
        </w:tc>
        <w:tc>
          <w:tcPr>
            <w:tcW w:w="2835" w:type="dxa"/>
            <w:vAlign w:val="center"/>
          </w:tcPr>
          <w:p w14:paraId="2142B30C" w14:textId="77777777" w:rsidR="0069613A" w:rsidRDefault="0069613A">
            <w:pPr>
              <w:pStyle w:val="TableText"/>
              <w:keepNext w:val="0"/>
              <w:widowControl w:val="0"/>
              <w:spacing w:after="0"/>
              <w:jc w:val="both"/>
              <w:rPr>
                <w:rFonts w:asciiTheme="minorEastAsia" w:eastAsiaTheme="minorEastAsia" w:hAnsiTheme="minorEastAsia"/>
                <w:b/>
                <w:color w:val="000000"/>
                <w:sz w:val="24"/>
                <w:szCs w:val="24"/>
                <w:lang w:eastAsia="zh-CN"/>
              </w:rPr>
            </w:pPr>
          </w:p>
        </w:tc>
        <w:tc>
          <w:tcPr>
            <w:tcW w:w="2835" w:type="dxa"/>
            <w:vAlign w:val="center"/>
          </w:tcPr>
          <w:p w14:paraId="16DB9B85" w14:textId="77777777" w:rsidR="0069613A" w:rsidRDefault="0069613A">
            <w:pPr>
              <w:pStyle w:val="TableText"/>
              <w:keepNext w:val="0"/>
              <w:widowControl w:val="0"/>
              <w:spacing w:after="0"/>
              <w:jc w:val="both"/>
              <w:rPr>
                <w:rFonts w:asciiTheme="minorEastAsia" w:eastAsiaTheme="minorEastAsia" w:hAnsiTheme="minorEastAsia"/>
                <w:b/>
                <w:color w:val="000000"/>
                <w:sz w:val="24"/>
                <w:szCs w:val="24"/>
                <w:lang w:eastAsia="zh-CN"/>
              </w:rPr>
            </w:pPr>
          </w:p>
        </w:tc>
      </w:tr>
      <w:tr w:rsidR="0069613A" w14:paraId="3E01764B" w14:textId="77777777">
        <w:trPr>
          <w:cantSplit/>
          <w:trHeight w:val="340"/>
        </w:trPr>
        <w:tc>
          <w:tcPr>
            <w:tcW w:w="3047" w:type="dxa"/>
            <w:vAlign w:val="center"/>
          </w:tcPr>
          <w:p w14:paraId="065192B9"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合同和</w:t>
            </w:r>
            <w:r>
              <w:rPr>
                <w:rFonts w:asciiTheme="minorEastAsia" w:eastAsiaTheme="minorEastAsia" w:hAnsiTheme="minorEastAsia" w:hint="eastAsia"/>
                <w:bCs/>
                <w:sz w:val="24"/>
                <w:lang w:val="en-GB"/>
              </w:rPr>
              <w:t>账户</w:t>
            </w:r>
            <w:r>
              <w:rPr>
                <w:rFonts w:asciiTheme="minorEastAsia" w:eastAsiaTheme="minorEastAsia" w:hAnsiTheme="minorEastAsia" w:hint="eastAsia"/>
                <w:color w:val="000000"/>
                <w:sz w:val="24"/>
              </w:rPr>
              <w:t>权利分配</w:t>
            </w:r>
          </w:p>
        </w:tc>
        <w:tc>
          <w:tcPr>
            <w:tcW w:w="2835" w:type="dxa"/>
            <w:vAlign w:val="center"/>
          </w:tcPr>
          <w:p w14:paraId="027685C0"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非常全面</w:t>
            </w:r>
          </w:p>
        </w:tc>
        <w:tc>
          <w:tcPr>
            <w:tcW w:w="2835" w:type="dxa"/>
            <w:vAlign w:val="center"/>
          </w:tcPr>
          <w:p w14:paraId="17F5C63F"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全面</w:t>
            </w:r>
          </w:p>
        </w:tc>
        <w:tc>
          <w:tcPr>
            <w:tcW w:w="2835" w:type="dxa"/>
            <w:vAlign w:val="center"/>
          </w:tcPr>
          <w:p w14:paraId="4AC32F9D"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一般</w:t>
            </w:r>
          </w:p>
        </w:tc>
        <w:tc>
          <w:tcPr>
            <w:tcW w:w="2835" w:type="dxa"/>
            <w:vAlign w:val="center"/>
          </w:tcPr>
          <w:p w14:paraId="3D0683F7"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差</w:t>
            </w:r>
          </w:p>
        </w:tc>
      </w:tr>
      <w:tr w:rsidR="0069613A" w14:paraId="4DD08761" w14:textId="77777777">
        <w:trPr>
          <w:cantSplit/>
          <w:trHeight w:val="340"/>
        </w:trPr>
        <w:tc>
          <w:tcPr>
            <w:tcW w:w="3047" w:type="dxa"/>
            <w:vAlign w:val="center"/>
          </w:tcPr>
          <w:p w14:paraId="5923F3BC"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抵质押物的质量、价值和流动性</w:t>
            </w:r>
          </w:p>
        </w:tc>
        <w:tc>
          <w:tcPr>
            <w:tcW w:w="2835" w:type="dxa"/>
            <w:vAlign w:val="center"/>
          </w:tcPr>
          <w:p w14:paraId="534A60FE"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对起动项目的全部资产、合同、批文和账户拥有手续完备的优先担保权益</w:t>
            </w:r>
          </w:p>
          <w:p w14:paraId="6777C71D"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抵质押物价值充足，交易活跃</w:t>
            </w:r>
          </w:p>
        </w:tc>
        <w:tc>
          <w:tcPr>
            <w:tcW w:w="2835" w:type="dxa"/>
            <w:vAlign w:val="center"/>
          </w:tcPr>
          <w:p w14:paraId="791E9160"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对起动项目的全部资产、合同、批文和账户拥有手续完备的优先担保权益</w:t>
            </w:r>
          </w:p>
          <w:p w14:paraId="24BC1B05"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抵质押物价值充足，具有交易先例</w:t>
            </w:r>
          </w:p>
        </w:tc>
        <w:tc>
          <w:tcPr>
            <w:tcW w:w="2835" w:type="dxa"/>
            <w:vAlign w:val="center"/>
          </w:tcPr>
          <w:p w14:paraId="5F654E21"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对起动项目的全部资产、合同、批文和账户拥有一般性的担保权益</w:t>
            </w:r>
          </w:p>
          <w:p w14:paraId="4C73347C"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抵质押物价值充足，能够进行交易</w:t>
            </w:r>
          </w:p>
        </w:tc>
        <w:tc>
          <w:tcPr>
            <w:tcW w:w="2835" w:type="dxa"/>
            <w:vAlign w:val="center"/>
          </w:tcPr>
          <w:p w14:paraId="7AB1537B"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对贷款人几乎未提供担保，或抵押条款对银行不利</w:t>
            </w:r>
          </w:p>
          <w:p w14:paraId="7FDC9F19"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抵质押物价值充足，或不能进行交易</w:t>
            </w:r>
          </w:p>
        </w:tc>
      </w:tr>
      <w:tr w:rsidR="0069613A" w14:paraId="04E15ECA" w14:textId="77777777">
        <w:trPr>
          <w:cantSplit/>
          <w:trHeight w:val="340"/>
        </w:trPr>
        <w:tc>
          <w:tcPr>
            <w:tcW w:w="3047" w:type="dxa"/>
            <w:vAlign w:val="center"/>
          </w:tcPr>
          <w:p w14:paraId="53E67379"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贷款人对现金流的控制（例如现金转账</w:t>
            </w:r>
            <w:r>
              <w:rPr>
                <w:rFonts w:asciiTheme="minorEastAsia" w:eastAsiaTheme="minorEastAsia" w:hAnsiTheme="minorEastAsia"/>
                <w:color w:val="000000"/>
                <w:sz w:val="24"/>
              </w:rPr>
              <w:t xml:space="preserve">(cash </w:t>
            </w:r>
            <w:r>
              <w:rPr>
                <w:rFonts w:asciiTheme="minorEastAsia" w:eastAsiaTheme="minorEastAsia" w:hAnsiTheme="minorEastAsia"/>
                <w:bCs/>
                <w:sz w:val="24"/>
                <w:lang w:val="en-GB"/>
              </w:rPr>
              <w:t>sweep</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和独立第三方账户托管）</w:t>
            </w:r>
          </w:p>
        </w:tc>
        <w:tc>
          <w:tcPr>
            <w:tcW w:w="2835" w:type="dxa"/>
            <w:vAlign w:val="center"/>
          </w:tcPr>
          <w:p w14:paraId="4AE8BDA0"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好</w:t>
            </w:r>
          </w:p>
        </w:tc>
        <w:tc>
          <w:tcPr>
            <w:tcW w:w="2835" w:type="dxa"/>
            <w:vAlign w:val="center"/>
          </w:tcPr>
          <w:p w14:paraId="5DBF86B4"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较好</w:t>
            </w:r>
          </w:p>
        </w:tc>
        <w:tc>
          <w:tcPr>
            <w:tcW w:w="2835" w:type="dxa"/>
            <w:vAlign w:val="center"/>
          </w:tcPr>
          <w:p w14:paraId="179F9098"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一般</w:t>
            </w:r>
          </w:p>
        </w:tc>
        <w:tc>
          <w:tcPr>
            <w:tcW w:w="2835" w:type="dxa"/>
            <w:vAlign w:val="center"/>
          </w:tcPr>
          <w:p w14:paraId="5F7ACB98"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差</w:t>
            </w:r>
          </w:p>
        </w:tc>
      </w:tr>
      <w:tr w:rsidR="0069613A" w14:paraId="61076EC6" w14:textId="77777777">
        <w:trPr>
          <w:cantSplit/>
          <w:trHeight w:val="340"/>
        </w:trPr>
        <w:tc>
          <w:tcPr>
            <w:tcW w:w="3047" w:type="dxa"/>
            <w:vAlign w:val="center"/>
          </w:tcPr>
          <w:p w14:paraId="54FE1352"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合同条款的</w:t>
            </w:r>
            <w:r>
              <w:rPr>
                <w:rFonts w:asciiTheme="minorEastAsia" w:eastAsiaTheme="minorEastAsia" w:hAnsiTheme="minorEastAsia" w:hint="eastAsia"/>
                <w:bCs/>
                <w:sz w:val="24"/>
                <w:lang w:val="en-GB"/>
              </w:rPr>
              <w:t>约束力</w:t>
            </w:r>
            <w:r>
              <w:rPr>
                <w:rFonts w:asciiTheme="minorEastAsia" w:eastAsiaTheme="minorEastAsia" w:hAnsiTheme="minorEastAsia" w:hint="eastAsia"/>
                <w:color w:val="000000"/>
                <w:sz w:val="24"/>
              </w:rPr>
              <w:t>（关于强制提前付款、递延付款、分期付款和红利限制等方面的强制规定）</w:t>
            </w:r>
          </w:p>
        </w:tc>
        <w:tc>
          <w:tcPr>
            <w:tcW w:w="2835" w:type="dxa"/>
            <w:vAlign w:val="center"/>
          </w:tcPr>
          <w:p w14:paraId="32380383"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合同条款对此类项目约束力强</w:t>
            </w:r>
          </w:p>
          <w:p w14:paraId="29EB8073"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项目不再举借其他债务</w:t>
            </w:r>
          </w:p>
        </w:tc>
        <w:tc>
          <w:tcPr>
            <w:tcW w:w="2835" w:type="dxa"/>
            <w:vAlign w:val="center"/>
          </w:tcPr>
          <w:p w14:paraId="4AAB76AC"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合同条款对此类项目约束力较强</w:t>
            </w:r>
          </w:p>
          <w:p w14:paraId="2EF4757C"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项目举借的其他债务非常有限</w:t>
            </w:r>
          </w:p>
        </w:tc>
        <w:tc>
          <w:tcPr>
            <w:tcW w:w="2835" w:type="dxa"/>
            <w:vAlign w:val="center"/>
          </w:tcPr>
          <w:p w14:paraId="734BD715"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合同条款对此类项目约束力一般</w:t>
            </w:r>
          </w:p>
          <w:p w14:paraId="3F8733F2"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项目举借的其他债务有限</w:t>
            </w:r>
          </w:p>
        </w:tc>
        <w:tc>
          <w:tcPr>
            <w:tcW w:w="2835" w:type="dxa"/>
            <w:vAlign w:val="center"/>
          </w:tcPr>
          <w:p w14:paraId="40E0935F"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合同条款对此类项目约束力弱</w:t>
            </w:r>
          </w:p>
          <w:p w14:paraId="02826FCB"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项目可能无限举借其他债务</w:t>
            </w:r>
          </w:p>
        </w:tc>
      </w:tr>
      <w:tr w:rsidR="0069613A" w14:paraId="0D422EB7" w14:textId="77777777">
        <w:trPr>
          <w:cantSplit/>
          <w:trHeight w:val="340"/>
        </w:trPr>
        <w:tc>
          <w:tcPr>
            <w:tcW w:w="3047" w:type="dxa"/>
            <w:vAlign w:val="center"/>
          </w:tcPr>
          <w:p w14:paraId="75318C54" w14:textId="77777777" w:rsidR="0069613A" w:rsidRDefault="00724B0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储备基金（偿债、营运与维护、更新和重置、不可预见事件）</w:t>
            </w:r>
          </w:p>
        </w:tc>
        <w:tc>
          <w:tcPr>
            <w:tcW w:w="2835" w:type="dxa"/>
            <w:vAlign w:val="center"/>
          </w:tcPr>
          <w:p w14:paraId="08E160AA"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储备基金覆盖期超过平均项目期</w:t>
            </w:r>
          </w:p>
          <w:p w14:paraId="49460DD5"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储备基金来源落实，全部都由现金或高评级银行出具的信用证组成</w:t>
            </w:r>
          </w:p>
        </w:tc>
        <w:tc>
          <w:tcPr>
            <w:tcW w:w="2835" w:type="dxa"/>
            <w:vAlign w:val="center"/>
          </w:tcPr>
          <w:p w14:paraId="1F8D8770"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储备基金覆盖期等于平均项目期</w:t>
            </w:r>
          </w:p>
          <w:p w14:paraId="13918C1D"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所有储备基金来源都落实</w:t>
            </w:r>
          </w:p>
        </w:tc>
        <w:tc>
          <w:tcPr>
            <w:tcW w:w="2835" w:type="dxa"/>
            <w:vAlign w:val="center"/>
          </w:tcPr>
          <w:p w14:paraId="51B8DF65"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储备基金覆盖期等于平均项目期</w:t>
            </w:r>
          </w:p>
          <w:p w14:paraId="3C5EFBA2"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所有储备基金来源都落实</w:t>
            </w:r>
          </w:p>
        </w:tc>
        <w:tc>
          <w:tcPr>
            <w:tcW w:w="2835" w:type="dxa"/>
            <w:vAlign w:val="center"/>
          </w:tcPr>
          <w:p w14:paraId="22E85CCE"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储备基金覆盖期低于平均项目期</w:t>
            </w:r>
          </w:p>
          <w:p w14:paraId="473D1457" w14:textId="77777777" w:rsidR="0069613A" w:rsidRDefault="00724B0E">
            <w:pPr>
              <w:pStyle w:val="TableText"/>
              <w:keepNext w:val="0"/>
              <w:widowControl w:val="0"/>
              <w:spacing w:after="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储备基金来源于经营现金流</w:t>
            </w:r>
          </w:p>
        </w:tc>
      </w:tr>
    </w:tbl>
    <w:p w14:paraId="3F06E58B" w14:textId="77777777" w:rsidR="0069613A" w:rsidRDefault="0069613A"/>
    <w:p w14:paraId="06A0CEC8" w14:textId="77777777" w:rsidR="0069613A" w:rsidRDefault="00724B0E">
      <w:pPr>
        <w:numPr>
          <w:ilvl w:val="3"/>
          <w:numId w:val="0"/>
        </w:numPr>
        <w:tabs>
          <w:tab w:val="left" w:pos="567"/>
        </w:tabs>
        <w:adjustRightInd w:val="0"/>
        <w:snapToGrid w:val="0"/>
        <w:spacing w:afterLines="50" w:after="120" w:line="480" w:lineRule="exact"/>
        <w:jc w:val="center"/>
        <w:rPr>
          <w:rFonts w:ascii="楷体_GB2312" w:eastAsia="楷体_GB2312" w:hAnsi="Calibri"/>
          <w:b/>
          <w:sz w:val="28"/>
          <w:szCs w:val="28"/>
        </w:rPr>
      </w:pPr>
      <w:r>
        <w:rPr>
          <w:rFonts w:ascii="楷体_GB2312" w:eastAsia="楷体_GB2312" w:hAnsi="Calibri" w:hint="eastAsia"/>
          <w:b/>
          <w:sz w:val="28"/>
          <w:szCs w:val="28"/>
        </w:rPr>
        <w:t>表2</w:t>
      </w:r>
      <w:r>
        <w:rPr>
          <w:rFonts w:ascii="楷体_GB2312" w:eastAsia="楷体_GB2312" w:hAnsi="Calibri"/>
          <w:b/>
          <w:sz w:val="28"/>
          <w:szCs w:val="28"/>
        </w:rPr>
        <w:t xml:space="preserve"> </w:t>
      </w:r>
      <w:r>
        <w:rPr>
          <w:rFonts w:ascii="楷体_GB2312" w:eastAsia="楷体_GB2312" w:hAnsi="Calibri" w:hint="eastAsia"/>
          <w:b/>
          <w:sz w:val="28"/>
          <w:szCs w:val="28"/>
        </w:rPr>
        <w:t>物品融资的监管评级标准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7"/>
        <w:gridCol w:w="2835"/>
        <w:gridCol w:w="2835"/>
        <w:gridCol w:w="2977"/>
        <w:gridCol w:w="2835"/>
      </w:tblGrid>
      <w:tr w:rsidR="0069613A" w14:paraId="44093F66" w14:textId="77777777">
        <w:trPr>
          <w:cantSplit/>
          <w:trHeight w:val="388"/>
          <w:tblHeader/>
        </w:trPr>
        <w:tc>
          <w:tcPr>
            <w:tcW w:w="3047" w:type="dxa"/>
            <w:vAlign w:val="center"/>
          </w:tcPr>
          <w:p w14:paraId="6229747E" w14:textId="77777777" w:rsidR="0069613A" w:rsidRDefault="0069613A">
            <w:pPr>
              <w:pStyle w:val="TableText"/>
              <w:spacing w:after="0"/>
              <w:jc w:val="center"/>
              <w:rPr>
                <w:rFonts w:ascii="宋体" w:hAnsi="宋体"/>
                <w:b/>
                <w:color w:val="000000"/>
                <w:sz w:val="24"/>
                <w:szCs w:val="24"/>
                <w:lang w:eastAsia="zh-CN"/>
              </w:rPr>
            </w:pPr>
          </w:p>
        </w:tc>
        <w:tc>
          <w:tcPr>
            <w:tcW w:w="2835" w:type="dxa"/>
            <w:vAlign w:val="center"/>
          </w:tcPr>
          <w:p w14:paraId="6B66FB8F" w14:textId="77777777" w:rsidR="0069613A" w:rsidRDefault="00724B0E">
            <w:pPr>
              <w:pStyle w:val="TableText"/>
              <w:spacing w:after="0"/>
              <w:jc w:val="center"/>
              <w:rPr>
                <w:rFonts w:ascii="宋体" w:hAnsi="宋体"/>
                <w:color w:val="000000"/>
                <w:sz w:val="24"/>
                <w:szCs w:val="24"/>
                <w:lang w:eastAsia="zh-CN"/>
              </w:rPr>
            </w:pPr>
            <w:r>
              <w:rPr>
                <w:rFonts w:ascii="宋体" w:hAnsi="宋体" w:hint="eastAsia"/>
                <w:color w:val="000000"/>
                <w:sz w:val="24"/>
                <w:szCs w:val="24"/>
                <w:lang w:eastAsia="zh-CN"/>
              </w:rPr>
              <w:t>优</w:t>
            </w:r>
          </w:p>
        </w:tc>
        <w:tc>
          <w:tcPr>
            <w:tcW w:w="2835" w:type="dxa"/>
            <w:vAlign w:val="center"/>
          </w:tcPr>
          <w:p w14:paraId="68CD8B77" w14:textId="77777777" w:rsidR="0069613A" w:rsidRDefault="00724B0E">
            <w:pPr>
              <w:pStyle w:val="TableText"/>
              <w:spacing w:after="0"/>
              <w:jc w:val="center"/>
              <w:rPr>
                <w:rFonts w:ascii="宋体" w:hAnsi="宋体"/>
                <w:color w:val="000000"/>
                <w:sz w:val="24"/>
                <w:szCs w:val="24"/>
                <w:lang w:eastAsia="zh-CN"/>
              </w:rPr>
            </w:pPr>
            <w:r>
              <w:rPr>
                <w:rFonts w:ascii="宋体" w:hAnsi="宋体" w:hint="eastAsia"/>
                <w:color w:val="000000"/>
                <w:sz w:val="24"/>
                <w:szCs w:val="24"/>
                <w:lang w:eastAsia="zh-CN"/>
              </w:rPr>
              <w:t>良</w:t>
            </w:r>
          </w:p>
        </w:tc>
        <w:tc>
          <w:tcPr>
            <w:tcW w:w="2977" w:type="dxa"/>
            <w:vAlign w:val="center"/>
          </w:tcPr>
          <w:p w14:paraId="306C5170" w14:textId="77777777" w:rsidR="0069613A" w:rsidRDefault="00724B0E">
            <w:pPr>
              <w:pStyle w:val="TableText"/>
              <w:spacing w:after="0"/>
              <w:jc w:val="center"/>
              <w:rPr>
                <w:rFonts w:ascii="宋体" w:hAnsi="宋体"/>
                <w:color w:val="000000"/>
                <w:sz w:val="24"/>
                <w:szCs w:val="24"/>
                <w:lang w:eastAsia="zh-CN"/>
              </w:rPr>
            </w:pPr>
            <w:r>
              <w:rPr>
                <w:rFonts w:ascii="宋体" w:hAnsi="宋体" w:hint="eastAsia"/>
                <w:color w:val="000000"/>
                <w:sz w:val="24"/>
                <w:szCs w:val="24"/>
                <w:lang w:eastAsia="zh-CN"/>
              </w:rPr>
              <w:t>中</w:t>
            </w:r>
          </w:p>
        </w:tc>
        <w:tc>
          <w:tcPr>
            <w:tcW w:w="2835" w:type="dxa"/>
            <w:vAlign w:val="center"/>
          </w:tcPr>
          <w:p w14:paraId="467CFD2B" w14:textId="77777777" w:rsidR="0069613A" w:rsidRDefault="00724B0E">
            <w:pPr>
              <w:pStyle w:val="TableText"/>
              <w:spacing w:after="0"/>
              <w:jc w:val="center"/>
              <w:rPr>
                <w:rFonts w:ascii="宋体" w:hAnsi="宋体"/>
                <w:color w:val="000000"/>
                <w:sz w:val="24"/>
                <w:szCs w:val="24"/>
                <w:lang w:eastAsia="zh-CN"/>
              </w:rPr>
            </w:pPr>
            <w:r>
              <w:rPr>
                <w:rFonts w:ascii="宋体" w:hAnsi="宋体" w:hint="eastAsia"/>
                <w:color w:val="000000"/>
                <w:sz w:val="24"/>
                <w:szCs w:val="24"/>
                <w:lang w:eastAsia="zh-CN"/>
              </w:rPr>
              <w:t>差</w:t>
            </w:r>
          </w:p>
        </w:tc>
      </w:tr>
      <w:tr w:rsidR="0069613A" w14:paraId="467CB551" w14:textId="77777777">
        <w:trPr>
          <w:cantSplit/>
          <w:trHeight w:val="397"/>
        </w:trPr>
        <w:tc>
          <w:tcPr>
            <w:tcW w:w="3047" w:type="dxa"/>
            <w:vAlign w:val="center"/>
          </w:tcPr>
          <w:p w14:paraId="31D211A9" w14:textId="77777777" w:rsidR="0069613A" w:rsidRDefault="00724B0E">
            <w:pPr>
              <w:pStyle w:val="TableRowHeading"/>
              <w:keepNext/>
              <w:spacing w:after="0"/>
              <w:jc w:val="both"/>
              <w:rPr>
                <w:rFonts w:ascii="宋体" w:hAnsi="宋体"/>
                <w:b/>
                <w:color w:val="000000"/>
                <w:sz w:val="24"/>
                <w:szCs w:val="24"/>
                <w:lang w:eastAsia="zh-CN"/>
              </w:rPr>
            </w:pPr>
            <w:r>
              <w:rPr>
                <w:rFonts w:ascii="宋体" w:hAnsi="宋体" w:hint="eastAsia"/>
                <w:b/>
                <w:color w:val="000000"/>
                <w:sz w:val="24"/>
                <w:szCs w:val="24"/>
                <w:lang w:eastAsia="zh-CN"/>
              </w:rPr>
              <w:t>财务状况</w:t>
            </w:r>
          </w:p>
        </w:tc>
        <w:tc>
          <w:tcPr>
            <w:tcW w:w="2835" w:type="dxa"/>
            <w:vAlign w:val="center"/>
          </w:tcPr>
          <w:p w14:paraId="62FC3F8F" w14:textId="77777777" w:rsidR="0069613A" w:rsidRDefault="0069613A">
            <w:pPr>
              <w:keepNext/>
              <w:ind w:left="57" w:right="57"/>
              <w:rPr>
                <w:rFonts w:ascii="宋体" w:hAnsi="宋体"/>
                <w:color w:val="000000"/>
                <w:sz w:val="24"/>
              </w:rPr>
            </w:pPr>
          </w:p>
        </w:tc>
        <w:tc>
          <w:tcPr>
            <w:tcW w:w="2835" w:type="dxa"/>
            <w:vAlign w:val="center"/>
          </w:tcPr>
          <w:p w14:paraId="021F2F83" w14:textId="77777777" w:rsidR="0069613A" w:rsidRDefault="0069613A">
            <w:pPr>
              <w:keepNext/>
              <w:ind w:left="57" w:right="57"/>
              <w:rPr>
                <w:rFonts w:ascii="宋体" w:hAnsi="宋体"/>
                <w:color w:val="000000"/>
                <w:sz w:val="24"/>
              </w:rPr>
            </w:pPr>
          </w:p>
        </w:tc>
        <w:tc>
          <w:tcPr>
            <w:tcW w:w="2977" w:type="dxa"/>
            <w:vAlign w:val="center"/>
          </w:tcPr>
          <w:p w14:paraId="016E70E9" w14:textId="77777777" w:rsidR="0069613A" w:rsidRDefault="0069613A">
            <w:pPr>
              <w:keepNext/>
              <w:ind w:left="57" w:right="57"/>
              <w:rPr>
                <w:rFonts w:ascii="宋体" w:hAnsi="宋体"/>
                <w:color w:val="000000"/>
                <w:sz w:val="24"/>
              </w:rPr>
            </w:pPr>
          </w:p>
        </w:tc>
        <w:tc>
          <w:tcPr>
            <w:tcW w:w="2835" w:type="dxa"/>
            <w:vAlign w:val="center"/>
          </w:tcPr>
          <w:p w14:paraId="04EE5698" w14:textId="77777777" w:rsidR="0069613A" w:rsidRDefault="0069613A">
            <w:pPr>
              <w:keepNext/>
              <w:ind w:left="57" w:right="57"/>
              <w:rPr>
                <w:rFonts w:ascii="宋体" w:hAnsi="宋体"/>
                <w:color w:val="000000"/>
                <w:sz w:val="24"/>
              </w:rPr>
            </w:pPr>
          </w:p>
        </w:tc>
      </w:tr>
      <w:tr w:rsidR="0069613A" w14:paraId="3D77137F" w14:textId="77777777">
        <w:trPr>
          <w:cantSplit/>
          <w:trHeight w:val="520"/>
        </w:trPr>
        <w:tc>
          <w:tcPr>
            <w:tcW w:w="3047" w:type="dxa"/>
            <w:vAlign w:val="center"/>
          </w:tcPr>
          <w:p w14:paraId="3944C2AB"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市场状况</w:t>
            </w:r>
          </w:p>
        </w:tc>
        <w:tc>
          <w:tcPr>
            <w:tcW w:w="2835" w:type="dxa"/>
            <w:vAlign w:val="center"/>
          </w:tcPr>
          <w:p w14:paraId="1DECE8CC"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需求旺盛且处升势</w:t>
            </w:r>
          </w:p>
          <w:p w14:paraId="24ABA950"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进入障碍大</w:t>
            </w:r>
          </w:p>
          <w:p w14:paraId="688B1550"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对技术和经济前景变化不敏感</w:t>
            </w:r>
          </w:p>
        </w:tc>
        <w:tc>
          <w:tcPr>
            <w:tcW w:w="2835" w:type="dxa"/>
            <w:vAlign w:val="center"/>
          </w:tcPr>
          <w:p w14:paraId="3ABD8131"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需求旺盛且稳定</w:t>
            </w:r>
          </w:p>
          <w:p w14:paraId="13121A8E"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存在进入障碍</w:t>
            </w:r>
          </w:p>
          <w:p w14:paraId="389186B0"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对技术和经济前景变化有些敏感</w:t>
            </w:r>
          </w:p>
        </w:tc>
        <w:tc>
          <w:tcPr>
            <w:tcW w:w="2977" w:type="dxa"/>
            <w:vAlign w:val="center"/>
          </w:tcPr>
          <w:p w14:paraId="41E8E441"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需求一般且稳定</w:t>
            </w:r>
          </w:p>
          <w:p w14:paraId="1E89750C"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进入障碍有限</w:t>
            </w:r>
          </w:p>
          <w:p w14:paraId="1A5C0243"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对技术和经济前景变化非常敏感</w:t>
            </w:r>
          </w:p>
        </w:tc>
        <w:tc>
          <w:tcPr>
            <w:tcW w:w="2835" w:type="dxa"/>
            <w:vAlign w:val="center"/>
          </w:tcPr>
          <w:p w14:paraId="56CF80F5"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需求疲弱且不断下降</w:t>
            </w:r>
          </w:p>
          <w:p w14:paraId="71930ED1"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无进入障碍</w:t>
            </w:r>
          </w:p>
          <w:p w14:paraId="31AC63A2"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易受技术和经济前景变化的负面影响，环境高度不确定</w:t>
            </w:r>
          </w:p>
        </w:tc>
      </w:tr>
      <w:tr w:rsidR="0069613A" w14:paraId="5E1F1FE1" w14:textId="77777777">
        <w:trPr>
          <w:cantSplit/>
          <w:trHeight w:val="520"/>
        </w:trPr>
        <w:tc>
          <w:tcPr>
            <w:tcW w:w="3047" w:type="dxa"/>
            <w:vAlign w:val="center"/>
          </w:tcPr>
          <w:p w14:paraId="1C33BA38"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财务比率（偿债保障比率和贷款</w:t>
            </w:r>
            <w:r>
              <w:rPr>
                <w:rFonts w:ascii="宋体" w:hAnsi="宋体"/>
                <w:color w:val="000000"/>
                <w:sz w:val="24"/>
                <w:szCs w:val="24"/>
                <w:lang w:eastAsia="zh-CN"/>
              </w:rPr>
              <w:t>/价值比率）</w:t>
            </w:r>
          </w:p>
        </w:tc>
        <w:tc>
          <w:tcPr>
            <w:tcW w:w="2835" w:type="dxa"/>
            <w:vAlign w:val="center"/>
          </w:tcPr>
          <w:p w14:paraId="077BA9F9"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相对资产类型而言，财务比率健康。经济情况预测非常好</w:t>
            </w:r>
          </w:p>
        </w:tc>
        <w:tc>
          <w:tcPr>
            <w:tcW w:w="2835" w:type="dxa"/>
            <w:vAlign w:val="center"/>
          </w:tcPr>
          <w:p w14:paraId="2E346EB4"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相对资产类型而言，财务比率健康</w:t>
            </w:r>
            <w:r>
              <w:rPr>
                <w:rFonts w:ascii="宋体" w:hAnsi="宋体"/>
                <w:color w:val="000000"/>
                <w:sz w:val="24"/>
                <w:szCs w:val="24"/>
                <w:lang w:eastAsia="zh-CN"/>
              </w:rPr>
              <w:t>/尚可。经济情况预测好</w:t>
            </w:r>
          </w:p>
        </w:tc>
        <w:tc>
          <w:tcPr>
            <w:tcW w:w="2977" w:type="dxa"/>
            <w:vAlign w:val="center"/>
          </w:tcPr>
          <w:p w14:paraId="2C87C08A"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相对资产类型而言，财务比率一般</w:t>
            </w:r>
          </w:p>
        </w:tc>
        <w:tc>
          <w:tcPr>
            <w:tcW w:w="2835" w:type="dxa"/>
            <w:vAlign w:val="center"/>
          </w:tcPr>
          <w:p w14:paraId="6EF23D1B"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相对资产类型而言，财务比率过于冒险</w:t>
            </w:r>
          </w:p>
        </w:tc>
      </w:tr>
      <w:tr w:rsidR="0069613A" w14:paraId="2ADB628E" w14:textId="77777777">
        <w:trPr>
          <w:cantSplit/>
          <w:trHeight w:val="520"/>
        </w:trPr>
        <w:tc>
          <w:tcPr>
            <w:tcW w:w="3047" w:type="dxa"/>
            <w:tcBorders>
              <w:bottom w:val="single" w:sz="4" w:space="0" w:color="auto"/>
            </w:tcBorders>
            <w:vAlign w:val="center"/>
          </w:tcPr>
          <w:p w14:paraId="6B16EA4E"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压力测试</w:t>
            </w:r>
          </w:p>
        </w:tc>
        <w:tc>
          <w:tcPr>
            <w:tcW w:w="2835" w:type="dxa"/>
            <w:tcBorders>
              <w:bottom w:val="single" w:sz="4" w:space="0" w:color="auto"/>
            </w:tcBorders>
            <w:vAlign w:val="center"/>
          </w:tcPr>
          <w:p w14:paraId="69279DEE"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长期收入稳定</w:t>
            </w:r>
          </w:p>
          <w:p w14:paraId="2FE2AD5F"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能够抵御经济周期中出现的严重压力情形</w:t>
            </w:r>
          </w:p>
        </w:tc>
        <w:tc>
          <w:tcPr>
            <w:tcW w:w="2835" w:type="dxa"/>
            <w:tcBorders>
              <w:bottom w:val="single" w:sz="4" w:space="0" w:color="auto"/>
            </w:tcBorders>
            <w:vAlign w:val="center"/>
          </w:tcPr>
          <w:p w14:paraId="2621DD4C"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短期收入较好</w:t>
            </w:r>
          </w:p>
          <w:p w14:paraId="7C336088"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能够抵御一些负面问题。只有出现严重压力情形才可能违约</w:t>
            </w:r>
          </w:p>
        </w:tc>
        <w:tc>
          <w:tcPr>
            <w:tcW w:w="2977" w:type="dxa"/>
            <w:tcBorders>
              <w:bottom w:val="single" w:sz="4" w:space="0" w:color="auto"/>
            </w:tcBorders>
            <w:vAlign w:val="center"/>
          </w:tcPr>
          <w:p w14:paraId="5A0B3CE3"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短期收入不确定</w:t>
            </w:r>
          </w:p>
          <w:p w14:paraId="7C2BB77D"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现金流易受经济周期中常见的压力情形的不利影响。贷款可能在正常的经济低迷期违约</w:t>
            </w:r>
          </w:p>
        </w:tc>
        <w:tc>
          <w:tcPr>
            <w:tcW w:w="2835" w:type="dxa"/>
            <w:tcBorders>
              <w:bottom w:val="single" w:sz="4" w:space="0" w:color="auto"/>
            </w:tcBorders>
            <w:vAlign w:val="center"/>
          </w:tcPr>
          <w:p w14:paraId="342B2D3F"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收入非常不确定</w:t>
            </w:r>
          </w:p>
          <w:p w14:paraId="7773A705"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即使在经济正常的情况下，贷款也可能违约，除非情况发生好转</w:t>
            </w:r>
          </w:p>
        </w:tc>
      </w:tr>
      <w:tr w:rsidR="0069613A" w14:paraId="3D83A809" w14:textId="77777777">
        <w:trPr>
          <w:cantSplit/>
          <w:trHeight w:val="520"/>
        </w:trPr>
        <w:tc>
          <w:tcPr>
            <w:tcW w:w="3047" w:type="dxa"/>
            <w:tcBorders>
              <w:top w:val="single" w:sz="4" w:space="0" w:color="auto"/>
            </w:tcBorders>
            <w:vAlign w:val="center"/>
          </w:tcPr>
          <w:p w14:paraId="3D609F41"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lastRenderedPageBreak/>
              <w:t>市场流动性</w:t>
            </w:r>
          </w:p>
        </w:tc>
        <w:tc>
          <w:tcPr>
            <w:tcW w:w="2835" w:type="dxa"/>
            <w:tcBorders>
              <w:top w:val="single" w:sz="4" w:space="0" w:color="auto"/>
            </w:tcBorders>
            <w:vAlign w:val="center"/>
          </w:tcPr>
          <w:p w14:paraId="3ECA46E5"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市场具有全球性</w:t>
            </w:r>
          </w:p>
          <w:p w14:paraId="710EA790"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资产流动性高</w:t>
            </w:r>
          </w:p>
        </w:tc>
        <w:tc>
          <w:tcPr>
            <w:tcW w:w="2835" w:type="dxa"/>
            <w:tcBorders>
              <w:top w:val="single" w:sz="4" w:space="0" w:color="auto"/>
            </w:tcBorders>
            <w:vAlign w:val="center"/>
          </w:tcPr>
          <w:p w14:paraId="5A3F407D"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市场具有全球性或区域性</w:t>
            </w:r>
          </w:p>
          <w:p w14:paraId="4799DAF2"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资产流动性比较高</w:t>
            </w:r>
          </w:p>
        </w:tc>
        <w:tc>
          <w:tcPr>
            <w:tcW w:w="2977" w:type="dxa"/>
            <w:tcBorders>
              <w:top w:val="single" w:sz="4" w:space="0" w:color="auto"/>
            </w:tcBorders>
            <w:vAlign w:val="center"/>
          </w:tcPr>
          <w:p w14:paraId="74714017"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区域性市场且短期前景不利</w:t>
            </w:r>
          </w:p>
          <w:p w14:paraId="37B4ABD1"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流动性低</w:t>
            </w:r>
          </w:p>
        </w:tc>
        <w:tc>
          <w:tcPr>
            <w:tcW w:w="2835" w:type="dxa"/>
            <w:tcBorders>
              <w:top w:val="single" w:sz="4" w:space="0" w:color="auto"/>
            </w:tcBorders>
            <w:vAlign w:val="center"/>
          </w:tcPr>
          <w:p w14:paraId="29303556"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只有本地市场或前景不佳</w:t>
            </w:r>
          </w:p>
          <w:p w14:paraId="397AF7DD"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流动性低或没有流动性</w:t>
            </w:r>
          </w:p>
        </w:tc>
      </w:tr>
      <w:tr w:rsidR="0069613A" w14:paraId="1A26BFCB" w14:textId="77777777">
        <w:trPr>
          <w:cantSplit/>
          <w:trHeight w:val="372"/>
        </w:trPr>
        <w:tc>
          <w:tcPr>
            <w:tcW w:w="3047" w:type="dxa"/>
            <w:vAlign w:val="center"/>
          </w:tcPr>
          <w:p w14:paraId="7ED2376F" w14:textId="77777777" w:rsidR="0069613A" w:rsidRDefault="00724B0E">
            <w:pPr>
              <w:pStyle w:val="TableRowHeading"/>
              <w:keepNext/>
              <w:spacing w:after="0"/>
              <w:jc w:val="both"/>
              <w:rPr>
                <w:rFonts w:ascii="宋体" w:hAnsi="宋体"/>
                <w:b/>
                <w:color w:val="000000"/>
                <w:sz w:val="24"/>
                <w:szCs w:val="24"/>
                <w:lang w:eastAsia="zh-CN"/>
              </w:rPr>
            </w:pPr>
            <w:r>
              <w:rPr>
                <w:rFonts w:ascii="宋体" w:hAnsi="宋体" w:hint="eastAsia"/>
                <w:b/>
                <w:color w:val="000000"/>
                <w:sz w:val="24"/>
                <w:szCs w:val="24"/>
                <w:lang w:eastAsia="zh-CN"/>
              </w:rPr>
              <w:t>政治和法律环境</w:t>
            </w:r>
          </w:p>
        </w:tc>
        <w:tc>
          <w:tcPr>
            <w:tcW w:w="2835" w:type="dxa"/>
            <w:vAlign w:val="center"/>
          </w:tcPr>
          <w:p w14:paraId="61A5992E" w14:textId="77777777" w:rsidR="0069613A" w:rsidRDefault="0069613A">
            <w:pPr>
              <w:keepNext/>
              <w:ind w:left="57" w:right="57"/>
              <w:rPr>
                <w:rFonts w:ascii="宋体" w:hAnsi="宋体"/>
                <w:color w:val="000000"/>
                <w:sz w:val="24"/>
              </w:rPr>
            </w:pPr>
          </w:p>
        </w:tc>
        <w:tc>
          <w:tcPr>
            <w:tcW w:w="2835" w:type="dxa"/>
            <w:vAlign w:val="center"/>
          </w:tcPr>
          <w:p w14:paraId="28F25D4B" w14:textId="77777777" w:rsidR="0069613A" w:rsidRDefault="0069613A">
            <w:pPr>
              <w:keepNext/>
              <w:ind w:left="57" w:right="57"/>
              <w:rPr>
                <w:rFonts w:ascii="宋体" w:hAnsi="宋体"/>
                <w:color w:val="000000"/>
                <w:sz w:val="24"/>
              </w:rPr>
            </w:pPr>
          </w:p>
        </w:tc>
        <w:tc>
          <w:tcPr>
            <w:tcW w:w="2977" w:type="dxa"/>
            <w:vAlign w:val="center"/>
          </w:tcPr>
          <w:p w14:paraId="74F1C914" w14:textId="77777777" w:rsidR="0069613A" w:rsidRDefault="0069613A">
            <w:pPr>
              <w:keepNext/>
              <w:ind w:left="57" w:right="57"/>
              <w:rPr>
                <w:rFonts w:ascii="宋体" w:hAnsi="宋体"/>
                <w:color w:val="000000"/>
                <w:sz w:val="24"/>
              </w:rPr>
            </w:pPr>
          </w:p>
        </w:tc>
        <w:tc>
          <w:tcPr>
            <w:tcW w:w="2835" w:type="dxa"/>
            <w:vAlign w:val="center"/>
          </w:tcPr>
          <w:p w14:paraId="7ABC055D" w14:textId="77777777" w:rsidR="0069613A" w:rsidRDefault="0069613A">
            <w:pPr>
              <w:keepNext/>
              <w:ind w:left="57" w:right="57"/>
              <w:rPr>
                <w:rFonts w:ascii="宋体" w:hAnsi="宋体"/>
                <w:color w:val="000000"/>
                <w:sz w:val="24"/>
              </w:rPr>
            </w:pPr>
          </w:p>
        </w:tc>
      </w:tr>
      <w:tr w:rsidR="0069613A" w14:paraId="2CF4B164" w14:textId="77777777">
        <w:trPr>
          <w:cantSplit/>
          <w:trHeight w:val="520"/>
        </w:trPr>
        <w:tc>
          <w:tcPr>
            <w:tcW w:w="3047" w:type="dxa"/>
            <w:tcBorders>
              <w:bottom w:val="single" w:sz="4" w:space="0" w:color="auto"/>
            </w:tcBorders>
            <w:vAlign w:val="center"/>
          </w:tcPr>
          <w:p w14:paraId="5B987DBA" w14:textId="77777777" w:rsidR="0069613A" w:rsidRDefault="00724B0E">
            <w:pPr>
              <w:pStyle w:val="TableRowHeading"/>
              <w:spacing w:after="0"/>
              <w:jc w:val="both"/>
              <w:rPr>
                <w:rFonts w:ascii="宋体" w:hAnsi="宋体"/>
                <w:b/>
                <w:color w:val="000000"/>
                <w:sz w:val="24"/>
                <w:szCs w:val="24"/>
                <w:lang w:eastAsia="zh-CN"/>
              </w:rPr>
            </w:pPr>
            <w:r>
              <w:rPr>
                <w:rFonts w:ascii="宋体" w:hAnsi="宋体" w:hint="eastAsia"/>
                <w:color w:val="000000"/>
                <w:sz w:val="24"/>
                <w:szCs w:val="24"/>
                <w:lang w:eastAsia="zh-CN"/>
              </w:rPr>
              <w:t>政治风险，包括风险的转移</w:t>
            </w:r>
          </w:p>
        </w:tc>
        <w:tc>
          <w:tcPr>
            <w:tcW w:w="2835" w:type="dxa"/>
            <w:tcBorders>
              <w:bottom w:val="single" w:sz="4" w:space="0" w:color="auto"/>
            </w:tcBorders>
            <w:vAlign w:val="center"/>
          </w:tcPr>
          <w:p w14:paraId="041C1E24"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非常低，采用的风险缓释工具功能强大</w:t>
            </w:r>
          </w:p>
        </w:tc>
        <w:tc>
          <w:tcPr>
            <w:tcW w:w="2835" w:type="dxa"/>
            <w:tcBorders>
              <w:bottom w:val="single" w:sz="4" w:space="0" w:color="auto"/>
            </w:tcBorders>
            <w:vAlign w:val="center"/>
          </w:tcPr>
          <w:p w14:paraId="45BD0F30"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低，采用的风险缓释工具功能较强</w:t>
            </w:r>
          </w:p>
        </w:tc>
        <w:tc>
          <w:tcPr>
            <w:tcW w:w="2977" w:type="dxa"/>
            <w:tcBorders>
              <w:bottom w:val="single" w:sz="4" w:space="0" w:color="auto"/>
            </w:tcBorders>
            <w:vAlign w:val="center"/>
          </w:tcPr>
          <w:p w14:paraId="00FC828D"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中等，风险缓释工具功能一般</w:t>
            </w:r>
          </w:p>
        </w:tc>
        <w:tc>
          <w:tcPr>
            <w:tcW w:w="2835" w:type="dxa"/>
            <w:tcBorders>
              <w:bottom w:val="single" w:sz="4" w:space="0" w:color="auto"/>
            </w:tcBorders>
            <w:vAlign w:val="center"/>
          </w:tcPr>
          <w:p w14:paraId="72291417"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高，缺乏风险缓释工具或功能差</w:t>
            </w:r>
          </w:p>
        </w:tc>
      </w:tr>
      <w:tr w:rsidR="0069613A" w14:paraId="11448139" w14:textId="77777777">
        <w:trPr>
          <w:cantSplit/>
          <w:trHeight w:val="520"/>
        </w:trPr>
        <w:tc>
          <w:tcPr>
            <w:tcW w:w="3047" w:type="dxa"/>
            <w:tcBorders>
              <w:top w:val="single" w:sz="4" w:space="0" w:color="auto"/>
            </w:tcBorders>
            <w:vAlign w:val="center"/>
          </w:tcPr>
          <w:p w14:paraId="42461215"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法律和监管风险</w:t>
            </w:r>
          </w:p>
        </w:tc>
        <w:tc>
          <w:tcPr>
            <w:tcW w:w="2835" w:type="dxa"/>
            <w:tcBorders>
              <w:top w:val="single" w:sz="4" w:space="0" w:color="auto"/>
            </w:tcBorders>
            <w:vAlign w:val="center"/>
          </w:tcPr>
          <w:p w14:paraId="153097C8"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司法环境有利于物品的收回和合同的强制执行</w:t>
            </w:r>
          </w:p>
        </w:tc>
        <w:tc>
          <w:tcPr>
            <w:tcW w:w="2835" w:type="dxa"/>
            <w:tcBorders>
              <w:top w:val="single" w:sz="4" w:space="0" w:color="auto"/>
            </w:tcBorders>
            <w:vAlign w:val="center"/>
          </w:tcPr>
          <w:p w14:paraId="043B9991"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司法环境有利于物品的收回和合同的强制执行</w:t>
            </w:r>
          </w:p>
        </w:tc>
        <w:tc>
          <w:tcPr>
            <w:tcW w:w="2977" w:type="dxa"/>
            <w:tcBorders>
              <w:top w:val="single" w:sz="4" w:space="0" w:color="auto"/>
            </w:tcBorders>
            <w:vAlign w:val="center"/>
          </w:tcPr>
          <w:p w14:paraId="7D7F1535"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司法环境总体来说有利于物品的收回和合同的强制执行，即使恢复过程可能较长和</w:t>
            </w:r>
            <w:r>
              <w:rPr>
                <w:rFonts w:ascii="宋体" w:hAnsi="宋体"/>
                <w:color w:val="000000"/>
                <w:sz w:val="24"/>
                <w:szCs w:val="24"/>
                <w:lang w:eastAsia="zh-CN"/>
              </w:rPr>
              <w:t>/或较难</w:t>
            </w:r>
          </w:p>
        </w:tc>
        <w:tc>
          <w:tcPr>
            <w:tcW w:w="2835" w:type="dxa"/>
            <w:tcBorders>
              <w:top w:val="single" w:sz="4" w:space="0" w:color="auto"/>
            </w:tcBorders>
            <w:vAlign w:val="center"/>
          </w:tcPr>
          <w:p w14:paraId="0F5D81AD" w14:textId="77777777" w:rsidR="0069613A" w:rsidRDefault="00724B0E">
            <w:pPr>
              <w:pStyle w:val="TableText"/>
              <w:spacing w:after="0"/>
              <w:jc w:val="both"/>
              <w:rPr>
                <w:rFonts w:ascii="宋体" w:hAnsi="宋体"/>
                <w:color w:val="000000"/>
                <w:sz w:val="24"/>
                <w:szCs w:val="24"/>
                <w:lang w:val="en-US" w:eastAsia="zh-CN"/>
              </w:rPr>
            </w:pPr>
            <w:r>
              <w:rPr>
                <w:rFonts w:ascii="宋体" w:hAnsi="宋体" w:hint="eastAsia"/>
                <w:color w:val="000000"/>
                <w:sz w:val="24"/>
                <w:szCs w:val="24"/>
                <w:lang w:eastAsia="zh-CN"/>
              </w:rPr>
              <w:t>法律和监管环境差或不稳定。司法制度使物品收回或合同的执行</w:t>
            </w:r>
            <w:r>
              <w:rPr>
                <w:rFonts w:ascii="宋体" w:hAnsi="宋体" w:hint="eastAsia"/>
                <w:color w:val="000000"/>
                <w:sz w:val="24"/>
                <w:szCs w:val="24"/>
                <w:lang w:val="en-US" w:eastAsia="zh-CN"/>
              </w:rPr>
              <w:t>过程过长或不可能</w:t>
            </w:r>
          </w:p>
        </w:tc>
      </w:tr>
      <w:tr w:rsidR="0069613A" w14:paraId="41ACBD62" w14:textId="77777777">
        <w:trPr>
          <w:cantSplit/>
          <w:trHeight w:val="372"/>
        </w:trPr>
        <w:tc>
          <w:tcPr>
            <w:tcW w:w="3047" w:type="dxa"/>
            <w:vAlign w:val="center"/>
          </w:tcPr>
          <w:p w14:paraId="0C1E241A" w14:textId="77777777" w:rsidR="0069613A" w:rsidRDefault="00724B0E">
            <w:pPr>
              <w:pStyle w:val="TableRowHeading"/>
              <w:keepNext/>
              <w:spacing w:after="0"/>
              <w:jc w:val="both"/>
              <w:rPr>
                <w:rFonts w:ascii="宋体" w:hAnsi="宋体"/>
                <w:b/>
                <w:color w:val="000000"/>
                <w:sz w:val="24"/>
                <w:szCs w:val="24"/>
                <w:lang w:eastAsia="zh-CN"/>
              </w:rPr>
            </w:pPr>
            <w:r>
              <w:rPr>
                <w:rFonts w:ascii="宋体" w:hAnsi="宋体" w:hint="eastAsia"/>
                <w:b/>
                <w:color w:val="000000"/>
                <w:sz w:val="24"/>
                <w:szCs w:val="24"/>
                <w:lang w:eastAsia="zh-CN"/>
              </w:rPr>
              <w:t>交易特点</w:t>
            </w:r>
          </w:p>
        </w:tc>
        <w:tc>
          <w:tcPr>
            <w:tcW w:w="2835" w:type="dxa"/>
            <w:vAlign w:val="center"/>
          </w:tcPr>
          <w:p w14:paraId="7B5BBC5A" w14:textId="77777777" w:rsidR="0069613A" w:rsidRDefault="0069613A">
            <w:pPr>
              <w:pStyle w:val="TableText"/>
              <w:spacing w:after="0"/>
              <w:jc w:val="both"/>
              <w:rPr>
                <w:rFonts w:ascii="宋体" w:hAnsi="宋体"/>
                <w:color w:val="000000"/>
                <w:sz w:val="24"/>
                <w:szCs w:val="24"/>
                <w:lang w:eastAsia="zh-CN"/>
              </w:rPr>
            </w:pPr>
          </w:p>
        </w:tc>
        <w:tc>
          <w:tcPr>
            <w:tcW w:w="2835" w:type="dxa"/>
            <w:vAlign w:val="center"/>
          </w:tcPr>
          <w:p w14:paraId="0955D0C5" w14:textId="77777777" w:rsidR="0069613A" w:rsidRDefault="0069613A">
            <w:pPr>
              <w:pStyle w:val="TableText"/>
              <w:spacing w:after="0"/>
              <w:jc w:val="both"/>
              <w:rPr>
                <w:rFonts w:ascii="宋体" w:hAnsi="宋体"/>
                <w:color w:val="000000"/>
                <w:sz w:val="24"/>
                <w:szCs w:val="24"/>
                <w:lang w:eastAsia="zh-CN"/>
              </w:rPr>
            </w:pPr>
          </w:p>
        </w:tc>
        <w:tc>
          <w:tcPr>
            <w:tcW w:w="2977" w:type="dxa"/>
            <w:vAlign w:val="center"/>
          </w:tcPr>
          <w:p w14:paraId="3C36C3A6" w14:textId="77777777" w:rsidR="0069613A" w:rsidRDefault="0069613A">
            <w:pPr>
              <w:pStyle w:val="TableText"/>
              <w:spacing w:after="0"/>
              <w:jc w:val="both"/>
              <w:rPr>
                <w:rFonts w:ascii="宋体" w:hAnsi="宋体"/>
                <w:color w:val="000000"/>
                <w:sz w:val="24"/>
                <w:szCs w:val="24"/>
                <w:lang w:eastAsia="zh-CN"/>
              </w:rPr>
            </w:pPr>
          </w:p>
        </w:tc>
        <w:tc>
          <w:tcPr>
            <w:tcW w:w="2835" w:type="dxa"/>
            <w:vAlign w:val="center"/>
          </w:tcPr>
          <w:p w14:paraId="1BFC85FB" w14:textId="77777777" w:rsidR="0069613A" w:rsidRDefault="0069613A">
            <w:pPr>
              <w:pStyle w:val="TableText"/>
              <w:spacing w:after="0"/>
              <w:jc w:val="both"/>
              <w:rPr>
                <w:rFonts w:ascii="宋体" w:hAnsi="宋体"/>
                <w:color w:val="000000"/>
                <w:sz w:val="24"/>
                <w:szCs w:val="24"/>
                <w:lang w:eastAsia="zh-CN"/>
              </w:rPr>
            </w:pPr>
          </w:p>
        </w:tc>
      </w:tr>
      <w:tr w:rsidR="0069613A" w14:paraId="65D5BAC4" w14:textId="77777777">
        <w:trPr>
          <w:cantSplit/>
          <w:trHeight w:val="520"/>
        </w:trPr>
        <w:tc>
          <w:tcPr>
            <w:tcW w:w="3047" w:type="dxa"/>
            <w:vAlign w:val="center"/>
          </w:tcPr>
          <w:p w14:paraId="1AEA3238"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与资产经济寿命相应的融资条款</w:t>
            </w:r>
          </w:p>
        </w:tc>
        <w:tc>
          <w:tcPr>
            <w:tcW w:w="2835" w:type="dxa"/>
            <w:vAlign w:val="center"/>
          </w:tcPr>
          <w:p w14:paraId="25954B1D"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完整的支付方案</w:t>
            </w:r>
            <w:r>
              <w:rPr>
                <w:rFonts w:ascii="宋体" w:hAnsi="宋体"/>
                <w:color w:val="000000"/>
                <w:sz w:val="24"/>
                <w:szCs w:val="24"/>
                <w:lang w:eastAsia="zh-CN"/>
              </w:rPr>
              <w:t>/最后一笔分期付款金额很小。无宽限期</w:t>
            </w:r>
          </w:p>
        </w:tc>
        <w:tc>
          <w:tcPr>
            <w:tcW w:w="2835" w:type="dxa"/>
            <w:vAlign w:val="center"/>
          </w:tcPr>
          <w:p w14:paraId="6B6F56EC"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最后一笔分期付款比较重要，但仍保持在适度的水平</w:t>
            </w:r>
          </w:p>
        </w:tc>
        <w:tc>
          <w:tcPr>
            <w:tcW w:w="2977" w:type="dxa"/>
            <w:vAlign w:val="center"/>
          </w:tcPr>
          <w:p w14:paraId="29668F33"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最后一笔分期付款重要，有潜在的宽限期</w:t>
            </w:r>
          </w:p>
        </w:tc>
        <w:tc>
          <w:tcPr>
            <w:tcW w:w="2835" w:type="dxa"/>
            <w:vAlign w:val="center"/>
          </w:tcPr>
          <w:p w14:paraId="5E906DEB"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偿还不利被罚款或最后一笔分期付款非常高</w:t>
            </w:r>
          </w:p>
        </w:tc>
      </w:tr>
      <w:tr w:rsidR="0069613A" w14:paraId="6EF469A7" w14:textId="77777777">
        <w:trPr>
          <w:cantSplit/>
          <w:trHeight w:val="359"/>
        </w:trPr>
        <w:tc>
          <w:tcPr>
            <w:tcW w:w="3047" w:type="dxa"/>
            <w:vAlign w:val="center"/>
          </w:tcPr>
          <w:p w14:paraId="536AEEB5" w14:textId="77777777" w:rsidR="0069613A" w:rsidRDefault="00724B0E">
            <w:pPr>
              <w:pStyle w:val="TableRowHeading"/>
              <w:keepNext/>
              <w:spacing w:after="0"/>
              <w:jc w:val="both"/>
              <w:rPr>
                <w:rFonts w:ascii="宋体" w:hAnsi="宋体"/>
                <w:b/>
                <w:color w:val="000000"/>
                <w:sz w:val="24"/>
                <w:szCs w:val="24"/>
                <w:lang w:eastAsia="zh-CN"/>
              </w:rPr>
            </w:pPr>
            <w:r>
              <w:rPr>
                <w:rFonts w:ascii="宋体" w:hAnsi="宋体" w:hint="eastAsia"/>
                <w:b/>
                <w:color w:val="000000"/>
                <w:sz w:val="24"/>
                <w:szCs w:val="24"/>
                <w:lang w:eastAsia="zh-CN"/>
              </w:rPr>
              <w:t>操作风险</w:t>
            </w:r>
          </w:p>
        </w:tc>
        <w:tc>
          <w:tcPr>
            <w:tcW w:w="2835" w:type="dxa"/>
            <w:vAlign w:val="center"/>
          </w:tcPr>
          <w:p w14:paraId="4854791C" w14:textId="77777777" w:rsidR="0069613A" w:rsidRDefault="0069613A">
            <w:pPr>
              <w:pStyle w:val="TableText"/>
              <w:spacing w:after="0"/>
              <w:jc w:val="both"/>
              <w:rPr>
                <w:rFonts w:ascii="宋体" w:hAnsi="宋体"/>
                <w:b/>
                <w:color w:val="000000"/>
                <w:sz w:val="24"/>
                <w:szCs w:val="24"/>
                <w:lang w:eastAsia="zh-CN"/>
              </w:rPr>
            </w:pPr>
          </w:p>
        </w:tc>
        <w:tc>
          <w:tcPr>
            <w:tcW w:w="2835" w:type="dxa"/>
            <w:vAlign w:val="center"/>
          </w:tcPr>
          <w:p w14:paraId="6BB6FB77" w14:textId="77777777" w:rsidR="0069613A" w:rsidRDefault="0069613A">
            <w:pPr>
              <w:pStyle w:val="TableText"/>
              <w:spacing w:after="0"/>
              <w:jc w:val="both"/>
              <w:rPr>
                <w:rFonts w:ascii="宋体" w:hAnsi="宋体"/>
                <w:b/>
                <w:color w:val="000000"/>
                <w:sz w:val="24"/>
                <w:szCs w:val="24"/>
                <w:lang w:eastAsia="zh-CN"/>
              </w:rPr>
            </w:pPr>
          </w:p>
        </w:tc>
        <w:tc>
          <w:tcPr>
            <w:tcW w:w="2977" w:type="dxa"/>
            <w:vAlign w:val="center"/>
          </w:tcPr>
          <w:p w14:paraId="65D9EB54" w14:textId="77777777" w:rsidR="0069613A" w:rsidRDefault="0069613A">
            <w:pPr>
              <w:pStyle w:val="TableText"/>
              <w:spacing w:after="0"/>
              <w:jc w:val="both"/>
              <w:rPr>
                <w:rFonts w:ascii="宋体" w:hAnsi="宋体"/>
                <w:b/>
                <w:color w:val="000000"/>
                <w:sz w:val="24"/>
                <w:szCs w:val="24"/>
                <w:lang w:eastAsia="zh-CN"/>
              </w:rPr>
            </w:pPr>
          </w:p>
        </w:tc>
        <w:tc>
          <w:tcPr>
            <w:tcW w:w="2835" w:type="dxa"/>
            <w:vAlign w:val="center"/>
          </w:tcPr>
          <w:p w14:paraId="7425F351" w14:textId="77777777" w:rsidR="0069613A" w:rsidRDefault="0069613A">
            <w:pPr>
              <w:pStyle w:val="TableText"/>
              <w:spacing w:after="0"/>
              <w:jc w:val="both"/>
              <w:rPr>
                <w:rFonts w:ascii="宋体" w:hAnsi="宋体"/>
                <w:b/>
                <w:color w:val="000000"/>
                <w:sz w:val="24"/>
                <w:szCs w:val="24"/>
                <w:lang w:eastAsia="zh-CN"/>
              </w:rPr>
            </w:pPr>
          </w:p>
        </w:tc>
      </w:tr>
      <w:tr w:rsidR="0069613A" w14:paraId="2364BD8E" w14:textId="77777777">
        <w:trPr>
          <w:cantSplit/>
          <w:trHeight w:val="520"/>
        </w:trPr>
        <w:tc>
          <w:tcPr>
            <w:tcW w:w="3047" w:type="dxa"/>
            <w:vAlign w:val="center"/>
          </w:tcPr>
          <w:p w14:paraId="318615FE"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批文</w:t>
            </w:r>
            <w:r>
              <w:rPr>
                <w:rFonts w:ascii="宋体" w:hAnsi="宋体"/>
                <w:color w:val="000000"/>
                <w:sz w:val="24"/>
                <w:szCs w:val="24"/>
                <w:lang w:eastAsia="zh-CN"/>
              </w:rPr>
              <w:t>/许可</w:t>
            </w:r>
          </w:p>
        </w:tc>
        <w:tc>
          <w:tcPr>
            <w:tcW w:w="2835" w:type="dxa"/>
            <w:vAlign w:val="center"/>
          </w:tcPr>
          <w:p w14:paraId="00068187" w14:textId="77777777" w:rsidR="0069613A" w:rsidRDefault="00724B0E">
            <w:pPr>
              <w:pStyle w:val="TableText"/>
              <w:keepNext w:val="0"/>
              <w:spacing w:after="0"/>
              <w:jc w:val="both"/>
              <w:rPr>
                <w:rFonts w:ascii="宋体" w:hAnsi="宋体"/>
                <w:color w:val="000000"/>
                <w:sz w:val="24"/>
                <w:szCs w:val="24"/>
                <w:lang w:eastAsia="zh-CN"/>
              </w:rPr>
            </w:pPr>
            <w:r>
              <w:rPr>
                <w:rFonts w:ascii="宋体" w:hAnsi="宋体" w:hint="eastAsia"/>
                <w:color w:val="000000"/>
                <w:sz w:val="24"/>
                <w:szCs w:val="24"/>
                <w:lang w:eastAsia="zh-CN"/>
              </w:rPr>
              <w:t>已获得全部批文，资产符合当前和可预见的稳健监管法规的规定</w:t>
            </w:r>
          </w:p>
        </w:tc>
        <w:tc>
          <w:tcPr>
            <w:tcW w:w="2835" w:type="dxa"/>
            <w:vAlign w:val="center"/>
          </w:tcPr>
          <w:p w14:paraId="14A3B9C4" w14:textId="77777777" w:rsidR="0069613A" w:rsidRDefault="00724B0E">
            <w:pPr>
              <w:pStyle w:val="TableText"/>
              <w:keepNext w:val="0"/>
              <w:spacing w:after="0"/>
              <w:jc w:val="both"/>
              <w:rPr>
                <w:rFonts w:ascii="宋体" w:hAnsi="宋体"/>
                <w:color w:val="000000"/>
                <w:sz w:val="24"/>
                <w:szCs w:val="24"/>
                <w:lang w:eastAsia="zh-CN"/>
              </w:rPr>
            </w:pPr>
            <w:r>
              <w:rPr>
                <w:rFonts w:ascii="宋体" w:hAnsi="宋体" w:hint="eastAsia"/>
                <w:color w:val="000000"/>
                <w:sz w:val="24"/>
                <w:szCs w:val="24"/>
                <w:lang w:eastAsia="zh-CN"/>
              </w:rPr>
              <w:t>全部批文已获得或正待批复，资产符合当前和可预见的稳健监管法规的规定</w:t>
            </w:r>
          </w:p>
        </w:tc>
        <w:tc>
          <w:tcPr>
            <w:tcW w:w="2977" w:type="dxa"/>
            <w:vAlign w:val="center"/>
          </w:tcPr>
          <w:p w14:paraId="681A3DA3" w14:textId="77777777" w:rsidR="0069613A" w:rsidRDefault="00724B0E">
            <w:pPr>
              <w:pStyle w:val="TableText"/>
              <w:keepNext w:val="0"/>
              <w:spacing w:after="0"/>
              <w:jc w:val="both"/>
              <w:rPr>
                <w:rFonts w:ascii="宋体" w:hAnsi="宋体"/>
                <w:color w:val="000000"/>
                <w:sz w:val="24"/>
                <w:szCs w:val="24"/>
                <w:lang w:eastAsia="zh-CN"/>
              </w:rPr>
            </w:pPr>
            <w:r>
              <w:rPr>
                <w:rFonts w:ascii="宋体" w:hAnsi="宋体" w:hint="eastAsia"/>
                <w:color w:val="000000"/>
                <w:sz w:val="24"/>
                <w:szCs w:val="24"/>
                <w:lang w:eastAsia="zh-CN"/>
              </w:rPr>
              <w:t>大多数批文已获得或正待批复，资产符合当前和可预见的稳健监管法规的规定</w:t>
            </w:r>
          </w:p>
        </w:tc>
        <w:tc>
          <w:tcPr>
            <w:tcW w:w="2835" w:type="dxa"/>
            <w:vAlign w:val="center"/>
          </w:tcPr>
          <w:p w14:paraId="51BB8EDE" w14:textId="77777777" w:rsidR="0069613A" w:rsidRDefault="00724B0E">
            <w:pPr>
              <w:pStyle w:val="TableText"/>
              <w:keepNext w:val="0"/>
              <w:spacing w:after="0"/>
              <w:jc w:val="both"/>
              <w:rPr>
                <w:rFonts w:ascii="宋体" w:hAnsi="宋体"/>
                <w:color w:val="000000"/>
                <w:sz w:val="24"/>
                <w:szCs w:val="24"/>
                <w:lang w:eastAsia="zh-CN"/>
              </w:rPr>
            </w:pPr>
            <w:r>
              <w:rPr>
                <w:rFonts w:ascii="宋体" w:hAnsi="宋体" w:hint="eastAsia"/>
                <w:color w:val="000000"/>
                <w:sz w:val="24"/>
                <w:szCs w:val="24"/>
                <w:lang w:eastAsia="zh-CN"/>
              </w:rPr>
              <w:t>在获得所有必要审批事项上存在问题。部分配置计划和</w:t>
            </w:r>
            <w:r>
              <w:rPr>
                <w:rFonts w:ascii="宋体" w:hAnsi="宋体"/>
                <w:color w:val="000000"/>
                <w:sz w:val="24"/>
                <w:szCs w:val="24"/>
                <w:lang w:eastAsia="zh-CN"/>
              </w:rPr>
              <w:t>/或营运计划可能需要修改</w:t>
            </w:r>
          </w:p>
        </w:tc>
      </w:tr>
      <w:tr w:rsidR="0069613A" w14:paraId="07A6AB8D" w14:textId="77777777">
        <w:trPr>
          <w:cantSplit/>
          <w:trHeight w:val="520"/>
        </w:trPr>
        <w:tc>
          <w:tcPr>
            <w:tcW w:w="3047" w:type="dxa"/>
            <w:vAlign w:val="center"/>
          </w:tcPr>
          <w:p w14:paraId="6AC8C16E"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营运与维护合同的范围和性质</w:t>
            </w:r>
          </w:p>
        </w:tc>
        <w:tc>
          <w:tcPr>
            <w:tcW w:w="2835" w:type="dxa"/>
            <w:vAlign w:val="center"/>
          </w:tcPr>
          <w:p w14:paraId="32B198CA"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完备的长期营运与维护合同，最好配合合同履约激励措施和</w:t>
            </w:r>
            <w:r>
              <w:rPr>
                <w:rFonts w:ascii="宋体" w:hAnsi="宋体"/>
                <w:color w:val="000000"/>
                <w:sz w:val="24"/>
                <w:szCs w:val="24"/>
                <w:lang w:eastAsia="zh-CN"/>
              </w:rPr>
              <w:t>/或营运与维护储备金账户（如有需要）</w:t>
            </w:r>
          </w:p>
        </w:tc>
        <w:tc>
          <w:tcPr>
            <w:tcW w:w="2835" w:type="dxa"/>
            <w:vAlign w:val="center"/>
          </w:tcPr>
          <w:p w14:paraId="623F52B9"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长期营运与维护合同和</w:t>
            </w:r>
            <w:r>
              <w:rPr>
                <w:rFonts w:ascii="宋体" w:hAnsi="宋体"/>
                <w:color w:val="000000"/>
                <w:sz w:val="24"/>
                <w:szCs w:val="24"/>
                <w:lang w:eastAsia="zh-CN"/>
              </w:rPr>
              <w:t>/或营运与维护储备金账户（如有需要）</w:t>
            </w:r>
          </w:p>
        </w:tc>
        <w:tc>
          <w:tcPr>
            <w:tcW w:w="2977" w:type="dxa"/>
            <w:vAlign w:val="center"/>
          </w:tcPr>
          <w:p w14:paraId="32557F24"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不完备的营运与维护合同或营运与维护储备金账户（如有需要）</w:t>
            </w:r>
          </w:p>
        </w:tc>
        <w:tc>
          <w:tcPr>
            <w:tcW w:w="2835" w:type="dxa"/>
            <w:vAlign w:val="center"/>
          </w:tcPr>
          <w:p w14:paraId="14FB4C31"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缺乏营运与维护合同：营运成本风险过高，风险缓释作用有限</w:t>
            </w:r>
          </w:p>
        </w:tc>
      </w:tr>
      <w:tr w:rsidR="0069613A" w14:paraId="3684D6FC" w14:textId="77777777">
        <w:trPr>
          <w:cantSplit/>
          <w:trHeight w:val="520"/>
        </w:trPr>
        <w:tc>
          <w:tcPr>
            <w:tcW w:w="3047" w:type="dxa"/>
            <w:vAlign w:val="center"/>
          </w:tcPr>
          <w:p w14:paraId="200FF918"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lastRenderedPageBreak/>
              <w:t>营运商的财务实力、同类资产的管理业绩和对租赁期满资产的再次营销能力</w:t>
            </w:r>
          </w:p>
        </w:tc>
        <w:tc>
          <w:tcPr>
            <w:tcW w:w="2835" w:type="dxa"/>
            <w:vAlign w:val="center"/>
          </w:tcPr>
          <w:p w14:paraId="1FD3E264"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业绩和再营销能力出众</w:t>
            </w:r>
          </w:p>
        </w:tc>
        <w:tc>
          <w:tcPr>
            <w:tcW w:w="2835" w:type="dxa"/>
            <w:vAlign w:val="center"/>
          </w:tcPr>
          <w:p w14:paraId="1EA0D38C"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业绩和再营销能力良好</w:t>
            </w:r>
          </w:p>
        </w:tc>
        <w:tc>
          <w:tcPr>
            <w:tcW w:w="2977" w:type="dxa"/>
            <w:vAlign w:val="center"/>
          </w:tcPr>
          <w:p w14:paraId="1AE064B3"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业绩短、差，再营销能力不确定</w:t>
            </w:r>
          </w:p>
        </w:tc>
        <w:tc>
          <w:tcPr>
            <w:tcW w:w="2835" w:type="dxa"/>
            <w:vAlign w:val="center"/>
          </w:tcPr>
          <w:p w14:paraId="2D83DB67"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业绩无或不为人知，缺乏资产再营销能力</w:t>
            </w:r>
          </w:p>
        </w:tc>
      </w:tr>
      <w:tr w:rsidR="0069613A" w14:paraId="346B0424" w14:textId="77777777">
        <w:trPr>
          <w:cantSplit/>
          <w:trHeight w:val="520"/>
        </w:trPr>
        <w:tc>
          <w:tcPr>
            <w:tcW w:w="3047" w:type="dxa"/>
            <w:vAlign w:val="center"/>
          </w:tcPr>
          <w:p w14:paraId="21384FD9" w14:textId="77777777" w:rsidR="0069613A" w:rsidRDefault="00724B0E">
            <w:pPr>
              <w:pStyle w:val="TableRowHeading"/>
              <w:keepNext/>
              <w:spacing w:after="0"/>
              <w:jc w:val="both"/>
              <w:rPr>
                <w:rFonts w:ascii="宋体" w:hAnsi="宋体"/>
                <w:b/>
                <w:color w:val="000000"/>
                <w:sz w:val="24"/>
                <w:szCs w:val="24"/>
                <w:lang w:eastAsia="zh-CN"/>
              </w:rPr>
            </w:pPr>
            <w:r>
              <w:rPr>
                <w:rFonts w:ascii="宋体" w:hAnsi="宋体" w:hint="eastAsia"/>
                <w:b/>
                <w:color w:val="000000"/>
                <w:sz w:val="24"/>
                <w:szCs w:val="24"/>
                <w:lang w:eastAsia="zh-CN"/>
              </w:rPr>
              <w:t>资产特征</w:t>
            </w:r>
          </w:p>
        </w:tc>
        <w:tc>
          <w:tcPr>
            <w:tcW w:w="2835" w:type="dxa"/>
            <w:vAlign w:val="center"/>
          </w:tcPr>
          <w:p w14:paraId="085C0A8E" w14:textId="77777777" w:rsidR="0069613A" w:rsidRDefault="0069613A">
            <w:pPr>
              <w:pStyle w:val="TableText"/>
              <w:spacing w:after="0"/>
              <w:jc w:val="both"/>
              <w:rPr>
                <w:rFonts w:ascii="宋体" w:hAnsi="宋体"/>
                <w:color w:val="000000"/>
                <w:sz w:val="24"/>
                <w:szCs w:val="24"/>
                <w:lang w:eastAsia="zh-CN"/>
              </w:rPr>
            </w:pPr>
          </w:p>
        </w:tc>
        <w:tc>
          <w:tcPr>
            <w:tcW w:w="2835" w:type="dxa"/>
            <w:vAlign w:val="center"/>
          </w:tcPr>
          <w:p w14:paraId="4E0DB171" w14:textId="77777777" w:rsidR="0069613A" w:rsidRDefault="0069613A">
            <w:pPr>
              <w:pStyle w:val="TableText"/>
              <w:spacing w:after="0"/>
              <w:jc w:val="both"/>
              <w:rPr>
                <w:rFonts w:ascii="宋体" w:hAnsi="宋体"/>
                <w:color w:val="000000"/>
                <w:sz w:val="24"/>
                <w:szCs w:val="24"/>
                <w:lang w:eastAsia="zh-CN"/>
              </w:rPr>
            </w:pPr>
          </w:p>
        </w:tc>
        <w:tc>
          <w:tcPr>
            <w:tcW w:w="2977" w:type="dxa"/>
            <w:vAlign w:val="center"/>
          </w:tcPr>
          <w:p w14:paraId="7E5D1D4E" w14:textId="77777777" w:rsidR="0069613A" w:rsidRDefault="0069613A">
            <w:pPr>
              <w:pStyle w:val="TableText"/>
              <w:spacing w:after="0"/>
              <w:jc w:val="both"/>
              <w:rPr>
                <w:rFonts w:ascii="宋体" w:hAnsi="宋体"/>
                <w:color w:val="000000"/>
                <w:sz w:val="24"/>
                <w:szCs w:val="24"/>
                <w:lang w:eastAsia="zh-CN"/>
              </w:rPr>
            </w:pPr>
          </w:p>
        </w:tc>
        <w:tc>
          <w:tcPr>
            <w:tcW w:w="2835" w:type="dxa"/>
            <w:vAlign w:val="center"/>
          </w:tcPr>
          <w:p w14:paraId="553A30B2" w14:textId="77777777" w:rsidR="0069613A" w:rsidRDefault="0069613A">
            <w:pPr>
              <w:pStyle w:val="TableText"/>
              <w:spacing w:after="0"/>
              <w:jc w:val="both"/>
              <w:rPr>
                <w:rFonts w:ascii="宋体" w:hAnsi="宋体"/>
                <w:color w:val="000000"/>
                <w:sz w:val="24"/>
                <w:szCs w:val="24"/>
                <w:lang w:eastAsia="zh-CN"/>
              </w:rPr>
            </w:pPr>
          </w:p>
        </w:tc>
      </w:tr>
      <w:tr w:rsidR="0069613A" w14:paraId="105666D4" w14:textId="77777777">
        <w:trPr>
          <w:cantSplit/>
          <w:trHeight w:val="520"/>
        </w:trPr>
        <w:tc>
          <w:tcPr>
            <w:tcW w:w="3047" w:type="dxa"/>
            <w:vAlign w:val="center"/>
          </w:tcPr>
          <w:p w14:paraId="088AAD00"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与同一市场资产相比，配置、型号、设计和维修（如飞机的使用年限和型号）方面的情况</w:t>
            </w:r>
          </w:p>
        </w:tc>
        <w:tc>
          <w:tcPr>
            <w:tcW w:w="2835" w:type="dxa"/>
            <w:vAlign w:val="center"/>
          </w:tcPr>
          <w:p w14:paraId="4B1B9D42"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在设计和维修上拥有很强的优势，配置标准，物品符合上市流通要求</w:t>
            </w:r>
          </w:p>
        </w:tc>
        <w:tc>
          <w:tcPr>
            <w:tcW w:w="2835" w:type="dxa"/>
            <w:vAlign w:val="center"/>
          </w:tcPr>
          <w:p w14:paraId="7D6CD905"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设计和维修中等偏上，配置标准，但可能存在非常有限的一些例外情况，物品符合上市流通需要</w:t>
            </w:r>
          </w:p>
        </w:tc>
        <w:tc>
          <w:tcPr>
            <w:tcW w:w="2977" w:type="dxa"/>
            <w:vAlign w:val="center"/>
          </w:tcPr>
          <w:p w14:paraId="53CE922C"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设计和维修一般，配置有些特殊，可能使物品在市场上流通受限</w:t>
            </w:r>
          </w:p>
        </w:tc>
        <w:tc>
          <w:tcPr>
            <w:tcW w:w="2835" w:type="dxa"/>
            <w:vAlign w:val="center"/>
          </w:tcPr>
          <w:p w14:paraId="36CA777A"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设计和维修差，资产接近经济使用寿命。配置非常特殊，物品的市场流动性差</w:t>
            </w:r>
          </w:p>
        </w:tc>
      </w:tr>
      <w:tr w:rsidR="0069613A" w14:paraId="07B5452E" w14:textId="77777777">
        <w:trPr>
          <w:cantSplit/>
          <w:trHeight w:val="520"/>
        </w:trPr>
        <w:tc>
          <w:tcPr>
            <w:tcW w:w="3047" w:type="dxa"/>
            <w:vAlign w:val="center"/>
          </w:tcPr>
          <w:p w14:paraId="5DB38EE2"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转售价值</w:t>
            </w:r>
          </w:p>
        </w:tc>
        <w:tc>
          <w:tcPr>
            <w:tcW w:w="2835" w:type="dxa"/>
            <w:vAlign w:val="center"/>
          </w:tcPr>
          <w:p w14:paraId="4C7D52F6"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当前的转售价值大大高于债务价值</w:t>
            </w:r>
          </w:p>
        </w:tc>
        <w:tc>
          <w:tcPr>
            <w:tcW w:w="2835" w:type="dxa"/>
            <w:vAlign w:val="center"/>
          </w:tcPr>
          <w:p w14:paraId="7EE47F8E"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转售价值适度高于债务价值</w:t>
            </w:r>
          </w:p>
        </w:tc>
        <w:tc>
          <w:tcPr>
            <w:tcW w:w="2977" w:type="dxa"/>
            <w:vAlign w:val="center"/>
          </w:tcPr>
          <w:p w14:paraId="1EFE62C6"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转售价值略高于债务价值</w:t>
            </w:r>
          </w:p>
        </w:tc>
        <w:tc>
          <w:tcPr>
            <w:tcW w:w="2835" w:type="dxa"/>
            <w:vAlign w:val="center"/>
          </w:tcPr>
          <w:p w14:paraId="202006E5"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转售价值低于债务价值</w:t>
            </w:r>
          </w:p>
        </w:tc>
      </w:tr>
      <w:tr w:rsidR="0069613A" w14:paraId="7D8C6818" w14:textId="77777777">
        <w:trPr>
          <w:cantSplit/>
          <w:trHeight w:val="520"/>
        </w:trPr>
        <w:tc>
          <w:tcPr>
            <w:tcW w:w="3047" w:type="dxa"/>
            <w:vAlign w:val="center"/>
          </w:tcPr>
          <w:p w14:paraId="502B9BD9"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资产价值及流动性相对于经济周期的敏感程度</w:t>
            </w:r>
          </w:p>
        </w:tc>
        <w:tc>
          <w:tcPr>
            <w:tcW w:w="2835" w:type="dxa"/>
            <w:vAlign w:val="center"/>
          </w:tcPr>
          <w:p w14:paraId="3406BF21"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资产价值及流动性相对经济周期较不敏感</w:t>
            </w:r>
          </w:p>
        </w:tc>
        <w:tc>
          <w:tcPr>
            <w:tcW w:w="2835" w:type="dxa"/>
            <w:vAlign w:val="center"/>
          </w:tcPr>
          <w:p w14:paraId="01DF3307"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资产价值及流动性相对经济周期敏感</w:t>
            </w:r>
          </w:p>
        </w:tc>
        <w:tc>
          <w:tcPr>
            <w:tcW w:w="2977" w:type="dxa"/>
            <w:vAlign w:val="center"/>
          </w:tcPr>
          <w:p w14:paraId="6AB54571"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资产价值及流动性相对经济周期相当敏感</w:t>
            </w:r>
          </w:p>
        </w:tc>
        <w:tc>
          <w:tcPr>
            <w:tcW w:w="2835" w:type="dxa"/>
            <w:vAlign w:val="center"/>
          </w:tcPr>
          <w:p w14:paraId="4735FF35"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资产价值及流动性相对经济周期的敏感度非常高</w:t>
            </w:r>
          </w:p>
        </w:tc>
      </w:tr>
      <w:tr w:rsidR="0069613A" w14:paraId="713AEAF8" w14:textId="77777777">
        <w:trPr>
          <w:cantSplit/>
          <w:trHeight w:val="520"/>
        </w:trPr>
        <w:tc>
          <w:tcPr>
            <w:tcW w:w="3047" w:type="dxa"/>
            <w:vAlign w:val="center"/>
          </w:tcPr>
          <w:p w14:paraId="0E826ABD" w14:textId="77777777" w:rsidR="0069613A" w:rsidRDefault="00724B0E">
            <w:pPr>
              <w:pStyle w:val="TableRowHeading"/>
              <w:keepNext/>
              <w:spacing w:after="0"/>
              <w:jc w:val="both"/>
              <w:rPr>
                <w:rFonts w:ascii="宋体" w:hAnsi="宋体"/>
                <w:b/>
                <w:color w:val="000000"/>
                <w:sz w:val="24"/>
                <w:szCs w:val="24"/>
                <w:lang w:eastAsia="zh-CN"/>
              </w:rPr>
            </w:pPr>
            <w:r>
              <w:rPr>
                <w:rFonts w:ascii="宋体" w:hAnsi="宋体" w:hint="eastAsia"/>
                <w:b/>
                <w:color w:val="000000"/>
                <w:sz w:val="24"/>
                <w:szCs w:val="24"/>
                <w:lang w:eastAsia="zh-CN"/>
              </w:rPr>
              <w:t>发起人实力</w:t>
            </w:r>
          </w:p>
        </w:tc>
        <w:tc>
          <w:tcPr>
            <w:tcW w:w="2835" w:type="dxa"/>
            <w:vAlign w:val="center"/>
          </w:tcPr>
          <w:p w14:paraId="3C459E9D" w14:textId="77777777" w:rsidR="0069613A" w:rsidRDefault="0069613A">
            <w:pPr>
              <w:pStyle w:val="TableText"/>
              <w:spacing w:after="0"/>
              <w:jc w:val="both"/>
              <w:rPr>
                <w:rFonts w:ascii="宋体" w:hAnsi="宋体"/>
                <w:color w:val="000000"/>
                <w:sz w:val="24"/>
                <w:szCs w:val="24"/>
                <w:lang w:eastAsia="zh-CN"/>
              </w:rPr>
            </w:pPr>
          </w:p>
        </w:tc>
        <w:tc>
          <w:tcPr>
            <w:tcW w:w="2835" w:type="dxa"/>
            <w:vAlign w:val="center"/>
          </w:tcPr>
          <w:p w14:paraId="55E2D197" w14:textId="77777777" w:rsidR="0069613A" w:rsidRDefault="0069613A">
            <w:pPr>
              <w:pStyle w:val="TableText"/>
              <w:spacing w:after="0"/>
              <w:jc w:val="both"/>
              <w:rPr>
                <w:rFonts w:ascii="宋体" w:hAnsi="宋体"/>
                <w:color w:val="000000"/>
                <w:sz w:val="24"/>
                <w:szCs w:val="24"/>
                <w:lang w:eastAsia="zh-CN"/>
              </w:rPr>
            </w:pPr>
          </w:p>
        </w:tc>
        <w:tc>
          <w:tcPr>
            <w:tcW w:w="2977" w:type="dxa"/>
            <w:vAlign w:val="center"/>
          </w:tcPr>
          <w:p w14:paraId="798F5E8D" w14:textId="77777777" w:rsidR="0069613A" w:rsidRDefault="0069613A">
            <w:pPr>
              <w:pStyle w:val="TableText"/>
              <w:spacing w:after="0"/>
              <w:jc w:val="both"/>
              <w:rPr>
                <w:rFonts w:ascii="宋体" w:hAnsi="宋体"/>
                <w:color w:val="000000"/>
                <w:sz w:val="24"/>
                <w:szCs w:val="24"/>
                <w:lang w:eastAsia="zh-CN"/>
              </w:rPr>
            </w:pPr>
          </w:p>
        </w:tc>
        <w:tc>
          <w:tcPr>
            <w:tcW w:w="2835" w:type="dxa"/>
            <w:vAlign w:val="center"/>
          </w:tcPr>
          <w:p w14:paraId="0C2B391E" w14:textId="77777777" w:rsidR="0069613A" w:rsidRDefault="0069613A">
            <w:pPr>
              <w:pStyle w:val="TableText"/>
              <w:spacing w:after="0"/>
              <w:jc w:val="both"/>
              <w:rPr>
                <w:rFonts w:ascii="宋体" w:hAnsi="宋体"/>
                <w:color w:val="000000"/>
                <w:sz w:val="24"/>
                <w:szCs w:val="24"/>
                <w:lang w:eastAsia="zh-CN"/>
              </w:rPr>
            </w:pPr>
          </w:p>
        </w:tc>
      </w:tr>
      <w:tr w:rsidR="0069613A" w14:paraId="6FE3A70C" w14:textId="77777777">
        <w:trPr>
          <w:cantSplit/>
          <w:trHeight w:val="520"/>
        </w:trPr>
        <w:tc>
          <w:tcPr>
            <w:tcW w:w="3047" w:type="dxa"/>
            <w:vAlign w:val="center"/>
          </w:tcPr>
          <w:p w14:paraId="7C551956"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营运商的财务实力、同类资产的管理业绩和对租赁期满资产的再次营销能力</w:t>
            </w:r>
          </w:p>
        </w:tc>
        <w:tc>
          <w:tcPr>
            <w:tcW w:w="2835" w:type="dxa"/>
            <w:vAlign w:val="center"/>
          </w:tcPr>
          <w:p w14:paraId="67B9F226"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业绩和再营销能力出众</w:t>
            </w:r>
          </w:p>
        </w:tc>
        <w:tc>
          <w:tcPr>
            <w:tcW w:w="2835" w:type="dxa"/>
            <w:vAlign w:val="center"/>
          </w:tcPr>
          <w:p w14:paraId="638B8A06"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业绩和再营销能力良好</w:t>
            </w:r>
          </w:p>
        </w:tc>
        <w:tc>
          <w:tcPr>
            <w:tcW w:w="2977" w:type="dxa"/>
            <w:vAlign w:val="center"/>
          </w:tcPr>
          <w:p w14:paraId="7B3AE96F"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业绩短、差，再营销能力不确定</w:t>
            </w:r>
          </w:p>
        </w:tc>
        <w:tc>
          <w:tcPr>
            <w:tcW w:w="2835" w:type="dxa"/>
            <w:vAlign w:val="center"/>
          </w:tcPr>
          <w:p w14:paraId="1E1A3EB0"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业绩无或不为人知，缺乏资产再营销能力</w:t>
            </w:r>
          </w:p>
        </w:tc>
      </w:tr>
      <w:tr w:rsidR="0069613A" w14:paraId="3285BFB6" w14:textId="77777777">
        <w:trPr>
          <w:cantSplit/>
          <w:trHeight w:val="520"/>
        </w:trPr>
        <w:tc>
          <w:tcPr>
            <w:tcW w:w="3047" w:type="dxa"/>
            <w:vAlign w:val="center"/>
          </w:tcPr>
          <w:p w14:paraId="0B8C71A5"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发起人的业绩和财务实力</w:t>
            </w:r>
          </w:p>
        </w:tc>
        <w:tc>
          <w:tcPr>
            <w:tcW w:w="2835" w:type="dxa"/>
            <w:vAlign w:val="center"/>
          </w:tcPr>
          <w:p w14:paraId="25F08B34"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发起人业绩出众，财力强盛</w:t>
            </w:r>
          </w:p>
        </w:tc>
        <w:tc>
          <w:tcPr>
            <w:tcW w:w="2835" w:type="dxa"/>
            <w:vAlign w:val="center"/>
          </w:tcPr>
          <w:p w14:paraId="18190F94"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发起人业绩和财力优良</w:t>
            </w:r>
          </w:p>
        </w:tc>
        <w:tc>
          <w:tcPr>
            <w:tcW w:w="2977" w:type="dxa"/>
            <w:vAlign w:val="center"/>
          </w:tcPr>
          <w:p w14:paraId="14775166"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发起人业绩一般，财力优良</w:t>
            </w:r>
          </w:p>
        </w:tc>
        <w:tc>
          <w:tcPr>
            <w:tcW w:w="2835" w:type="dxa"/>
            <w:vAlign w:val="center"/>
          </w:tcPr>
          <w:p w14:paraId="407A651C"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发起人业绩无或值得怀疑及</w:t>
            </w:r>
            <w:r>
              <w:rPr>
                <w:rFonts w:ascii="宋体" w:hAnsi="宋体"/>
                <w:color w:val="000000"/>
                <w:sz w:val="24"/>
                <w:szCs w:val="24"/>
                <w:lang w:eastAsia="zh-CN"/>
              </w:rPr>
              <w:t>/或财力微弱</w:t>
            </w:r>
          </w:p>
        </w:tc>
      </w:tr>
      <w:tr w:rsidR="0069613A" w14:paraId="29EEF31A" w14:textId="77777777">
        <w:trPr>
          <w:cantSplit/>
          <w:trHeight w:val="520"/>
        </w:trPr>
        <w:tc>
          <w:tcPr>
            <w:tcW w:w="3047" w:type="dxa"/>
            <w:vAlign w:val="center"/>
          </w:tcPr>
          <w:p w14:paraId="5018691B" w14:textId="77777777" w:rsidR="0069613A" w:rsidRDefault="00724B0E">
            <w:pPr>
              <w:pStyle w:val="TableRowHeading"/>
              <w:keepNext/>
              <w:spacing w:after="0"/>
              <w:jc w:val="both"/>
              <w:rPr>
                <w:rFonts w:ascii="宋体" w:hAnsi="宋体"/>
                <w:b/>
                <w:color w:val="000000"/>
                <w:sz w:val="24"/>
                <w:szCs w:val="24"/>
                <w:lang w:eastAsia="zh-CN"/>
              </w:rPr>
            </w:pPr>
            <w:r>
              <w:rPr>
                <w:rFonts w:ascii="宋体" w:hAnsi="宋体" w:hint="eastAsia"/>
                <w:b/>
                <w:color w:val="000000"/>
                <w:sz w:val="24"/>
                <w:szCs w:val="24"/>
                <w:lang w:eastAsia="zh-CN"/>
              </w:rPr>
              <w:lastRenderedPageBreak/>
              <w:t>担保安排</w:t>
            </w:r>
          </w:p>
        </w:tc>
        <w:tc>
          <w:tcPr>
            <w:tcW w:w="2835" w:type="dxa"/>
            <w:vAlign w:val="center"/>
          </w:tcPr>
          <w:p w14:paraId="53850F4B" w14:textId="77777777" w:rsidR="0069613A" w:rsidRDefault="0069613A">
            <w:pPr>
              <w:keepNext/>
              <w:rPr>
                <w:rFonts w:ascii="宋体" w:hAnsi="宋体"/>
                <w:color w:val="000000"/>
                <w:sz w:val="24"/>
              </w:rPr>
            </w:pPr>
          </w:p>
        </w:tc>
        <w:tc>
          <w:tcPr>
            <w:tcW w:w="2835" w:type="dxa"/>
            <w:vAlign w:val="center"/>
          </w:tcPr>
          <w:p w14:paraId="32A88BF6" w14:textId="77777777" w:rsidR="0069613A" w:rsidRDefault="0069613A">
            <w:pPr>
              <w:keepNext/>
              <w:rPr>
                <w:rFonts w:ascii="宋体" w:hAnsi="宋体"/>
                <w:color w:val="000000"/>
                <w:sz w:val="24"/>
              </w:rPr>
            </w:pPr>
          </w:p>
        </w:tc>
        <w:tc>
          <w:tcPr>
            <w:tcW w:w="2977" w:type="dxa"/>
            <w:vAlign w:val="center"/>
          </w:tcPr>
          <w:p w14:paraId="070E1C6F" w14:textId="77777777" w:rsidR="0069613A" w:rsidRDefault="0069613A">
            <w:pPr>
              <w:keepNext/>
              <w:rPr>
                <w:rFonts w:ascii="宋体" w:hAnsi="宋体"/>
                <w:color w:val="000000"/>
                <w:sz w:val="24"/>
              </w:rPr>
            </w:pPr>
          </w:p>
        </w:tc>
        <w:tc>
          <w:tcPr>
            <w:tcW w:w="2835" w:type="dxa"/>
            <w:vAlign w:val="center"/>
          </w:tcPr>
          <w:p w14:paraId="43658D6A" w14:textId="77777777" w:rsidR="0069613A" w:rsidRDefault="0069613A">
            <w:pPr>
              <w:keepNext/>
              <w:rPr>
                <w:rFonts w:ascii="宋体" w:hAnsi="宋体"/>
                <w:color w:val="000000"/>
                <w:sz w:val="24"/>
              </w:rPr>
            </w:pPr>
          </w:p>
        </w:tc>
      </w:tr>
      <w:tr w:rsidR="0069613A" w14:paraId="624FC94D" w14:textId="77777777">
        <w:trPr>
          <w:cantSplit/>
          <w:trHeight w:val="520"/>
        </w:trPr>
        <w:tc>
          <w:tcPr>
            <w:tcW w:w="3047" w:type="dxa"/>
            <w:vAlign w:val="center"/>
          </w:tcPr>
          <w:p w14:paraId="4EF0ECE2"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资产控制</w:t>
            </w:r>
          </w:p>
        </w:tc>
        <w:tc>
          <w:tcPr>
            <w:tcW w:w="2835" w:type="dxa"/>
            <w:vAlign w:val="center"/>
          </w:tcPr>
          <w:p w14:paraId="0BBC7C09"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法律文件保障贷款人对资产或拥有此资产的公司实施有效控制（例如拥有材料完备的优先担保权益，或租赁框架中包含此担保品）</w:t>
            </w:r>
          </w:p>
        </w:tc>
        <w:tc>
          <w:tcPr>
            <w:tcW w:w="2835" w:type="dxa"/>
            <w:vAlign w:val="center"/>
          </w:tcPr>
          <w:p w14:paraId="58EF2841"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法律文件保障贷款人对资产或拥有此资产的公司实施有效控制（例如拥有材料完备的担保权益，或租赁框架中包含此担保品）</w:t>
            </w:r>
          </w:p>
        </w:tc>
        <w:tc>
          <w:tcPr>
            <w:tcW w:w="2977" w:type="dxa"/>
            <w:vAlign w:val="center"/>
          </w:tcPr>
          <w:p w14:paraId="69E82E49"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法律文件保障贷款人对资产或拥有此资产的公司实施有效控制（例如拥有材料完备的担保权益，或租赁框架中包含此担保品）</w:t>
            </w:r>
          </w:p>
        </w:tc>
        <w:tc>
          <w:tcPr>
            <w:tcW w:w="2835" w:type="dxa"/>
            <w:vAlign w:val="center"/>
          </w:tcPr>
          <w:p w14:paraId="0B449D36"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合同几乎未规定向贷款人提供担保，造成对资产丧失控制的风险</w:t>
            </w:r>
          </w:p>
        </w:tc>
      </w:tr>
      <w:tr w:rsidR="0069613A" w14:paraId="36BE2859" w14:textId="77777777">
        <w:trPr>
          <w:cantSplit/>
          <w:trHeight w:val="520"/>
        </w:trPr>
        <w:tc>
          <w:tcPr>
            <w:tcW w:w="3047" w:type="dxa"/>
            <w:vAlign w:val="center"/>
          </w:tcPr>
          <w:p w14:paraId="29EA8104"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贷款人拥有的监控资产场所和状况的权利和手段</w:t>
            </w:r>
          </w:p>
        </w:tc>
        <w:tc>
          <w:tcPr>
            <w:tcW w:w="2835" w:type="dxa"/>
            <w:vAlign w:val="center"/>
          </w:tcPr>
          <w:p w14:paraId="24643B77"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贷款人能够在任何时间任何地点监控资产的场所和状况（定期报告、检查的可能性）</w:t>
            </w:r>
          </w:p>
        </w:tc>
        <w:tc>
          <w:tcPr>
            <w:tcW w:w="2835" w:type="dxa"/>
            <w:vAlign w:val="center"/>
          </w:tcPr>
          <w:p w14:paraId="344A02DF"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贷款人几乎能够在任何时间任何地点监控资产的场所和状况</w:t>
            </w:r>
          </w:p>
        </w:tc>
        <w:tc>
          <w:tcPr>
            <w:tcW w:w="2977" w:type="dxa"/>
            <w:vAlign w:val="center"/>
          </w:tcPr>
          <w:p w14:paraId="165CF929"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贷款人能够在任何时间任何地点监控资产的场所和状况</w:t>
            </w:r>
          </w:p>
        </w:tc>
        <w:tc>
          <w:tcPr>
            <w:tcW w:w="2835" w:type="dxa"/>
            <w:vAlign w:val="center"/>
          </w:tcPr>
          <w:p w14:paraId="07CF4CB3"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贷款人仅能够有限监控资产的场所和状况</w:t>
            </w:r>
          </w:p>
        </w:tc>
      </w:tr>
      <w:tr w:rsidR="0069613A" w14:paraId="3858A63F" w14:textId="77777777">
        <w:trPr>
          <w:cantSplit/>
          <w:trHeight w:val="520"/>
        </w:trPr>
        <w:tc>
          <w:tcPr>
            <w:tcW w:w="3047" w:type="dxa"/>
            <w:vAlign w:val="center"/>
          </w:tcPr>
          <w:p w14:paraId="381EB673"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损害保险</w:t>
            </w:r>
          </w:p>
        </w:tc>
        <w:tc>
          <w:tcPr>
            <w:tcW w:w="2835" w:type="dxa"/>
            <w:vAlign w:val="center"/>
          </w:tcPr>
          <w:p w14:paraId="0D4A24A2"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向顶级保险公司投保</w:t>
            </w:r>
          </w:p>
          <w:p w14:paraId="706C1FEF"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保险额高</w:t>
            </w:r>
          </w:p>
          <w:p w14:paraId="7F11FFCB"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包括担保品损害保险</w:t>
            </w:r>
          </w:p>
        </w:tc>
        <w:tc>
          <w:tcPr>
            <w:tcW w:w="2835" w:type="dxa"/>
            <w:vAlign w:val="center"/>
          </w:tcPr>
          <w:p w14:paraId="708F0535"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向优质保险公司投保</w:t>
            </w:r>
          </w:p>
          <w:p w14:paraId="39C7A2D6"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保险额较高</w:t>
            </w:r>
          </w:p>
          <w:p w14:paraId="3ABECAD4"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不包括担保品损害保险</w:t>
            </w:r>
          </w:p>
        </w:tc>
        <w:tc>
          <w:tcPr>
            <w:tcW w:w="2977" w:type="dxa"/>
            <w:vAlign w:val="center"/>
          </w:tcPr>
          <w:p w14:paraId="4477EDBF"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向一般保险公司投保</w:t>
            </w:r>
          </w:p>
          <w:p w14:paraId="47E8A435"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保险额一般</w:t>
            </w:r>
          </w:p>
          <w:p w14:paraId="42F06DB4"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不包括担保品损害保险</w:t>
            </w:r>
          </w:p>
        </w:tc>
        <w:tc>
          <w:tcPr>
            <w:tcW w:w="2835" w:type="dxa"/>
            <w:vAlign w:val="center"/>
          </w:tcPr>
          <w:p w14:paraId="1CAD742D"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向差的保险公司投保</w:t>
            </w:r>
          </w:p>
          <w:p w14:paraId="454E9766"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保险额低</w:t>
            </w:r>
          </w:p>
          <w:p w14:paraId="7312EE9B"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不包括担保品损害保险</w:t>
            </w:r>
          </w:p>
        </w:tc>
      </w:tr>
    </w:tbl>
    <w:p w14:paraId="3BEE9521" w14:textId="77777777" w:rsidR="0069613A" w:rsidRDefault="0069613A"/>
    <w:p w14:paraId="4ADBEF73" w14:textId="77777777" w:rsidR="0069613A" w:rsidRDefault="00724B0E">
      <w:pPr>
        <w:numPr>
          <w:ilvl w:val="3"/>
          <w:numId w:val="0"/>
        </w:numPr>
        <w:tabs>
          <w:tab w:val="left" w:pos="567"/>
        </w:tabs>
        <w:adjustRightInd w:val="0"/>
        <w:snapToGrid w:val="0"/>
        <w:spacing w:afterLines="50" w:after="120" w:line="480" w:lineRule="exact"/>
        <w:jc w:val="center"/>
        <w:rPr>
          <w:rFonts w:ascii="楷体_GB2312" w:eastAsia="楷体_GB2312" w:hAnsi="Calibri"/>
          <w:b/>
          <w:sz w:val="28"/>
          <w:szCs w:val="30"/>
        </w:rPr>
      </w:pPr>
      <w:r>
        <w:rPr>
          <w:rFonts w:ascii="楷体_GB2312" w:eastAsia="楷体_GB2312" w:hAnsi="Calibri" w:hint="eastAsia"/>
          <w:b/>
          <w:sz w:val="28"/>
          <w:szCs w:val="30"/>
        </w:rPr>
        <w:t>表3</w:t>
      </w:r>
      <w:r>
        <w:rPr>
          <w:rFonts w:ascii="楷体_GB2312" w:eastAsia="楷体_GB2312" w:hAnsi="Calibri"/>
          <w:b/>
          <w:sz w:val="28"/>
          <w:szCs w:val="30"/>
        </w:rPr>
        <w:t xml:space="preserve"> </w:t>
      </w:r>
      <w:r>
        <w:rPr>
          <w:rFonts w:ascii="楷体_GB2312" w:eastAsia="楷体_GB2312" w:hAnsi="Calibri" w:hint="eastAsia"/>
          <w:b/>
          <w:sz w:val="28"/>
          <w:szCs w:val="30"/>
        </w:rPr>
        <w:t>商品融资的监管评级标准</w:t>
      </w:r>
    </w:p>
    <w:p w14:paraId="727DEE29" w14:textId="77777777" w:rsidR="0069613A" w:rsidRDefault="0069613A">
      <w:pPr>
        <w:pStyle w:val="ab"/>
        <w:tabs>
          <w:tab w:val="clear" w:pos="4536"/>
          <w:tab w:val="clear" w:pos="9072"/>
        </w:tabs>
        <w:spacing w:line="40" w:lineRule="exact"/>
        <w:rPr>
          <w:rFonts w:ascii="宋体" w:hAnsi="宋体"/>
          <w:color w:val="00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7"/>
        <w:gridCol w:w="2835"/>
        <w:gridCol w:w="2835"/>
        <w:gridCol w:w="2977"/>
        <w:gridCol w:w="2835"/>
      </w:tblGrid>
      <w:tr w:rsidR="0069613A" w14:paraId="7D34AB1A" w14:textId="77777777">
        <w:trPr>
          <w:cantSplit/>
          <w:trHeight w:val="340"/>
          <w:tblHeader/>
        </w:trPr>
        <w:tc>
          <w:tcPr>
            <w:tcW w:w="3047" w:type="dxa"/>
            <w:vAlign w:val="center"/>
          </w:tcPr>
          <w:p w14:paraId="64267D80" w14:textId="77777777" w:rsidR="0069613A" w:rsidRDefault="0069613A">
            <w:pPr>
              <w:pStyle w:val="TableText"/>
              <w:spacing w:after="0"/>
              <w:jc w:val="both"/>
              <w:rPr>
                <w:rFonts w:ascii="宋体" w:hAnsi="宋体"/>
                <w:b/>
                <w:color w:val="000000"/>
                <w:sz w:val="24"/>
                <w:szCs w:val="24"/>
                <w:lang w:eastAsia="zh-CN"/>
              </w:rPr>
            </w:pPr>
          </w:p>
        </w:tc>
        <w:tc>
          <w:tcPr>
            <w:tcW w:w="2835" w:type="dxa"/>
            <w:vAlign w:val="center"/>
          </w:tcPr>
          <w:p w14:paraId="33A972D7" w14:textId="77777777" w:rsidR="0069613A" w:rsidRDefault="00724B0E">
            <w:pPr>
              <w:pStyle w:val="TableText"/>
              <w:spacing w:after="0"/>
              <w:jc w:val="center"/>
              <w:rPr>
                <w:rFonts w:ascii="宋体" w:hAnsi="宋体"/>
                <w:color w:val="000000"/>
                <w:sz w:val="24"/>
                <w:szCs w:val="24"/>
                <w:lang w:eastAsia="zh-CN"/>
              </w:rPr>
            </w:pPr>
            <w:r>
              <w:rPr>
                <w:rFonts w:ascii="宋体" w:hAnsi="宋体" w:hint="eastAsia"/>
                <w:color w:val="000000"/>
                <w:sz w:val="24"/>
                <w:szCs w:val="24"/>
                <w:lang w:eastAsia="zh-CN"/>
              </w:rPr>
              <w:t>优</w:t>
            </w:r>
          </w:p>
        </w:tc>
        <w:tc>
          <w:tcPr>
            <w:tcW w:w="2835" w:type="dxa"/>
            <w:vAlign w:val="center"/>
          </w:tcPr>
          <w:p w14:paraId="06A765B2" w14:textId="77777777" w:rsidR="0069613A" w:rsidRDefault="00724B0E">
            <w:pPr>
              <w:pStyle w:val="TableText"/>
              <w:spacing w:after="0"/>
              <w:jc w:val="center"/>
              <w:rPr>
                <w:rFonts w:ascii="宋体" w:hAnsi="宋体"/>
                <w:color w:val="000000"/>
                <w:sz w:val="24"/>
                <w:szCs w:val="24"/>
                <w:lang w:eastAsia="zh-CN"/>
              </w:rPr>
            </w:pPr>
            <w:r>
              <w:rPr>
                <w:rFonts w:ascii="宋体" w:hAnsi="宋体" w:hint="eastAsia"/>
                <w:color w:val="000000"/>
                <w:sz w:val="24"/>
                <w:szCs w:val="24"/>
                <w:lang w:eastAsia="zh-CN"/>
              </w:rPr>
              <w:t>良</w:t>
            </w:r>
          </w:p>
        </w:tc>
        <w:tc>
          <w:tcPr>
            <w:tcW w:w="2977" w:type="dxa"/>
            <w:vAlign w:val="center"/>
          </w:tcPr>
          <w:p w14:paraId="5EF50AFE" w14:textId="77777777" w:rsidR="0069613A" w:rsidRDefault="00724B0E">
            <w:pPr>
              <w:pStyle w:val="TableText"/>
              <w:spacing w:after="0"/>
              <w:jc w:val="center"/>
              <w:rPr>
                <w:rFonts w:ascii="宋体" w:hAnsi="宋体"/>
                <w:color w:val="000000"/>
                <w:sz w:val="24"/>
                <w:szCs w:val="24"/>
                <w:lang w:eastAsia="zh-CN"/>
              </w:rPr>
            </w:pPr>
            <w:r>
              <w:rPr>
                <w:rFonts w:ascii="宋体" w:hAnsi="宋体" w:hint="eastAsia"/>
                <w:color w:val="000000"/>
                <w:sz w:val="24"/>
                <w:szCs w:val="24"/>
                <w:lang w:eastAsia="zh-CN"/>
              </w:rPr>
              <w:t>中</w:t>
            </w:r>
          </w:p>
        </w:tc>
        <w:tc>
          <w:tcPr>
            <w:tcW w:w="2835" w:type="dxa"/>
            <w:vAlign w:val="center"/>
          </w:tcPr>
          <w:p w14:paraId="79B3AE5A" w14:textId="77777777" w:rsidR="0069613A" w:rsidRDefault="00724B0E">
            <w:pPr>
              <w:pStyle w:val="TableText"/>
              <w:spacing w:after="0"/>
              <w:jc w:val="center"/>
              <w:rPr>
                <w:rFonts w:ascii="宋体" w:hAnsi="宋体"/>
                <w:color w:val="000000"/>
                <w:sz w:val="24"/>
                <w:szCs w:val="24"/>
                <w:lang w:eastAsia="zh-CN"/>
              </w:rPr>
            </w:pPr>
            <w:r>
              <w:rPr>
                <w:rFonts w:ascii="宋体" w:hAnsi="宋体" w:hint="eastAsia"/>
                <w:color w:val="000000"/>
                <w:sz w:val="24"/>
                <w:szCs w:val="24"/>
                <w:lang w:eastAsia="zh-CN"/>
              </w:rPr>
              <w:t>差</w:t>
            </w:r>
          </w:p>
        </w:tc>
      </w:tr>
      <w:tr w:rsidR="0069613A" w14:paraId="3F6A6AEB" w14:textId="77777777">
        <w:trPr>
          <w:cantSplit/>
          <w:trHeight w:val="340"/>
        </w:trPr>
        <w:tc>
          <w:tcPr>
            <w:tcW w:w="3047" w:type="dxa"/>
            <w:vAlign w:val="center"/>
          </w:tcPr>
          <w:p w14:paraId="689500C0" w14:textId="77777777" w:rsidR="0069613A" w:rsidRDefault="00724B0E">
            <w:pPr>
              <w:pStyle w:val="TableRowHeading"/>
              <w:keepNext/>
              <w:spacing w:after="0"/>
              <w:jc w:val="both"/>
              <w:rPr>
                <w:rFonts w:ascii="宋体" w:hAnsi="宋体"/>
                <w:b/>
                <w:color w:val="000000"/>
                <w:sz w:val="24"/>
                <w:szCs w:val="24"/>
                <w:lang w:eastAsia="zh-CN"/>
              </w:rPr>
            </w:pPr>
            <w:r>
              <w:rPr>
                <w:rFonts w:ascii="宋体" w:hAnsi="宋体" w:hint="eastAsia"/>
                <w:b/>
                <w:color w:val="000000"/>
                <w:sz w:val="24"/>
                <w:szCs w:val="24"/>
                <w:lang w:eastAsia="zh-CN"/>
              </w:rPr>
              <w:t>财务状况</w:t>
            </w:r>
          </w:p>
        </w:tc>
        <w:tc>
          <w:tcPr>
            <w:tcW w:w="2835" w:type="dxa"/>
            <w:vAlign w:val="center"/>
          </w:tcPr>
          <w:p w14:paraId="374AACC7" w14:textId="77777777" w:rsidR="0069613A" w:rsidRDefault="0069613A">
            <w:pPr>
              <w:pStyle w:val="TableText"/>
              <w:spacing w:after="0"/>
              <w:jc w:val="both"/>
              <w:rPr>
                <w:rFonts w:ascii="宋体" w:hAnsi="宋体"/>
                <w:color w:val="000000"/>
                <w:sz w:val="24"/>
                <w:szCs w:val="24"/>
                <w:lang w:eastAsia="zh-CN"/>
              </w:rPr>
            </w:pPr>
          </w:p>
        </w:tc>
        <w:tc>
          <w:tcPr>
            <w:tcW w:w="2835" w:type="dxa"/>
            <w:vAlign w:val="center"/>
          </w:tcPr>
          <w:p w14:paraId="46D31EC4" w14:textId="77777777" w:rsidR="0069613A" w:rsidRDefault="0069613A">
            <w:pPr>
              <w:pStyle w:val="TableText"/>
              <w:spacing w:after="0"/>
              <w:jc w:val="both"/>
              <w:rPr>
                <w:rFonts w:ascii="宋体" w:hAnsi="宋体"/>
                <w:color w:val="000000"/>
                <w:sz w:val="24"/>
                <w:szCs w:val="24"/>
                <w:lang w:eastAsia="zh-CN"/>
              </w:rPr>
            </w:pPr>
          </w:p>
        </w:tc>
        <w:tc>
          <w:tcPr>
            <w:tcW w:w="2977" w:type="dxa"/>
            <w:vAlign w:val="center"/>
          </w:tcPr>
          <w:p w14:paraId="2C502231" w14:textId="77777777" w:rsidR="0069613A" w:rsidRDefault="0069613A">
            <w:pPr>
              <w:pStyle w:val="TableText"/>
              <w:spacing w:after="0"/>
              <w:jc w:val="both"/>
              <w:rPr>
                <w:rFonts w:ascii="宋体" w:hAnsi="宋体"/>
                <w:color w:val="000000"/>
                <w:sz w:val="24"/>
                <w:szCs w:val="24"/>
                <w:lang w:eastAsia="zh-CN"/>
              </w:rPr>
            </w:pPr>
          </w:p>
        </w:tc>
        <w:tc>
          <w:tcPr>
            <w:tcW w:w="2835" w:type="dxa"/>
            <w:vAlign w:val="center"/>
          </w:tcPr>
          <w:p w14:paraId="193C753D" w14:textId="77777777" w:rsidR="0069613A" w:rsidRDefault="0069613A">
            <w:pPr>
              <w:pStyle w:val="TableText"/>
              <w:spacing w:after="0"/>
              <w:jc w:val="both"/>
              <w:rPr>
                <w:rFonts w:ascii="宋体" w:hAnsi="宋体"/>
                <w:color w:val="000000"/>
                <w:sz w:val="24"/>
                <w:szCs w:val="24"/>
                <w:lang w:eastAsia="zh-CN"/>
              </w:rPr>
            </w:pPr>
          </w:p>
        </w:tc>
      </w:tr>
      <w:tr w:rsidR="0069613A" w14:paraId="08FC960F" w14:textId="77777777">
        <w:trPr>
          <w:cantSplit/>
          <w:trHeight w:val="340"/>
        </w:trPr>
        <w:tc>
          <w:tcPr>
            <w:tcW w:w="3047" w:type="dxa"/>
            <w:vAlign w:val="center"/>
          </w:tcPr>
          <w:p w14:paraId="70949754"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交易的超额担保程度</w:t>
            </w:r>
          </w:p>
        </w:tc>
        <w:tc>
          <w:tcPr>
            <w:tcW w:w="2835" w:type="dxa"/>
            <w:vAlign w:val="center"/>
          </w:tcPr>
          <w:p w14:paraId="0F7E692E"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优</w:t>
            </w:r>
          </w:p>
        </w:tc>
        <w:tc>
          <w:tcPr>
            <w:tcW w:w="2835" w:type="dxa"/>
            <w:vAlign w:val="center"/>
          </w:tcPr>
          <w:p w14:paraId="7F95C055"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良</w:t>
            </w:r>
          </w:p>
        </w:tc>
        <w:tc>
          <w:tcPr>
            <w:tcW w:w="2977" w:type="dxa"/>
            <w:vAlign w:val="center"/>
          </w:tcPr>
          <w:p w14:paraId="2F0066AE" w14:textId="77777777" w:rsidR="0069613A" w:rsidRDefault="00724B0E">
            <w:pPr>
              <w:pStyle w:val="TableText"/>
              <w:spacing w:after="0"/>
              <w:jc w:val="both"/>
              <w:rPr>
                <w:rFonts w:ascii="宋体" w:hAnsi="宋体"/>
                <w:color w:val="000000"/>
                <w:sz w:val="24"/>
                <w:szCs w:val="24"/>
                <w:lang w:eastAsia="zh-CN"/>
              </w:rPr>
            </w:pPr>
            <w:r>
              <w:rPr>
                <w:rFonts w:ascii="宋体" w:hAnsi="宋体"/>
                <w:color w:val="000000"/>
                <w:sz w:val="24"/>
                <w:szCs w:val="24"/>
              </w:rPr>
              <w:t xml:space="preserve"> </w:t>
            </w:r>
            <w:r>
              <w:rPr>
                <w:rFonts w:ascii="宋体" w:hAnsi="宋体" w:hint="eastAsia"/>
                <w:color w:val="000000"/>
                <w:sz w:val="24"/>
                <w:szCs w:val="24"/>
                <w:lang w:eastAsia="zh-CN"/>
              </w:rPr>
              <w:t>中</w:t>
            </w:r>
          </w:p>
        </w:tc>
        <w:tc>
          <w:tcPr>
            <w:tcW w:w="2835" w:type="dxa"/>
            <w:vAlign w:val="center"/>
          </w:tcPr>
          <w:p w14:paraId="3D6FE6F8"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差</w:t>
            </w:r>
          </w:p>
        </w:tc>
      </w:tr>
      <w:tr w:rsidR="0069613A" w14:paraId="79AFC114" w14:textId="77777777">
        <w:trPr>
          <w:cantSplit/>
          <w:trHeight w:val="340"/>
        </w:trPr>
        <w:tc>
          <w:tcPr>
            <w:tcW w:w="3047" w:type="dxa"/>
            <w:vAlign w:val="center"/>
          </w:tcPr>
          <w:p w14:paraId="5D156862" w14:textId="77777777" w:rsidR="0069613A" w:rsidRDefault="00724B0E">
            <w:pPr>
              <w:pStyle w:val="TableRowHeading"/>
              <w:keepNext/>
              <w:spacing w:after="0"/>
              <w:jc w:val="both"/>
              <w:rPr>
                <w:rFonts w:ascii="宋体" w:hAnsi="宋体"/>
                <w:b/>
                <w:color w:val="000000"/>
                <w:sz w:val="24"/>
                <w:szCs w:val="24"/>
                <w:lang w:eastAsia="zh-CN"/>
              </w:rPr>
            </w:pPr>
            <w:r>
              <w:rPr>
                <w:rFonts w:ascii="宋体" w:hAnsi="宋体" w:hint="eastAsia"/>
                <w:b/>
                <w:color w:val="000000"/>
                <w:sz w:val="24"/>
                <w:szCs w:val="24"/>
                <w:lang w:eastAsia="zh-CN"/>
              </w:rPr>
              <w:t>政治和法律环境</w:t>
            </w:r>
          </w:p>
        </w:tc>
        <w:tc>
          <w:tcPr>
            <w:tcW w:w="2835" w:type="dxa"/>
            <w:vAlign w:val="center"/>
          </w:tcPr>
          <w:p w14:paraId="19525484" w14:textId="77777777" w:rsidR="0069613A" w:rsidRDefault="0069613A">
            <w:pPr>
              <w:pStyle w:val="TableText"/>
              <w:spacing w:after="0"/>
              <w:jc w:val="both"/>
              <w:rPr>
                <w:rFonts w:ascii="宋体" w:hAnsi="宋体"/>
                <w:color w:val="000000"/>
                <w:sz w:val="24"/>
                <w:szCs w:val="24"/>
                <w:lang w:eastAsia="zh-CN"/>
              </w:rPr>
            </w:pPr>
          </w:p>
        </w:tc>
        <w:tc>
          <w:tcPr>
            <w:tcW w:w="2835" w:type="dxa"/>
            <w:vAlign w:val="center"/>
          </w:tcPr>
          <w:p w14:paraId="0681086D" w14:textId="77777777" w:rsidR="0069613A" w:rsidRDefault="0069613A">
            <w:pPr>
              <w:pStyle w:val="TableText"/>
              <w:spacing w:after="0"/>
              <w:jc w:val="both"/>
              <w:rPr>
                <w:rFonts w:ascii="宋体" w:hAnsi="宋体"/>
                <w:color w:val="000000"/>
                <w:sz w:val="24"/>
                <w:szCs w:val="24"/>
                <w:lang w:eastAsia="zh-CN"/>
              </w:rPr>
            </w:pPr>
          </w:p>
        </w:tc>
        <w:tc>
          <w:tcPr>
            <w:tcW w:w="2977" w:type="dxa"/>
            <w:vAlign w:val="center"/>
          </w:tcPr>
          <w:p w14:paraId="1F2CE11E" w14:textId="77777777" w:rsidR="0069613A" w:rsidRDefault="0069613A">
            <w:pPr>
              <w:pStyle w:val="TableText"/>
              <w:spacing w:after="0"/>
              <w:jc w:val="both"/>
              <w:rPr>
                <w:rFonts w:ascii="宋体" w:hAnsi="宋体"/>
                <w:color w:val="000000"/>
                <w:sz w:val="24"/>
                <w:szCs w:val="24"/>
                <w:lang w:eastAsia="zh-CN"/>
              </w:rPr>
            </w:pPr>
          </w:p>
        </w:tc>
        <w:tc>
          <w:tcPr>
            <w:tcW w:w="2835" w:type="dxa"/>
            <w:vAlign w:val="center"/>
          </w:tcPr>
          <w:p w14:paraId="17C4F320" w14:textId="77777777" w:rsidR="0069613A" w:rsidRDefault="0069613A">
            <w:pPr>
              <w:pStyle w:val="TableText"/>
              <w:spacing w:after="0"/>
              <w:jc w:val="both"/>
              <w:rPr>
                <w:rFonts w:ascii="宋体" w:hAnsi="宋体"/>
                <w:color w:val="000000"/>
                <w:sz w:val="24"/>
                <w:szCs w:val="24"/>
                <w:lang w:eastAsia="zh-CN"/>
              </w:rPr>
            </w:pPr>
          </w:p>
        </w:tc>
      </w:tr>
      <w:tr w:rsidR="0069613A" w14:paraId="52A70DCE" w14:textId="77777777">
        <w:trPr>
          <w:cantSplit/>
          <w:trHeight w:val="340"/>
        </w:trPr>
        <w:tc>
          <w:tcPr>
            <w:tcW w:w="3047" w:type="dxa"/>
            <w:vAlign w:val="center"/>
          </w:tcPr>
          <w:p w14:paraId="668F0DC8"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国家风险</w:t>
            </w:r>
          </w:p>
        </w:tc>
        <w:tc>
          <w:tcPr>
            <w:tcW w:w="2835" w:type="dxa"/>
            <w:vAlign w:val="center"/>
          </w:tcPr>
          <w:p w14:paraId="191092B1" w14:textId="77777777" w:rsidR="0069613A" w:rsidRDefault="00724B0E">
            <w:pPr>
              <w:pStyle w:val="TableText"/>
              <w:spacing w:after="0"/>
              <w:jc w:val="both"/>
              <w:rPr>
                <w:rFonts w:ascii="宋体" w:hAnsi="宋体"/>
                <w:color w:val="000000"/>
                <w:sz w:val="24"/>
                <w:szCs w:val="24"/>
                <w:lang w:eastAsia="zh-CN"/>
              </w:rPr>
            </w:pPr>
            <w:proofErr w:type="spellStart"/>
            <w:r>
              <w:rPr>
                <w:rFonts w:ascii="宋体" w:hAnsi="宋体" w:hint="eastAsia"/>
                <w:color w:val="000000"/>
                <w:sz w:val="24"/>
                <w:szCs w:val="24"/>
              </w:rPr>
              <w:t>没有国家风险</w:t>
            </w:r>
            <w:proofErr w:type="spellEnd"/>
          </w:p>
        </w:tc>
        <w:tc>
          <w:tcPr>
            <w:tcW w:w="2835" w:type="dxa"/>
            <w:vAlign w:val="center"/>
          </w:tcPr>
          <w:p w14:paraId="2BD84C65"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有限的国家风险（特别是新兴市场国家的储备在境外离岸存放）</w:t>
            </w:r>
          </w:p>
        </w:tc>
        <w:tc>
          <w:tcPr>
            <w:tcW w:w="2977" w:type="dxa"/>
            <w:vAlign w:val="center"/>
          </w:tcPr>
          <w:p w14:paraId="23F78C18"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有国家风险（特别是新兴市场国家的储备在境外离岸存放）</w:t>
            </w:r>
          </w:p>
        </w:tc>
        <w:tc>
          <w:tcPr>
            <w:tcW w:w="2835" w:type="dxa"/>
            <w:vAlign w:val="center"/>
          </w:tcPr>
          <w:p w14:paraId="6AC6408B"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国家风险高（特别是新兴市场国家的储备在境外离岸存放）</w:t>
            </w:r>
          </w:p>
        </w:tc>
      </w:tr>
      <w:tr w:rsidR="0069613A" w14:paraId="22A873A5" w14:textId="77777777">
        <w:trPr>
          <w:cantSplit/>
          <w:trHeight w:val="340"/>
        </w:trPr>
        <w:tc>
          <w:tcPr>
            <w:tcW w:w="3047" w:type="dxa"/>
            <w:vAlign w:val="center"/>
          </w:tcPr>
          <w:p w14:paraId="6DC974AB" w14:textId="77777777" w:rsidR="0069613A" w:rsidRDefault="00724B0E">
            <w:pPr>
              <w:pStyle w:val="TableRowHeading"/>
              <w:spacing w:after="0"/>
              <w:jc w:val="both"/>
              <w:rPr>
                <w:rFonts w:ascii="宋体" w:hAnsi="宋体"/>
                <w:b/>
                <w:color w:val="000000"/>
                <w:sz w:val="24"/>
                <w:szCs w:val="24"/>
                <w:lang w:eastAsia="zh-CN"/>
              </w:rPr>
            </w:pPr>
            <w:r>
              <w:rPr>
                <w:rFonts w:ascii="宋体" w:hAnsi="宋体" w:hint="eastAsia"/>
                <w:color w:val="000000"/>
                <w:sz w:val="24"/>
                <w:szCs w:val="24"/>
                <w:lang w:eastAsia="zh-CN"/>
              </w:rPr>
              <w:lastRenderedPageBreak/>
              <w:t>国家风险的缓释措施</w:t>
            </w:r>
          </w:p>
        </w:tc>
        <w:tc>
          <w:tcPr>
            <w:tcW w:w="2835" w:type="dxa"/>
            <w:vAlign w:val="center"/>
          </w:tcPr>
          <w:p w14:paraId="648DC658"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非常有力的缓释措施：</w:t>
            </w:r>
          </w:p>
          <w:p w14:paraId="2DFF127C"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强有力的离岸机制</w:t>
            </w:r>
          </w:p>
          <w:p w14:paraId="2D74E3D5"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战略性商品</w:t>
            </w:r>
          </w:p>
          <w:p w14:paraId="78553279"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购买商实力一流</w:t>
            </w:r>
          </w:p>
        </w:tc>
        <w:tc>
          <w:tcPr>
            <w:tcW w:w="2835" w:type="dxa"/>
            <w:vAlign w:val="center"/>
          </w:tcPr>
          <w:p w14:paraId="777E52D3"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有力的缓释措施：</w:t>
            </w:r>
          </w:p>
          <w:p w14:paraId="443C670E"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有离岸机制</w:t>
            </w:r>
          </w:p>
          <w:p w14:paraId="5C4A6E68"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战略性商品</w:t>
            </w:r>
          </w:p>
          <w:p w14:paraId="2E7A8252"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购买商实力强</w:t>
            </w:r>
          </w:p>
        </w:tc>
        <w:tc>
          <w:tcPr>
            <w:tcW w:w="2977" w:type="dxa"/>
            <w:vAlign w:val="center"/>
          </w:tcPr>
          <w:p w14:paraId="2CE644E7"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缓释措施一般：</w:t>
            </w:r>
          </w:p>
          <w:p w14:paraId="18EE25D7"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有离岸机制</w:t>
            </w:r>
          </w:p>
          <w:p w14:paraId="032E6D5F"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商品战略性较低</w:t>
            </w:r>
          </w:p>
          <w:p w14:paraId="272674D5"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购买商实力一般</w:t>
            </w:r>
          </w:p>
        </w:tc>
        <w:tc>
          <w:tcPr>
            <w:tcW w:w="2835" w:type="dxa"/>
            <w:vAlign w:val="center"/>
          </w:tcPr>
          <w:p w14:paraId="095CE660"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只有部分缓释措施：</w:t>
            </w:r>
          </w:p>
          <w:p w14:paraId="4BFEB6EF"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缺乏离岸机制</w:t>
            </w:r>
          </w:p>
          <w:p w14:paraId="05BCC24C"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非战略商品</w:t>
            </w:r>
          </w:p>
          <w:p w14:paraId="35769E6C"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购买商实力弱</w:t>
            </w:r>
          </w:p>
        </w:tc>
      </w:tr>
      <w:tr w:rsidR="0069613A" w14:paraId="039C846B" w14:textId="77777777">
        <w:trPr>
          <w:cantSplit/>
          <w:trHeight w:val="340"/>
        </w:trPr>
        <w:tc>
          <w:tcPr>
            <w:tcW w:w="3047" w:type="dxa"/>
            <w:vAlign w:val="center"/>
          </w:tcPr>
          <w:p w14:paraId="336955B0" w14:textId="77777777" w:rsidR="0069613A" w:rsidRDefault="00724B0E">
            <w:pPr>
              <w:pStyle w:val="TableRowHeading"/>
              <w:keepNext/>
              <w:spacing w:after="0"/>
              <w:jc w:val="both"/>
              <w:rPr>
                <w:rFonts w:ascii="宋体" w:hAnsi="宋体"/>
                <w:b/>
                <w:color w:val="000000"/>
                <w:sz w:val="24"/>
                <w:szCs w:val="24"/>
                <w:lang w:eastAsia="zh-CN"/>
              </w:rPr>
            </w:pPr>
            <w:r>
              <w:rPr>
                <w:rFonts w:ascii="宋体" w:hAnsi="宋体" w:hint="eastAsia"/>
                <w:b/>
                <w:color w:val="000000"/>
                <w:sz w:val="24"/>
                <w:szCs w:val="24"/>
                <w:lang w:eastAsia="zh-CN"/>
              </w:rPr>
              <w:t>资产特征</w:t>
            </w:r>
          </w:p>
        </w:tc>
        <w:tc>
          <w:tcPr>
            <w:tcW w:w="2835" w:type="dxa"/>
            <w:vAlign w:val="center"/>
          </w:tcPr>
          <w:p w14:paraId="6B09051F" w14:textId="77777777" w:rsidR="0069613A" w:rsidRDefault="0069613A">
            <w:pPr>
              <w:pStyle w:val="TableText"/>
              <w:spacing w:after="0"/>
              <w:jc w:val="both"/>
              <w:rPr>
                <w:rFonts w:ascii="宋体" w:hAnsi="宋体"/>
                <w:b/>
                <w:color w:val="000000"/>
                <w:sz w:val="24"/>
                <w:szCs w:val="24"/>
                <w:lang w:eastAsia="zh-CN"/>
              </w:rPr>
            </w:pPr>
          </w:p>
        </w:tc>
        <w:tc>
          <w:tcPr>
            <w:tcW w:w="2835" w:type="dxa"/>
            <w:vAlign w:val="center"/>
          </w:tcPr>
          <w:p w14:paraId="54165B57" w14:textId="77777777" w:rsidR="0069613A" w:rsidRDefault="0069613A">
            <w:pPr>
              <w:pStyle w:val="TableText"/>
              <w:spacing w:after="0"/>
              <w:jc w:val="both"/>
              <w:rPr>
                <w:rFonts w:ascii="宋体" w:hAnsi="宋体"/>
                <w:b/>
                <w:color w:val="000000"/>
                <w:sz w:val="24"/>
                <w:szCs w:val="24"/>
                <w:lang w:eastAsia="zh-CN"/>
              </w:rPr>
            </w:pPr>
          </w:p>
        </w:tc>
        <w:tc>
          <w:tcPr>
            <w:tcW w:w="2977" w:type="dxa"/>
            <w:vAlign w:val="center"/>
          </w:tcPr>
          <w:p w14:paraId="78BAF3CA" w14:textId="77777777" w:rsidR="0069613A" w:rsidRDefault="0069613A">
            <w:pPr>
              <w:pStyle w:val="TableText"/>
              <w:spacing w:after="0"/>
              <w:jc w:val="both"/>
              <w:rPr>
                <w:rFonts w:ascii="宋体" w:hAnsi="宋体"/>
                <w:b/>
                <w:color w:val="000000"/>
                <w:sz w:val="24"/>
                <w:szCs w:val="24"/>
                <w:lang w:eastAsia="zh-CN"/>
              </w:rPr>
            </w:pPr>
          </w:p>
        </w:tc>
        <w:tc>
          <w:tcPr>
            <w:tcW w:w="2835" w:type="dxa"/>
            <w:vAlign w:val="center"/>
          </w:tcPr>
          <w:p w14:paraId="37278EC2" w14:textId="77777777" w:rsidR="0069613A" w:rsidRDefault="0069613A">
            <w:pPr>
              <w:pStyle w:val="TableText"/>
              <w:spacing w:after="0"/>
              <w:jc w:val="both"/>
              <w:rPr>
                <w:rFonts w:ascii="宋体" w:hAnsi="宋体"/>
                <w:b/>
                <w:color w:val="000000"/>
                <w:sz w:val="24"/>
                <w:szCs w:val="24"/>
                <w:lang w:eastAsia="zh-CN"/>
              </w:rPr>
            </w:pPr>
          </w:p>
        </w:tc>
      </w:tr>
      <w:tr w:rsidR="0069613A" w14:paraId="54D63103" w14:textId="77777777">
        <w:trPr>
          <w:cantSplit/>
          <w:trHeight w:val="340"/>
        </w:trPr>
        <w:tc>
          <w:tcPr>
            <w:tcW w:w="3047" w:type="dxa"/>
            <w:vAlign w:val="center"/>
          </w:tcPr>
          <w:p w14:paraId="2690AB7A"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流动性和易损程度</w:t>
            </w:r>
          </w:p>
        </w:tc>
        <w:tc>
          <w:tcPr>
            <w:tcW w:w="2835" w:type="dxa"/>
            <w:vAlign w:val="center"/>
          </w:tcPr>
          <w:p w14:paraId="170F406A"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商品公开报价</w:t>
            </w:r>
          </w:p>
          <w:p w14:paraId="3F26D4DC"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可利用期货或场外市场工具套做保值</w:t>
            </w:r>
          </w:p>
          <w:p w14:paraId="4FC0D828"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商品不易损坏</w:t>
            </w:r>
          </w:p>
        </w:tc>
        <w:tc>
          <w:tcPr>
            <w:tcW w:w="2835" w:type="dxa"/>
            <w:vAlign w:val="center"/>
          </w:tcPr>
          <w:p w14:paraId="34316760"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商品公开报价</w:t>
            </w:r>
          </w:p>
          <w:p w14:paraId="6657967A"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可利用场外市场工具套做保值</w:t>
            </w:r>
          </w:p>
          <w:p w14:paraId="4934C6E6"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商品不易损坏</w:t>
            </w:r>
          </w:p>
        </w:tc>
        <w:tc>
          <w:tcPr>
            <w:tcW w:w="2977" w:type="dxa"/>
            <w:vAlign w:val="center"/>
          </w:tcPr>
          <w:p w14:paraId="08BF33B5"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商品非公开报价但有市场流动性</w:t>
            </w:r>
          </w:p>
          <w:p w14:paraId="2A2F6B8A"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套做保值与否不确定</w:t>
            </w:r>
          </w:p>
          <w:p w14:paraId="783D5D3A"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商品不易损坏</w:t>
            </w:r>
          </w:p>
        </w:tc>
        <w:tc>
          <w:tcPr>
            <w:tcW w:w="2835" w:type="dxa"/>
            <w:vAlign w:val="center"/>
          </w:tcPr>
          <w:p w14:paraId="652E80F0"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商品非公开报价，相对市场的广度和深度而言，流动性受限</w:t>
            </w:r>
          </w:p>
          <w:p w14:paraId="44157597"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缺乏合适的套做保值工具</w:t>
            </w:r>
          </w:p>
          <w:p w14:paraId="064D0C1C"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商品易损坏</w:t>
            </w:r>
          </w:p>
        </w:tc>
      </w:tr>
      <w:tr w:rsidR="0069613A" w14:paraId="3155AF2B" w14:textId="77777777">
        <w:trPr>
          <w:cantSplit/>
          <w:trHeight w:val="340"/>
        </w:trPr>
        <w:tc>
          <w:tcPr>
            <w:tcW w:w="3047" w:type="dxa"/>
            <w:vAlign w:val="center"/>
          </w:tcPr>
          <w:p w14:paraId="38232BB0" w14:textId="77777777" w:rsidR="0069613A" w:rsidRDefault="00724B0E">
            <w:pPr>
              <w:pStyle w:val="TableRowHeading"/>
              <w:keepNext/>
              <w:spacing w:after="0"/>
              <w:jc w:val="both"/>
              <w:rPr>
                <w:rFonts w:ascii="宋体" w:hAnsi="宋体"/>
                <w:b/>
                <w:color w:val="000000"/>
                <w:sz w:val="24"/>
                <w:szCs w:val="24"/>
                <w:lang w:eastAsia="zh-CN"/>
              </w:rPr>
            </w:pPr>
            <w:r>
              <w:rPr>
                <w:rFonts w:ascii="宋体" w:hAnsi="宋体" w:hint="eastAsia"/>
                <w:b/>
                <w:color w:val="000000"/>
                <w:sz w:val="24"/>
                <w:szCs w:val="24"/>
                <w:lang w:eastAsia="zh-CN"/>
              </w:rPr>
              <w:t>发起人实力</w:t>
            </w:r>
          </w:p>
        </w:tc>
        <w:tc>
          <w:tcPr>
            <w:tcW w:w="2835" w:type="dxa"/>
            <w:vAlign w:val="center"/>
          </w:tcPr>
          <w:p w14:paraId="384FD27C" w14:textId="77777777" w:rsidR="0069613A" w:rsidRDefault="0069613A">
            <w:pPr>
              <w:pStyle w:val="TableText"/>
              <w:spacing w:after="0"/>
              <w:jc w:val="both"/>
              <w:rPr>
                <w:rFonts w:ascii="宋体" w:hAnsi="宋体"/>
                <w:b/>
                <w:color w:val="000000"/>
                <w:sz w:val="24"/>
                <w:szCs w:val="24"/>
                <w:lang w:eastAsia="zh-CN"/>
              </w:rPr>
            </w:pPr>
          </w:p>
        </w:tc>
        <w:tc>
          <w:tcPr>
            <w:tcW w:w="2835" w:type="dxa"/>
            <w:vAlign w:val="center"/>
          </w:tcPr>
          <w:p w14:paraId="694AA6D3" w14:textId="77777777" w:rsidR="0069613A" w:rsidRDefault="0069613A">
            <w:pPr>
              <w:pStyle w:val="TableText"/>
              <w:spacing w:after="0"/>
              <w:jc w:val="both"/>
              <w:rPr>
                <w:rFonts w:ascii="宋体" w:hAnsi="宋体"/>
                <w:b/>
                <w:color w:val="000000"/>
                <w:sz w:val="24"/>
                <w:szCs w:val="24"/>
                <w:lang w:eastAsia="zh-CN"/>
              </w:rPr>
            </w:pPr>
          </w:p>
        </w:tc>
        <w:tc>
          <w:tcPr>
            <w:tcW w:w="2977" w:type="dxa"/>
            <w:vAlign w:val="center"/>
          </w:tcPr>
          <w:p w14:paraId="6FEEED4D" w14:textId="77777777" w:rsidR="0069613A" w:rsidRDefault="0069613A">
            <w:pPr>
              <w:pStyle w:val="TableText"/>
              <w:spacing w:after="0"/>
              <w:jc w:val="both"/>
              <w:rPr>
                <w:rFonts w:ascii="宋体" w:hAnsi="宋体"/>
                <w:b/>
                <w:color w:val="000000"/>
                <w:sz w:val="24"/>
                <w:szCs w:val="24"/>
                <w:lang w:eastAsia="zh-CN"/>
              </w:rPr>
            </w:pPr>
          </w:p>
        </w:tc>
        <w:tc>
          <w:tcPr>
            <w:tcW w:w="2835" w:type="dxa"/>
            <w:vAlign w:val="center"/>
          </w:tcPr>
          <w:p w14:paraId="3C129E74" w14:textId="77777777" w:rsidR="0069613A" w:rsidRDefault="0069613A">
            <w:pPr>
              <w:pStyle w:val="TableText"/>
              <w:spacing w:after="0"/>
              <w:jc w:val="both"/>
              <w:rPr>
                <w:rFonts w:ascii="宋体" w:hAnsi="宋体"/>
                <w:b/>
                <w:color w:val="000000"/>
                <w:sz w:val="24"/>
                <w:szCs w:val="24"/>
                <w:lang w:eastAsia="zh-CN"/>
              </w:rPr>
            </w:pPr>
          </w:p>
        </w:tc>
      </w:tr>
      <w:tr w:rsidR="0069613A" w14:paraId="5A76E4F1" w14:textId="77777777">
        <w:trPr>
          <w:cantSplit/>
          <w:trHeight w:val="340"/>
        </w:trPr>
        <w:tc>
          <w:tcPr>
            <w:tcW w:w="3047" w:type="dxa"/>
            <w:vAlign w:val="center"/>
          </w:tcPr>
          <w:p w14:paraId="3F2DD518"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交易商财务实力</w:t>
            </w:r>
          </w:p>
        </w:tc>
        <w:tc>
          <w:tcPr>
            <w:tcW w:w="2835" w:type="dxa"/>
            <w:vAlign w:val="center"/>
          </w:tcPr>
          <w:p w14:paraId="5C54D6B4"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相对于交易策略和风险而言非常强</w:t>
            </w:r>
          </w:p>
        </w:tc>
        <w:tc>
          <w:tcPr>
            <w:tcW w:w="2835" w:type="dxa"/>
            <w:vAlign w:val="center"/>
          </w:tcPr>
          <w:p w14:paraId="3DBDA131"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强</w:t>
            </w:r>
          </w:p>
        </w:tc>
        <w:tc>
          <w:tcPr>
            <w:tcW w:w="2977" w:type="dxa"/>
            <w:vAlign w:val="center"/>
          </w:tcPr>
          <w:p w14:paraId="2EDD9A8F"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一般</w:t>
            </w:r>
          </w:p>
        </w:tc>
        <w:tc>
          <w:tcPr>
            <w:tcW w:w="2835" w:type="dxa"/>
            <w:vAlign w:val="center"/>
          </w:tcPr>
          <w:p w14:paraId="067F3DEA"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弱</w:t>
            </w:r>
          </w:p>
        </w:tc>
      </w:tr>
      <w:tr w:rsidR="0069613A" w14:paraId="0B99C400" w14:textId="77777777">
        <w:trPr>
          <w:cantSplit/>
          <w:trHeight w:val="340"/>
        </w:trPr>
        <w:tc>
          <w:tcPr>
            <w:tcW w:w="3047" w:type="dxa"/>
            <w:vAlign w:val="center"/>
          </w:tcPr>
          <w:p w14:paraId="1E39CE77"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业绩，包括辅助流程的管理能力</w:t>
            </w:r>
          </w:p>
        </w:tc>
        <w:tc>
          <w:tcPr>
            <w:tcW w:w="2835" w:type="dxa"/>
            <w:vAlign w:val="center"/>
          </w:tcPr>
          <w:p w14:paraId="2AB267B3"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在有问题交易上经验丰富</w:t>
            </w:r>
          </w:p>
          <w:p w14:paraId="194107E9"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操作成功和成本节约的业绩优</w:t>
            </w:r>
          </w:p>
        </w:tc>
        <w:tc>
          <w:tcPr>
            <w:tcW w:w="2835" w:type="dxa"/>
            <w:vAlign w:val="center"/>
          </w:tcPr>
          <w:p w14:paraId="6ED92CDD"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在有问题交易上经验够用</w:t>
            </w:r>
          </w:p>
          <w:p w14:paraId="1C9B1578"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操作成功和成本节约的业绩良</w:t>
            </w:r>
          </w:p>
        </w:tc>
        <w:tc>
          <w:tcPr>
            <w:tcW w:w="2977" w:type="dxa"/>
            <w:vAlign w:val="center"/>
          </w:tcPr>
          <w:p w14:paraId="049367C0"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在有问题交易上经验有限</w:t>
            </w:r>
          </w:p>
          <w:p w14:paraId="25FFEB59"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操作成功和成本节约的业绩一般</w:t>
            </w:r>
          </w:p>
        </w:tc>
        <w:tc>
          <w:tcPr>
            <w:tcW w:w="2835" w:type="dxa"/>
            <w:vAlign w:val="center"/>
          </w:tcPr>
          <w:p w14:paraId="65F46A74"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总体业绩有限或不确定</w:t>
            </w:r>
          </w:p>
          <w:p w14:paraId="6CA4DC06"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成本和利润波动大</w:t>
            </w:r>
          </w:p>
        </w:tc>
      </w:tr>
      <w:tr w:rsidR="0069613A" w14:paraId="26885912" w14:textId="77777777">
        <w:trPr>
          <w:cantSplit/>
          <w:trHeight w:val="340"/>
        </w:trPr>
        <w:tc>
          <w:tcPr>
            <w:tcW w:w="3047" w:type="dxa"/>
            <w:vAlign w:val="center"/>
          </w:tcPr>
          <w:p w14:paraId="2500E42E"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交易控制和保值政策</w:t>
            </w:r>
          </w:p>
        </w:tc>
        <w:tc>
          <w:tcPr>
            <w:tcW w:w="2835" w:type="dxa"/>
            <w:vAlign w:val="center"/>
          </w:tcPr>
          <w:p w14:paraId="2E3E8AAF"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交易对手方选择、套做保值和监控标准严格</w:t>
            </w:r>
          </w:p>
        </w:tc>
        <w:tc>
          <w:tcPr>
            <w:tcW w:w="2835" w:type="dxa"/>
            <w:vAlign w:val="center"/>
          </w:tcPr>
          <w:p w14:paraId="305B2A7A"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交易对手方选择、套做保值和监控标准适当</w:t>
            </w:r>
          </w:p>
        </w:tc>
        <w:tc>
          <w:tcPr>
            <w:tcW w:w="2977" w:type="dxa"/>
            <w:vAlign w:val="center"/>
          </w:tcPr>
          <w:p w14:paraId="34794810"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有交易经验，问题没有或很小</w:t>
            </w:r>
          </w:p>
        </w:tc>
        <w:tc>
          <w:tcPr>
            <w:tcW w:w="2835" w:type="dxa"/>
            <w:vAlign w:val="center"/>
          </w:tcPr>
          <w:p w14:paraId="2BCE5B11"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交易员有巨额损失交易记录</w:t>
            </w:r>
          </w:p>
        </w:tc>
      </w:tr>
      <w:tr w:rsidR="0069613A" w14:paraId="7411BC05" w14:textId="77777777">
        <w:trPr>
          <w:cantSplit/>
          <w:trHeight w:val="340"/>
        </w:trPr>
        <w:tc>
          <w:tcPr>
            <w:tcW w:w="3047" w:type="dxa"/>
            <w:vAlign w:val="center"/>
          </w:tcPr>
          <w:p w14:paraId="57CDBC5D"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财务披露质量</w:t>
            </w:r>
          </w:p>
        </w:tc>
        <w:tc>
          <w:tcPr>
            <w:tcW w:w="2835" w:type="dxa"/>
            <w:vAlign w:val="center"/>
          </w:tcPr>
          <w:p w14:paraId="0AC017CD"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优</w:t>
            </w:r>
          </w:p>
        </w:tc>
        <w:tc>
          <w:tcPr>
            <w:tcW w:w="2835" w:type="dxa"/>
            <w:vAlign w:val="center"/>
          </w:tcPr>
          <w:p w14:paraId="065DC90D"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良</w:t>
            </w:r>
          </w:p>
        </w:tc>
        <w:tc>
          <w:tcPr>
            <w:tcW w:w="2977" w:type="dxa"/>
            <w:vAlign w:val="center"/>
          </w:tcPr>
          <w:p w14:paraId="56F6A654"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中</w:t>
            </w:r>
          </w:p>
        </w:tc>
        <w:tc>
          <w:tcPr>
            <w:tcW w:w="2835" w:type="dxa"/>
            <w:vAlign w:val="center"/>
          </w:tcPr>
          <w:p w14:paraId="4F57BD9B"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财务披露存在一些不确定性或不充分</w:t>
            </w:r>
          </w:p>
        </w:tc>
      </w:tr>
      <w:tr w:rsidR="0069613A" w14:paraId="24F4A9AA" w14:textId="77777777">
        <w:trPr>
          <w:cantSplit/>
          <w:trHeight w:val="340"/>
        </w:trPr>
        <w:tc>
          <w:tcPr>
            <w:tcW w:w="3047" w:type="dxa"/>
            <w:vAlign w:val="center"/>
          </w:tcPr>
          <w:p w14:paraId="67670E6A" w14:textId="77777777" w:rsidR="0069613A" w:rsidRDefault="00724B0E">
            <w:pPr>
              <w:pStyle w:val="TableRowHeading"/>
              <w:keepNext/>
              <w:spacing w:after="0"/>
              <w:jc w:val="both"/>
              <w:rPr>
                <w:rFonts w:ascii="宋体" w:hAnsi="宋体"/>
                <w:b/>
                <w:color w:val="000000"/>
                <w:sz w:val="24"/>
                <w:szCs w:val="24"/>
                <w:lang w:eastAsia="zh-CN"/>
              </w:rPr>
            </w:pPr>
            <w:r>
              <w:rPr>
                <w:rFonts w:ascii="宋体" w:hAnsi="宋体" w:hint="eastAsia"/>
                <w:b/>
                <w:color w:val="000000"/>
                <w:sz w:val="24"/>
                <w:szCs w:val="24"/>
                <w:lang w:eastAsia="zh-CN"/>
              </w:rPr>
              <w:lastRenderedPageBreak/>
              <w:t>担保安排</w:t>
            </w:r>
          </w:p>
        </w:tc>
        <w:tc>
          <w:tcPr>
            <w:tcW w:w="2835" w:type="dxa"/>
            <w:vAlign w:val="center"/>
          </w:tcPr>
          <w:p w14:paraId="77A0E96C" w14:textId="77777777" w:rsidR="0069613A" w:rsidRDefault="0069613A">
            <w:pPr>
              <w:pStyle w:val="TableText"/>
              <w:spacing w:after="0"/>
              <w:jc w:val="both"/>
              <w:rPr>
                <w:rFonts w:ascii="宋体" w:hAnsi="宋体"/>
                <w:b/>
                <w:color w:val="000000"/>
                <w:sz w:val="24"/>
                <w:szCs w:val="24"/>
                <w:lang w:eastAsia="zh-CN"/>
              </w:rPr>
            </w:pPr>
          </w:p>
        </w:tc>
        <w:tc>
          <w:tcPr>
            <w:tcW w:w="2835" w:type="dxa"/>
            <w:vAlign w:val="center"/>
          </w:tcPr>
          <w:p w14:paraId="7327CA2B" w14:textId="77777777" w:rsidR="0069613A" w:rsidRDefault="0069613A">
            <w:pPr>
              <w:pStyle w:val="TableText"/>
              <w:spacing w:after="0"/>
              <w:jc w:val="both"/>
              <w:rPr>
                <w:rFonts w:ascii="宋体" w:hAnsi="宋体"/>
                <w:b/>
                <w:color w:val="000000"/>
                <w:sz w:val="24"/>
                <w:szCs w:val="24"/>
                <w:lang w:eastAsia="zh-CN"/>
              </w:rPr>
            </w:pPr>
          </w:p>
        </w:tc>
        <w:tc>
          <w:tcPr>
            <w:tcW w:w="2977" w:type="dxa"/>
            <w:vAlign w:val="center"/>
          </w:tcPr>
          <w:p w14:paraId="5883D03A" w14:textId="77777777" w:rsidR="0069613A" w:rsidRDefault="0069613A">
            <w:pPr>
              <w:pStyle w:val="TableText"/>
              <w:spacing w:after="0"/>
              <w:jc w:val="both"/>
              <w:rPr>
                <w:rFonts w:ascii="宋体" w:hAnsi="宋体"/>
                <w:b/>
                <w:color w:val="000000"/>
                <w:sz w:val="24"/>
                <w:szCs w:val="24"/>
                <w:lang w:eastAsia="zh-CN"/>
              </w:rPr>
            </w:pPr>
          </w:p>
        </w:tc>
        <w:tc>
          <w:tcPr>
            <w:tcW w:w="2835" w:type="dxa"/>
            <w:vAlign w:val="center"/>
          </w:tcPr>
          <w:p w14:paraId="53D81D9B" w14:textId="77777777" w:rsidR="0069613A" w:rsidRDefault="0069613A">
            <w:pPr>
              <w:pStyle w:val="TableText"/>
              <w:spacing w:after="0"/>
              <w:jc w:val="both"/>
              <w:rPr>
                <w:rFonts w:ascii="宋体" w:hAnsi="宋体"/>
                <w:b/>
                <w:color w:val="000000"/>
                <w:sz w:val="24"/>
                <w:szCs w:val="24"/>
                <w:lang w:eastAsia="zh-CN"/>
              </w:rPr>
            </w:pPr>
          </w:p>
        </w:tc>
      </w:tr>
      <w:tr w:rsidR="0069613A" w14:paraId="3EAC9AC0" w14:textId="77777777">
        <w:trPr>
          <w:cantSplit/>
          <w:trHeight w:val="340"/>
        </w:trPr>
        <w:tc>
          <w:tcPr>
            <w:tcW w:w="3047" w:type="dxa"/>
            <w:vAlign w:val="center"/>
          </w:tcPr>
          <w:p w14:paraId="591D96E1"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资产控制</w:t>
            </w:r>
          </w:p>
        </w:tc>
        <w:tc>
          <w:tcPr>
            <w:tcW w:w="2835" w:type="dxa"/>
            <w:vAlign w:val="center"/>
          </w:tcPr>
          <w:p w14:paraId="5F321173"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贷款人拥有完备的优先担保权益，在任何时间可视需要在法律上对资产行使控制权</w:t>
            </w:r>
          </w:p>
        </w:tc>
        <w:tc>
          <w:tcPr>
            <w:tcW w:w="2835" w:type="dxa"/>
            <w:vAlign w:val="center"/>
          </w:tcPr>
          <w:p w14:paraId="1ED44F35"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贷款人拥有完备的优先担保权益，在任何时间可视需要在法律上对资产行使控制权</w:t>
            </w:r>
          </w:p>
        </w:tc>
        <w:tc>
          <w:tcPr>
            <w:tcW w:w="2977" w:type="dxa"/>
            <w:vAlign w:val="center"/>
          </w:tcPr>
          <w:p w14:paraId="51EF6358"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在某一环节贷款人对资产的控制发生中断，凭借对交易流程的了解或第三方承担可缓释此中断问题</w:t>
            </w:r>
          </w:p>
        </w:tc>
        <w:tc>
          <w:tcPr>
            <w:tcW w:w="2835" w:type="dxa"/>
            <w:vAlign w:val="center"/>
          </w:tcPr>
          <w:p w14:paraId="67C2FE8F"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合同存在丧失资产控制权的风险。恢复可能有危险</w:t>
            </w:r>
          </w:p>
        </w:tc>
      </w:tr>
      <w:tr w:rsidR="0069613A" w14:paraId="1EC6B307" w14:textId="77777777">
        <w:trPr>
          <w:cantSplit/>
          <w:trHeight w:val="340"/>
        </w:trPr>
        <w:tc>
          <w:tcPr>
            <w:tcW w:w="3047" w:type="dxa"/>
            <w:vAlign w:val="center"/>
          </w:tcPr>
          <w:p w14:paraId="7EB999AE" w14:textId="77777777" w:rsidR="0069613A" w:rsidRDefault="00724B0E">
            <w:pPr>
              <w:pStyle w:val="TableRowHeading"/>
              <w:spacing w:after="0"/>
              <w:jc w:val="both"/>
              <w:rPr>
                <w:rFonts w:ascii="宋体" w:hAnsi="宋体"/>
                <w:color w:val="000000"/>
                <w:sz w:val="24"/>
                <w:szCs w:val="24"/>
                <w:lang w:eastAsia="zh-CN"/>
              </w:rPr>
            </w:pPr>
            <w:r>
              <w:rPr>
                <w:rFonts w:ascii="宋体" w:hAnsi="宋体" w:hint="eastAsia"/>
                <w:color w:val="000000"/>
                <w:sz w:val="24"/>
                <w:szCs w:val="24"/>
                <w:lang w:eastAsia="zh-CN"/>
              </w:rPr>
              <w:t>损害保险</w:t>
            </w:r>
          </w:p>
        </w:tc>
        <w:tc>
          <w:tcPr>
            <w:tcW w:w="2835" w:type="dxa"/>
            <w:vAlign w:val="center"/>
          </w:tcPr>
          <w:p w14:paraId="31499190"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向顶级保险公司投保</w:t>
            </w:r>
          </w:p>
          <w:p w14:paraId="6E6203C5"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保险额高</w:t>
            </w:r>
          </w:p>
          <w:p w14:paraId="4137A131" w14:textId="77777777" w:rsidR="0069613A" w:rsidRDefault="00724B0E">
            <w:pPr>
              <w:pStyle w:val="TableText"/>
              <w:spacing w:after="0"/>
              <w:jc w:val="both"/>
              <w:rPr>
                <w:rFonts w:ascii="宋体" w:hAnsi="宋体"/>
                <w:b/>
                <w:color w:val="000000"/>
                <w:sz w:val="24"/>
                <w:szCs w:val="24"/>
                <w:lang w:eastAsia="zh-CN"/>
              </w:rPr>
            </w:pPr>
            <w:r>
              <w:rPr>
                <w:rFonts w:ascii="宋体" w:hAnsi="宋体" w:hint="eastAsia"/>
                <w:color w:val="000000"/>
                <w:sz w:val="24"/>
                <w:szCs w:val="24"/>
                <w:lang w:eastAsia="zh-CN"/>
              </w:rPr>
              <w:t>包括担保品损害保险</w:t>
            </w:r>
          </w:p>
        </w:tc>
        <w:tc>
          <w:tcPr>
            <w:tcW w:w="2835" w:type="dxa"/>
            <w:vAlign w:val="center"/>
          </w:tcPr>
          <w:p w14:paraId="0E2F9BC3"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向优质保险公司投保</w:t>
            </w:r>
          </w:p>
          <w:p w14:paraId="53773BD7"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保险额较高</w:t>
            </w:r>
          </w:p>
          <w:p w14:paraId="203F8332"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不包括担保品损害保险</w:t>
            </w:r>
          </w:p>
        </w:tc>
        <w:tc>
          <w:tcPr>
            <w:tcW w:w="2977" w:type="dxa"/>
            <w:vAlign w:val="center"/>
          </w:tcPr>
          <w:p w14:paraId="3F98D1B5"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向一般保险公司投保</w:t>
            </w:r>
          </w:p>
          <w:p w14:paraId="64B1DD9A"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保险额一般</w:t>
            </w:r>
          </w:p>
          <w:p w14:paraId="168F366A"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不包括担保品损害保险</w:t>
            </w:r>
          </w:p>
        </w:tc>
        <w:tc>
          <w:tcPr>
            <w:tcW w:w="2835" w:type="dxa"/>
            <w:vAlign w:val="center"/>
          </w:tcPr>
          <w:p w14:paraId="0F272F57"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向差的保险公司投保</w:t>
            </w:r>
          </w:p>
          <w:p w14:paraId="6D4FE43C"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保险额低</w:t>
            </w:r>
          </w:p>
          <w:p w14:paraId="2CF3C483" w14:textId="77777777" w:rsidR="0069613A" w:rsidRDefault="00724B0E">
            <w:pPr>
              <w:pStyle w:val="TableText"/>
              <w:spacing w:after="0"/>
              <w:jc w:val="both"/>
              <w:rPr>
                <w:rFonts w:ascii="宋体" w:hAnsi="宋体"/>
                <w:color w:val="000000"/>
                <w:sz w:val="24"/>
                <w:szCs w:val="24"/>
                <w:lang w:eastAsia="zh-CN"/>
              </w:rPr>
            </w:pPr>
            <w:r>
              <w:rPr>
                <w:rFonts w:ascii="宋体" w:hAnsi="宋体" w:hint="eastAsia"/>
                <w:color w:val="000000"/>
                <w:sz w:val="24"/>
                <w:szCs w:val="24"/>
                <w:lang w:eastAsia="zh-CN"/>
              </w:rPr>
              <w:t>不包括担保品损害保险</w:t>
            </w:r>
          </w:p>
        </w:tc>
      </w:tr>
    </w:tbl>
    <w:p w14:paraId="47CEDA6D" w14:textId="77777777" w:rsidR="0069613A" w:rsidRDefault="0069613A"/>
    <w:p w14:paraId="659E5AFE" w14:textId="77777777" w:rsidR="0069613A" w:rsidRDefault="00724B0E">
      <w:pPr>
        <w:numPr>
          <w:ilvl w:val="3"/>
          <w:numId w:val="0"/>
        </w:numPr>
        <w:tabs>
          <w:tab w:val="left" w:pos="567"/>
        </w:tabs>
        <w:adjustRightInd w:val="0"/>
        <w:snapToGrid w:val="0"/>
        <w:spacing w:afterLines="50" w:after="120" w:line="480" w:lineRule="exact"/>
        <w:jc w:val="center"/>
        <w:rPr>
          <w:rFonts w:ascii="楷体_GB2312" w:eastAsia="楷体_GB2312" w:hAnsi="Calibri"/>
          <w:b/>
          <w:sz w:val="28"/>
          <w:szCs w:val="30"/>
        </w:rPr>
      </w:pPr>
      <w:r>
        <w:rPr>
          <w:rFonts w:ascii="楷体_GB2312" w:eastAsia="楷体_GB2312" w:hAnsi="Calibri" w:hint="eastAsia"/>
          <w:b/>
          <w:sz w:val="28"/>
          <w:szCs w:val="30"/>
        </w:rPr>
        <w:t>表4</w:t>
      </w:r>
      <w:r>
        <w:rPr>
          <w:rFonts w:ascii="楷体_GB2312" w:eastAsia="楷体_GB2312" w:hAnsi="Calibri"/>
          <w:b/>
          <w:sz w:val="28"/>
          <w:szCs w:val="30"/>
        </w:rPr>
        <w:t xml:space="preserve"> </w:t>
      </w:r>
      <w:r>
        <w:rPr>
          <w:rFonts w:ascii="楷体_GB2312" w:eastAsia="楷体_GB2312" w:hAnsi="Calibri" w:hint="eastAsia"/>
          <w:b/>
          <w:sz w:val="28"/>
          <w:szCs w:val="30"/>
        </w:rPr>
        <w:t>产生收入的房地产贷款的监管评级标准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7"/>
        <w:gridCol w:w="2835"/>
        <w:gridCol w:w="2828"/>
        <w:gridCol w:w="7"/>
        <w:gridCol w:w="2963"/>
        <w:gridCol w:w="14"/>
        <w:gridCol w:w="2776"/>
        <w:gridCol w:w="59"/>
      </w:tblGrid>
      <w:tr w:rsidR="0069613A" w14:paraId="4DAD15FA" w14:textId="77777777">
        <w:trPr>
          <w:cantSplit/>
          <w:trHeight w:val="340"/>
          <w:tblHeader/>
        </w:trPr>
        <w:tc>
          <w:tcPr>
            <w:tcW w:w="3047" w:type="dxa"/>
            <w:vAlign w:val="center"/>
          </w:tcPr>
          <w:p w14:paraId="0715A27C" w14:textId="77777777" w:rsidR="0069613A" w:rsidRDefault="0069613A">
            <w:pPr>
              <w:pStyle w:val="TableText"/>
              <w:widowControl w:val="0"/>
              <w:spacing w:after="0"/>
              <w:jc w:val="both"/>
              <w:rPr>
                <w:rFonts w:ascii="宋体" w:hAnsi="宋体"/>
                <w:b/>
                <w:color w:val="000000"/>
                <w:sz w:val="24"/>
                <w:szCs w:val="24"/>
                <w:lang w:val="en-US" w:eastAsia="zh-CN"/>
              </w:rPr>
            </w:pPr>
          </w:p>
        </w:tc>
        <w:tc>
          <w:tcPr>
            <w:tcW w:w="2835" w:type="dxa"/>
            <w:vAlign w:val="center"/>
          </w:tcPr>
          <w:p w14:paraId="64072B36" w14:textId="77777777" w:rsidR="0069613A" w:rsidRDefault="00724B0E">
            <w:pPr>
              <w:pStyle w:val="TableText"/>
              <w:widowControl w:val="0"/>
              <w:spacing w:after="0"/>
              <w:jc w:val="center"/>
              <w:rPr>
                <w:rFonts w:ascii="宋体" w:hAnsi="宋体"/>
                <w:color w:val="000000"/>
                <w:sz w:val="24"/>
                <w:szCs w:val="24"/>
                <w:lang w:eastAsia="zh-CN"/>
              </w:rPr>
            </w:pPr>
            <w:r>
              <w:rPr>
                <w:rFonts w:ascii="宋体" w:hAnsi="宋体" w:hint="eastAsia"/>
                <w:color w:val="000000"/>
                <w:sz w:val="24"/>
                <w:szCs w:val="24"/>
                <w:lang w:eastAsia="zh-CN"/>
              </w:rPr>
              <w:t>优</w:t>
            </w:r>
          </w:p>
        </w:tc>
        <w:tc>
          <w:tcPr>
            <w:tcW w:w="2835" w:type="dxa"/>
            <w:gridSpan w:val="2"/>
            <w:vAlign w:val="center"/>
          </w:tcPr>
          <w:p w14:paraId="0211B15B" w14:textId="77777777" w:rsidR="0069613A" w:rsidRDefault="00724B0E">
            <w:pPr>
              <w:pStyle w:val="TableText"/>
              <w:widowControl w:val="0"/>
              <w:spacing w:after="0"/>
              <w:jc w:val="center"/>
              <w:rPr>
                <w:rFonts w:ascii="宋体" w:hAnsi="宋体"/>
                <w:color w:val="000000"/>
                <w:sz w:val="24"/>
                <w:szCs w:val="24"/>
                <w:lang w:eastAsia="zh-CN"/>
              </w:rPr>
            </w:pPr>
            <w:r>
              <w:rPr>
                <w:rFonts w:ascii="宋体" w:hAnsi="宋体" w:hint="eastAsia"/>
                <w:color w:val="000000"/>
                <w:sz w:val="24"/>
                <w:szCs w:val="24"/>
                <w:lang w:eastAsia="zh-CN"/>
              </w:rPr>
              <w:t>良</w:t>
            </w:r>
          </w:p>
        </w:tc>
        <w:tc>
          <w:tcPr>
            <w:tcW w:w="2977" w:type="dxa"/>
            <w:gridSpan w:val="2"/>
            <w:vAlign w:val="center"/>
          </w:tcPr>
          <w:p w14:paraId="7BCD9166" w14:textId="77777777" w:rsidR="0069613A" w:rsidRDefault="00724B0E">
            <w:pPr>
              <w:pStyle w:val="TableText"/>
              <w:widowControl w:val="0"/>
              <w:spacing w:after="0"/>
              <w:jc w:val="center"/>
              <w:rPr>
                <w:rFonts w:ascii="宋体" w:hAnsi="宋体"/>
                <w:color w:val="000000"/>
                <w:sz w:val="24"/>
                <w:szCs w:val="24"/>
                <w:lang w:eastAsia="zh-CN"/>
              </w:rPr>
            </w:pPr>
            <w:r>
              <w:rPr>
                <w:rFonts w:ascii="宋体" w:hAnsi="宋体" w:hint="eastAsia"/>
                <w:color w:val="000000"/>
                <w:sz w:val="24"/>
                <w:szCs w:val="24"/>
                <w:lang w:eastAsia="zh-CN"/>
              </w:rPr>
              <w:t>中</w:t>
            </w:r>
          </w:p>
        </w:tc>
        <w:tc>
          <w:tcPr>
            <w:tcW w:w="2835" w:type="dxa"/>
            <w:gridSpan w:val="2"/>
            <w:vAlign w:val="center"/>
          </w:tcPr>
          <w:p w14:paraId="184FEFBE" w14:textId="77777777" w:rsidR="0069613A" w:rsidRDefault="00724B0E">
            <w:pPr>
              <w:pStyle w:val="TableText"/>
              <w:widowControl w:val="0"/>
              <w:spacing w:after="0"/>
              <w:jc w:val="center"/>
              <w:rPr>
                <w:rFonts w:ascii="宋体" w:hAnsi="宋体"/>
                <w:color w:val="000000"/>
                <w:sz w:val="24"/>
                <w:szCs w:val="24"/>
                <w:lang w:eastAsia="zh-CN"/>
              </w:rPr>
            </w:pPr>
            <w:r>
              <w:rPr>
                <w:rFonts w:ascii="宋体" w:hAnsi="宋体" w:hint="eastAsia"/>
                <w:color w:val="000000"/>
                <w:sz w:val="24"/>
                <w:szCs w:val="24"/>
                <w:lang w:eastAsia="zh-CN"/>
              </w:rPr>
              <w:t>差</w:t>
            </w:r>
          </w:p>
        </w:tc>
      </w:tr>
      <w:tr w:rsidR="0069613A" w14:paraId="4B2409F4" w14:textId="77777777">
        <w:trPr>
          <w:cantSplit/>
          <w:trHeight w:val="340"/>
        </w:trPr>
        <w:tc>
          <w:tcPr>
            <w:tcW w:w="3047" w:type="dxa"/>
            <w:vAlign w:val="center"/>
          </w:tcPr>
          <w:p w14:paraId="0430FC61" w14:textId="77777777" w:rsidR="0069613A" w:rsidRDefault="00724B0E">
            <w:pPr>
              <w:pStyle w:val="TableText"/>
              <w:widowControl w:val="0"/>
              <w:spacing w:after="0"/>
              <w:jc w:val="both"/>
              <w:rPr>
                <w:rFonts w:ascii="宋体" w:hAnsi="宋体"/>
                <w:b/>
                <w:color w:val="000000"/>
                <w:sz w:val="24"/>
                <w:szCs w:val="24"/>
                <w:lang w:eastAsia="zh-CN"/>
              </w:rPr>
            </w:pPr>
            <w:r>
              <w:rPr>
                <w:rFonts w:ascii="宋体" w:hAnsi="宋体" w:hint="eastAsia"/>
                <w:b/>
                <w:color w:val="000000"/>
                <w:sz w:val="24"/>
                <w:szCs w:val="24"/>
                <w:lang w:eastAsia="zh-CN"/>
              </w:rPr>
              <w:t>财务状况</w:t>
            </w:r>
          </w:p>
        </w:tc>
        <w:tc>
          <w:tcPr>
            <w:tcW w:w="2835" w:type="dxa"/>
            <w:vAlign w:val="center"/>
          </w:tcPr>
          <w:p w14:paraId="664EBF92" w14:textId="77777777" w:rsidR="0069613A" w:rsidRDefault="0069613A">
            <w:pPr>
              <w:pStyle w:val="TableText"/>
              <w:widowControl w:val="0"/>
              <w:spacing w:after="0"/>
              <w:jc w:val="both"/>
              <w:rPr>
                <w:rFonts w:ascii="宋体" w:hAnsi="宋体"/>
                <w:color w:val="000000"/>
                <w:sz w:val="24"/>
                <w:szCs w:val="24"/>
                <w:lang w:eastAsia="zh-CN"/>
              </w:rPr>
            </w:pPr>
          </w:p>
        </w:tc>
        <w:tc>
          <w:tcPr>
            <w:tcW w:w="2828" w:type="dxa"/>
            <w:vAlign w:val="center"/>
          </w:tcPr>
          <w:p w14:paraId="761835ED" w14:textId="77777777" w:rsidR="0069613A" w:rsidRDefault="0069613A">
            <w:pPr>
              <w:pStyle w:val="TableText"/>
              <w:widowControl w:val="0"/>
              <w:spacing w:after="0"/>
              <w:jc w:val="both"/>
              <w:rPr>
                <w:rFonts w:ascii="宋体" w:hAnsi="宋体"/>
                <w:color w:val="000000"/>
                <w:sz w:val="24"/>
                <w:szCs w:val="24"/>
                <w:lang w:eastAsia="zh-CN"/>
              </w:rPr>
            </w:pPr>
          </w:p>
        </w:tc>
        <w:tc>
          <w:tcPr>
            <w:tcW w:w="2984" w:type="dxa"/>
            <w:gridSpan w:val="3"/>
            <w:vAlign w:val="center"/>
          </w:tcPr>
          <w:p w14:paraId="19D9C8E6" w14:textId="77777777" w:rsidR="0069613A" w:rsidRDefault="0069613A">
            <w:pPr>
              <w:pStyle w:val="TableText"/>
              <w:widowControl w:val="0"/>
              <w:spacing w:after="0"/>
              <w:jc w:val="both"/>
              <w:rPr>
                <w:rFonts w:ascii="宋体" w:hAnsi="宋体"/>
                <w:color w:val="000000"/>
                <w:sz w:val="24"/>
                <w:szCs w:val="24"/>
                <w:lang w:eastAsia="zh-CN"/>
              </w:rPr>
            </w:pPr>
          </w:p>
        </w:tc>
        <w:tc>
          <w:tcPr>
            <w:tcW w:w="2835" w:type="dxa"/>
            <w:gridSpan w:val="2"/>
            <w:vAlign w:val="center"/>
          </w:tcPr>
          <w:p w14:paraId="52FCE683" w14:textId="77777777" w:rsidR="0069613A" w:rsidRDefault="0069613A">
            <w:pPr>
              <w:pStyle w:val="TableText"/>
              <w:widowControl w:val="0"/>
              <w:spacing w:after="0"/>
              <w:jc w:val="both"/>
              <w:rPr>
                <w:rFonts w:ascii="宋体" w:hAnsi="宋体"/>
                <w:color w:val="000000"/>
                <w:sz w:val="24"/>
                <w:szCs w:val="24"/>
                <w:lang w:eastAsia="zh-CN"/>
              </w:rPr>
            </w:pPr>
          </w:p>
        </w:tc>
      </w:tr>
      <w:tr w:rsidR="0069613A" w14:paraId="41E287CF" w14:textId="77777777">
        <w:trPr>
          <w:cantSplit/>
          <w:trHeight w:val="340"/>
        </w:trPr>
        <w:tc>
          <w:tcPr>
            <w:tcW w:w="3047" w:type="dxa"/>
            <w:vAlign w:val="center"/>
          </w:tcPr>
          <w:p w14:paraId="409EB1BA"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市场状况</w:t>
            </w:r>
          </w:p>
        </w:tc>
        <w:tc>
          <w:tcPr>
            <w:tcW w:w="2835" w:type="dxa"/>
            <w:vAlign w:val="center"/>
          </w:tcPr>
          <w:p w14:paraId="23150F7A"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目前项目类型和场所供需均衡</w:t>
            </w:r>
          </w:p>
          <w:p w14:paraId="79FF8C2A"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即将面市的竞争性房地产项目少于或等于需求预测</w:t>
            </w:r>
          </w:p>
        </w:tc>
        <w:tc>
          <w:tcPr>
            <w:tcW w:w="2828" w:type="dxa"/>
            <w:vAlign w:val="center"/>
          </w:tcPr>
          <w:p w14:paraId="5BB12716"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目前项目类型和场所供需均衡</w:t>
            </w:r>
          </w:p>
          <w:p w14:paraId="36354C56"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即将面市的竞争性房地产项目大体等于需求预测</w:t>
            </w:r>
          </w:p>
        </w:tc>
        <w:tc>
          <w:tcPr>
            <w:tcW w:w="2984" w:type="dxa"/>
            <w:gridSpan w:val="3"/>
            <w:vAlign w:val="center"/>
          </w:tcPr>
          <w:p w14:paraId="35BE54D0"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市场供需基本均衡</w:t>
            </w:r>
          </w:p>
          <w:p w14:paraId="61C873AC"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竞争性房地产项目</w:t>
            </w:r>
            <w:r>
              <w:rPr>
                <w:rFonts w:ascii="宋体" w:hAnsi="宋体" w:hint="eastAsia"/>
                <w:color w:val="000000"/>
                <w:sz w:val="24"/>
                <w:szCs w:val="24"/>
                <w:lang w:val="en-US" w:eastAsia="zh-CN"/>
              </w:rPr>
              <w:t>即将</w:t>
            </w:r>
            <w:r>
              <w:rPr>
                <w:rFonts w:ascii="宋体" w:hAnsi="宋体" w:hint="eastAsia"/>
                <w:color w:val="000000"/>
                <w:sz w:val="24"/>
                <w:szCs w:val="24"/>
                <w:lang w:eastAsia="zh-CN"/>
              </w:rPr>
              <w:t>面市，其他房地产处于计划中，项目设计和生产能力没有新项目先进</w:t>
            </w:r>
          </w:p>
        </w:tc>
        <w:tc>
          <w:tcPr>
            <w:tcW w:w="2835" w:type="dxa"/>
            <w:gridSpan w:val="2"/>
            <w:vAlign w:val="center"/>
          </w:tcPr>
          <w:p w14:paraId="620A6B98"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市场需求弱，何时改善达到均衡并不确定</w:t>
            </w:r>
          </w:p>
          <w:p w14:paraId="44CE8574"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项目租期届满后不易找到承租人。新的租赁条件不如现在的优越</w:t>
            </w:r>
          </w:p>
        </w:tc>
      </w:tr>
      <w:tr w:rsidR="0069613A" w14:paraId="2050772D" w14:textId="77777777">
        <w:trPr>
          <w:cantSplit/>
          <w:trHeight w:val="340"/>
        </w:trPr>
        <w:tc>
          <w:tcPr>
            <w:tcW w:w="3047" w:type="dxa"/>
            <w:tcBorders>
              <w:bottom w:val="single" w:sz="4" w:space="0" w:color="auto"/>
            </w:tcBorders>
            <w:vAlign w:val="center"/>
          </w:tcPr>
          <w:p w14:paraId="2A80F3C8"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财务比率和垫款比例</w:t>
            </w:r>
          </w:p>
          <w:p w14:paraId="3015027E"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w:t>
            </w:r>
            <w:r>
              <w:rPr>
                <w:rFonts w:ascii="宋体" w:hAnsi="宋体"/>
                <w:color w:val="000000"/>
                <w:sz w:val="24"/>
                <w:szCs w:val="24"/>
                <w:lang w:eastAsia="zh-CN"/>
              </w:rPr>
              <w:t>DSCR适用于以出租为目的的房地产并且在建设阶段不适用，LTV适用于以出售为目的的房地产）</w:t>
            </w:r>
          </w:p>
        </w:tc>
        <w:tc>
          <w:tcPr>
            <w:tcW w:w="2835" w:type="dxa"/>
            <w:tcBorders>
              <w:bottom w:val="single" w:sz="4" w:space="0" w:color="auto"/>
            </w:tcBorders>
            <w:vAlign w:val="center"/>
          </w:tcPr>
          <w:p w14:paraId="310D7683"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相对房地产项目类型，偿债保障比率（</w:t>
            </w:r>
            <w:r>
              <w:rPr>
                <w:rFonts w:ascii="宋体" w:hAnsi="宋体"/>
                <w:color w:val="000000"/>
                <w:sz w:val="24"/>
                <w:szCs w:val="24"/>
                <w:lang w:eastAsia="zh-CN"/>
              </w:rPr>
              <w:t>DSCR）很高，贷款/价值比率（LTV）低。如果存在二级市场，按市场价认购</w:t>
            </w:r>
          </w:p>
        </w:tc>
        <w:tc>
          <w:tcPr>
            <w:tcW w:w="2828" w:type="dxa"/>
            <w:tcBorders>
              <w:bottom w:val="single" w:sz="4" w:space="0" w:color="auto"/>
            </w:tcBorders>
            <w:vAlign w:val="center"/>
          </w:tcPr>
          <w:p w14:paraId="6C885827"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偿债保障比率（</w:t>
            </w:r>
            <w:r>
              <w:rPr>
                <w:rFonts w:ascii="宋体" w:hAnsi="宋体"/>
                <w:color w:val="000000"/>
                <w:sz w:val="24"/>
                <w:szCs w:val="24"/>
                <w:lang w:eastAsia="zh-CN"/>
              </w:rPr>
              <w:t>DSCR）和贷款/价值比率（LTV）良好。如果存在二级市场，按市场价认购</w:t>
            </w:r>
          </w:p>
        </w:tc>
        <w:tc>
          <w:tcPr>
            <w:tcW w:w="2984" w:type="dxa"/>
            <w:gridSpan w:val="3"/>
            <w:tcBorders>
              <w:bottom w:val="single" w:sz="4" w:space="0" w:color="auto"/>
            </w:tcBorders>
            <w:vAlign w:val="center"/>
          </w:tcPr>
          <w:p w14:paraId="45AAC4D5"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房地产的偿债保障比率（</w:t>
            </w:r>
            <w:r>
              <w:rPr>
                <w:rFonts w:ascii="宋体" w:hAnsi="宋体"/>
                <w:color w:val="000000"/>
                <w:sz w:val="24"/>
                <w:szCs w:val="24"/>
                <w:lang w:eastAsia="zh-CN"/>
              </w:rPr>
              <w:t>DSCR）恶化，价值下跌，导致贷款/价值比率（LTV）上升</w:t>
            </w:r>
          </w:p>
        </w:tc>
        <w:tc>
          <w:tcPr>
            <w:tcW w:w="2835" w:type="dxa"/>
            <w:gridSpan w:val="2"/>
            <w:tcBorders>
              <w:bottom w:val="single" w:sz="4" w:space="0" w:color="auto"/>
            </w:tcBorders>
            <w:vAlign w:val="center"/>
          </w:tcPr>
          <w:p w14:paraId="434DF22D"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房地产的偿债保障比率（</w:t>
            </w:r>
            <w:r>
              <w:rPr>
                <w:rFonts w:ascii="宋体" w:hAnsi="宋体"/>
                <w:color w:val="000000"/>
                <w:sz w:val="24"/>
                <w:szCs w:val="24"/>
                <w:lang w:eastAsia="zh-CN"/>
              </w:rPr>
              <w:t>DSCR）恶化严重，其贷款/价值比率（LTV）大大高于新贷款的最低标准</w:t>
            </w:r>
          </w:p>
        </w:tc>
      </w:tr>
      <w:tr w:rsidR="0069613A" w14:paraId="737C684D" w14:textId="77777777">
        <w:trPr>
          <w:cantSplit/>
          <w:trHeight w:val="340"/>
        </w:trPr>
        <w:tc>
          <w:tcPr>
            <w:tcW w:w="3047" w:type="dxa"/>
            <w:tcBorders>
              <w:top w:val="single" w:sz="4" w:space="0" w:color="auto"/>
            </w:tcBorders>
            <w:vAlign w:val="center"/>
          </w:tcPr>
          <w:p w14:paraId="49F8B01F"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lastRenderedPageBreak/>
              <w:t>压力分析</w:t>
            </w:r>
          </w:p>
        </w:tc>
        <w:tc>
          <w:tcPr>
            <w:tcW w:w="2835" w:type="dxa"/>
            <w:tcBorders>
              <w:top w:val="single" w:sz="4" w:space="0" w:color="auto"/>
            </w:tcBorders>
            <w:vAlign w:val="center"/>
          </w:tcPr>
          <w:p w14:paraId="648966A2"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房地产的资金来源、或有事项和负债配置可使其在面临严重的财务压力（如利率、经济增长）情况下履行偿债义务</w:t>
            </w:r>
          </w:p>
        </w:tc>
        <w:tc>
          <w:tcPr>
            <w:tcW w:w="2828" w:type="dxa"/>
            <w:tcBorders>
              <w:top w:val="single" w:sz="4" w:space="0" w:color="auto"/>
            </w:tcBorders>
            <w:vAlign w:val="center"/>
          </w:tcPr>
          <w:p w14:paraId="063338BC"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房地产在面临持续的财务压力（如利率、经济增长）情况下能履行偿债义务。该房地产仅在面临严重经济问题时才可能违约</w:t>
            </w:r>
          </w:p>
        </w:tc>
        <w:tc>
          <w:tcPr>
            <w:tcW w:w="2984" w:type="dxa"/>
            <w:gridSpan w:val="3"/>
            <w:tcBorders>
              <w:top w:val="single" w:sz="4" w:space="0" w:color="auto"/>
            </w:tcBorders>
            <w:vAlign w:val="center"/>
          </w:tcPr>
          <w:p w14:paraId="76143CA4"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在经济下滑时，房地产收入将减少，降低其资本开支能力并增加了违约风险</w:t>
            </w:r>
          </w:p>
        </w:tc>
        <w:tc>
          <w:tcPr>
            <w:tcW w:w="2835" w:type="dxa"/>
            <w:gridSpan w:val="2"/>
            <w:tcBorders>
              <w:top w:val="single" w:sz="4" w:space="0" w:color="auto"/>
            </w:tcBorders>
            <w:vAlign w:val="center"/>
          </w:tcPr>
          <w:p w14:paraId="01675033"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房地产的财务状况趋紧，除非近期改善否则可能违约</w:t>
            </w:r>
          </w:p>
        </w:tc>
      </w:tr>
      <w:tr w:rsidR="0069613A" w14:paraId="45138FCA" w14:textId="77777777">
        <w:trPr>
          <w:cantSplit/>
          <w:trHeight w:val="340"/>
        </w:trPr>
        <w:tc>
          <w:tcPr>
            <w:tcW w:w="3047" w:type="dxa"/>
            <w:vAlign w:val="center"/>
          </w:tcPr>
          <w:p w14:paraId="06BA3F86" w14:textId="77777777" w:rsidR="0069613A" w:rsidRDefault="00724B0E">
            <w:pPr>
              <w:pStyle w:val="TableText"/>
              <w:widowControl w:val="0"/>
              <w:spacing w:after="0"/>
              <w:jc w:val="both"/>
              <w:rPr>
                <w:rFonts w:ascii="宋体" w:hAnsi="宋体"/>
                <w:b/>
                <w:color w:val="000000"/>
                <w:sz w:val="24"/>
                <w:szCs w:val="24"/>
                <w:lang w:eastAsia="zh-CN"/>
              </w:rPr>
            </w:pPr>
            <w:r>
              <w:rPr>
                <w:rFonts w:ascii="宋体" w:hAnsi="宋体" w:hint="eastAsia"/>
                <w:b/>
                <w:color w:val="000000"/>
                <w:sz w:val="24"/>
                <w:szCs w:val="24"/>
                <w:lang w:eastAsia="zh-CN"/>
              </w:rPr>
              <w:t>现金流预测</w:t>
            </w:r>
          </w:p>
        </w:tc>
        <w:tc>
          <w:tcPr>
            <w:tcW w:w="2835" w:type="dxa"/>
            <w:vAlign w:val="center"/>
          </w:tcPr>
          <w:p w14:paraId="3223A5C3" w14:textId="77777777" w:rsidR="0069613A" w:rsidRDefault="0069613A">
            <w:pPr>
              <w:pStyle w:val="TableText"/>
              <w:widowControl w:val="0"/>
              <w:spacing w:after="0"/>
              <w:jc w:val="both"/>
              <w:rPr>
                <w:rFonts w:ascii="宋体" w:hAnsi="宋体"/>
                <w:color w:val="000000"/>
                <w:sz w:val="24"/>
                <w:szCs w:val="24"/>
                <w:lang w:eastAsia="zh-CN"/>
              </w:rPr>
            </w:pPr>
          </w:p>
        </w:tc>
        <w:tc>
          <w:tcPr>
            <w:tcW w:w="2828" w:type="dxa"/>
            <w:vAlign w:val="center"/>
          </w:tcPr>
          <w:p w14:paraId="1C9AF884" w14:textId="77777777" w:rsidR="0069613A" w:rsidRDefault="0069613A">
            <w:pPr>
              <w:pStyle w:val="TableText"/>
              <w:widowControl w:val="0"/>
              <w:spacing w:after="0"/>
              <w:jc w:val="both"/>
              <w:rPr>
                <w:rFonts w:ascii="宋体" w:hAnsi="宋体"/>
                <w:color w:val="000000"/>
                <w:sz w:val="24"/>
                <w:szCs w:val="24"/>
                <w:lang w:eastAsia="zh-CN"/>
              </w:rPr>
            </w:pPr>
          </w:p>
        </w:tc>
        <w:tc>
          <w:tcPr>
            <w:tcW w:w="2970" w:type="dxa"/>
            <w:gridSpan w:val="2"/>
            <w:vAlign w:val="center"/>
          </w:tcPr>
          <w:p w14:paraId="003CAF28" w14:textId="77777777" w:rsidR="0069613A" w:rsidRDefault="0069613A">
            <w:pPr>
              <w:pStyle w:val="TableText"/>
              <w:widowControl w:val="0"/>
              <w:spacing w:after="0"/>
              <w:jc w:val="both"/>
              <w:rPr>
                <w:rFonts w:ascii="宋体" w:hAnsi="宋体"/>
                <w:color w:val="000000"/>
                <w:sz w:val="24"/>
                <w:szCs w:val="24"/>
                <w:lang w:eastAsia="zh-CN"/>
              </w:rPr>
            </w:pPr>
          </w:p>
        </w:tc>
        <w:tc>
          <w:tcPr>
            <w:tcW w:w="2849" w:type="dxa"/>
            <w:gridSpan w:val="3"/>
            <w:vAlign w:val="center"/>
          </w:tcPr>
          <w:p w14:paraId="331844C9" w14:textId="77777777" w:rsidR="0069613A" w:rsidRDefault="0069613A">
            <w:pPr>
              <w:pStyle w:val="TableText"/>
              <w:widowControl w:val="0"/>
              <w:spacing w:after="0"/>
              <w:jc w:val="both"/>
              <w:rPr>
                <w:rFonts w:ascii="宋体" w:hAnsi="宋体"/>
                <w:color w:val="000000"/>
                <w:sz w:val="24"/>
                <w:szCs w:val="24"/>
                <w:lang w:eastAsia="zh-CN"/>
              </w:rPr>
            </w:pPr>
          </w:p>
        </w:tc>
      </w:tr>
      <w:tr w:rsidR="0069613A" w14:paraId="77180457" w14:textId="77777777">
        <w:trPr>
          <w:cantSplit/>
          <w:trHeight w:val="340"/>
        </w:trPr>
        <w:tc>
          <w:tcPr>
            <w:tcW w:w="3047" w:type="dxa"/>
            <w:vAlign w:val="center"/>
          </w:tcPr>
          <w:p w14:paraId="1A800629"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color w:val="000000"/>
                <w:sz w:val="24"/>
                <w:szCs w:val="24"/>
                <w:lang w:eastAsia="zh-CN"/>
              </w:rPr>
              <w:t>(a)</w:t>
            </w:r>
            <w:r>
              <w:rPr>
                <w:rFonts w:ascii="宋体" w:hAnsi="宋体" w:hint="eastAsia"/>
                <w:color w:val="000000"/>
                <w:sz w:val="24"/>
                <w:szCs w:val="24"/>
                <w:lang w:eastAsia="zh-CN"/>
              </w:rPr>
              <w:t>已完工、稳定的房地产项目</w:t>
            </w:r>
          </w:p>
        </w:tc>
        <w:tc>
          <w:tcPr>
            <w:tcW w:w="2835" w:type="dxa"/>
            <w:vAlign w:val="center"/>
          </w:tcPr>
          <w:p w14:paraId="3C791B33"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合同租期长且到期日分散</w:t>
            </w:r>
          </w:p>
          <w:p w14:paraId="0D15583C"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房地产租与信誉好的客户</w:t>
            </w:r>
          </w:p>
          <w:p w14:paraId="06E6AE12"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房地产承租记录显示客户均到期续租</w:t>
            </w:r>
          </w:p>
          <w:p w14:paraId="5AB0ABD3"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空置率低</w:t>
            </w:r>
          </w:p>
          <w:p w14:paraId="46BC9BD6"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费用（维修、保险、保安和财产税）可预测</w:t>
            </w:r>
          </w:p>
        </w:tc>
        <w:tc>
          <w:tcPr>
            <w:tcW w:w="2828" w:type="dxa"/>
            <w:vAlign w:val="center"/>
          </w:tcPr>
          <w:p w14:paraId="4CB346F2"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房地产大部分合同租期长</w:t>
            </w:r>
          </w:p>
          <w:p w14:paraId="14B58277"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承租户信誉各异</w:t>
            </w:r>
          </w:p>
          <w:p w14:paraId="125ACCD3"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合同到期续租情况正常</w:t>
            </w:r>
          </w:p>
          <w:p w14:paraId="407079F8"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空置率低</w:t>
            </w:r>
          </w:p>
          <w:p w14:paraId="3603E53A"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费用可预测</w:t>
            </w:r>
          </w:p>
        </w:tc>
        <w:tc>
          <w:tcPr>
            <w:tcW w:w="2970" w:type="dxa"/>
            <w:gridSpan w:val="2"/>
            <w:vAlign w:val="center"/>
          </w:tcPr>
          <w:p w14:paraId="4E7DBC82"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房地产大部分出租合同为中期</w:t>
            </w:r>
          </w:p>
          <w:p w14:paraId="48B5AA48"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承租户信誉各异</w:t>
            </w:r>
          </w:p>
          <w:p w14:paraId="7C526AF0"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合同到期续租情况一般</w:t>
            </w:r>
          </w:p>
          <w:p w14:paraId="00DD70C7"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空置率一般</w:t>
            </w:r>
          </w:p>
          <w:p w14:paraId="4A3C31DF"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费用相对可预测但随收入变动</w:t>
            </w:r>
          </w:p>
        </w:tc>
        <w:tc>
          <w:tcPr>
            <w:tcW w:w="2849" w:type="dxa"/>
            <w:gridSpan w:val="3"/>
            <w:vAlign w:val="center"/>
          </w:tcPr>
          <w:p w14:paraId="02521EF8"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房地产出租合同期限不一</w:t>
            </w:r>
          </w:p>
          <w:p w14:paraId="237ABEB4"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承租户信誉各异</w:t>
            </w:r>
          </w:p>
          <w:p w14:paraId="36F2B21F"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合同到期原承租户很少续租</w:t>
            </w:r>
          </w:p>
          <w:p w14:paraId="17A8189F"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空置率高</w:t>
            </w:r>
          </w:p>
          <w:p w14:paraId="26C53892"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吸引新租户的场地费用开支很高</w:t>
            </w:r>
          </w:p>
        </w:tc>
      </w:tr>
      <w:tr w:rsidR="0069613A" w14:paraId="34FB6275" w14:textId="77777777">
        <w:trPr>
          <w:cantSplit/>
          <w:trHeight w:val="340"/>
        </w:trPr>
        <w:tc>
          <w:tcPr>
            <w:tcW w:w="3047" w:type="dxa"/>
            <w:tcBorders>
              <w:bottom w:val="single" w:sz="4" w:space="0" w:color="auto"/>
            </w:tcBorders>
            <w:vAlign w:val="center"/>
          </w:tcPr>
          <w:p w14:paraId="6F6B6C7F"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color w:val="000000"/>
                <w:sz w:val="24"/>
                <w:szCs w:val="24"/>
                <w:lang w:eastAsia="zh-CN"/>
              </w:rPr>
              <w:t>(b)</w:t>
            </w:r>
            <w:r>
              <w:rPr>
                <w:rFonts w:ascii="宋体" w:hAnsi="宋体" w:hint="eastAsia"/>
                <w:color w:val="000000"/>
                <w:sz w:val="24"/>
                <w:szCs w:val="24"/>
                <w:lang w:eastAsia="zh-CN"/>
              </w:rPr>
              <w:t>已完工但不稳定的房地产项目</w:t>
            </w:r>
          </w:p>
        </w:tc>
        <w:tc>
          <w:tcPr>
            <w:tcW w:w="2835" w:type="dxa"/>
            <w:tcBorders>
              <w:bottom w:val="single" w:sz="4" w:space="0" w:color="auto"/>
            </w:tcBorders>
            <w:vAlign w:val="center"/>
          </w:tcPr>
          <w:p w14:paraId="072E3DC0"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租赁活动按计划开展或超出计划。项目近期将稳定</w:t>
            </w:r>
          </w:p>
        </w:tc>
        <w:tc>
          <w:tcPr>
            <w:tcW w:w="2828" w:type="dxa"/>
            <w:tcBorders>
              <w:bottom w:val="single" w:sz="4" w:space="0" w:color="auto"/>
            </w:tcBorders>
            <w:vAlign w:val="center"/>
          </w:tcPr>
          <w:p w14:paraId="14039ABC"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租赁活动按计划开展或超出计划。项目近期将稳定</w:t>
            </w:r>
          </w:p>
        </w:tc>
        <w:tc>
          <w:tcPr>
            <w:tcW w:w="2970" w:type="dxa"/>
            <w:gridSpan w:val="2"/>
            <w:tcBorders>
              <w:bottom w:val="single" w:sz="4" w:space="0" w:color="auto"/>
            </w:tcBorders>
            <w:vAlign w:val="center"/>
          </w:tcPr>
          <w:p w14:paraId="6953E9AC"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多数租赁活动按计划开展，但是一段时期内项目不稳定</w:t>
            </w:r>
          </w:p>
        </w:tc>
        <w:tc>
          <w:tcPr>
            <w:tcW w:w="2849" w:type="dxa"/>
            <w:gridSpan w:val="3"/>
            <w:tcBorders>
              <w:bottom w:val="single" w:sz="4" w:space="0" w:color="auto"/>
            </w:tcBorders>
            <w:vAlign w:val="center"/>
          </w:tcPr>
          <w:p w14:paraId="53386159"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出租情况不如预期。尽管达到目标入住率，但收入不理想，导致现金流紧张</w:t>
            </w:r>
          </w:p>
        </w:tc>
      </w:tr>
      <w:tr w:rsidR="0069613A" w14:paraId="28592948" w14:textId="77777777">
        <w:trPr>
          <w:cantSplit/>
          <w:trHeight w:val="340"/>
        </w:trPr>
        <w:tc>
          <w:tcPr>
            <w:tcW w:w="3047" w:type="dxa"/>
            <w:vAlign w:val="center"/>
          </w:tcPr>
          <w:p w14:paraId="2AFCF527"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color w:val="000000"/>
                <w:sz w:val="24"/>
                <w:szCs w:val="24"/>
                <w:lang w:eastAsia="zh-CN"/>
              </w:rPr>
              <w:t>(c)</w:t>
            </w:r>
            <w:r>
              <w:rPr>
                <w:rFonts w:ascii="宋体" w:hAnsi="宋体" w:hint="eastAsia"/>
                <w:color w:val="000000"/>
                <w:sz w:val="24"/>
                <w:szCs w:val="24"/>
                <w:lang w:eastAsia="zh-CN"/>
              </w:rPr>
              <w:t>在建项目</w:t>
            </w:r>
          </w:p>
        </w:tc>
        <w:tc>
          <w:tcPr>
            <w:tcW w:w="2835" w:type="dxa"/>
            <w:vAlign w:val="center"/>
          </w:tcPr>
          <w:p w14:paraId="45559A0E" w14:textId="77777777" w:rsidR="0069613A" w:rsidRDefault="00724B0E">
            <w:pPr>
              <w:pStyle w:val="TableText"/>
              <w:keepNext w:val="0"/>
              <w:widowControl w:val="0"/>
              <w:spacing w:after="0"/>
              <w:jc w:val="both"/>
              <w:rPr>
                <w:rFonts w:ascii="宋体" w:hAnsi="宋体"/>
                <w:color w:val="000000"/>
                <w:sz w:val="24"/>
                <w:szCs w:val="24"/>
                <w:lang w:val="en-US" w:eastAsia="zh-CN"/>
              </w:rPr>
            </w:pPr>
            <w:r>
              <w:rPr>
                <w:rFonts w:ascii="宋体" w:hAnsi="宋体" w:hint="eastAsia"/>
                <w:color w:val="000000"/>
                <w:sz w:val="24"/>
                <w:szCs w:val="24"/>
                <w:lang w:eastAsia="zh-CN"/>
              </w:rPr>
              <w:t>房地产在贷款存续期间已全部预租或预售给信用等级为投资级的承租人或买家</w:t>
            </w:r>
          </w:p>
        </w:tc>
        <w:tc>
          <w:tcPr>
            <w:tcW w:w="2828" w:type="dxa"/>
            <w:vAlign w:val="center"/>
          </w:tcPr>
          <w:p w14:paraId="0003F078"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房地产已全部预租或预售给信誉好的承租人或买家</w:t>
            </w:r>
          </w:p>
        </w:tc>
        <w:tc>
          <w:tcPr>
            <w:tcW w:w="2970" w:type="dxa"/>
            <w:gridSpan w:val="2"/>
            <w:vAlign w:val="center"/>
          </w:tcPr>
          <w:p w14:paraId="322CD5DB"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租赁活动按计划进行，但房地产可能没有预租</w:t>
            </w:r>
          </w:p>
        </w:tc>
        <w:tc>
          <w:tcPr>
            <w:tcW w:w="2849" w:type="dxa"/>
            <w:gridSpan w:val="3"/>
            <w:vAlign w:val="center"/>
          </w:tcPr>
          <w:p w14:paraId="7D14F71E"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房地产因成本过高、市价下跌、承租人撤租或其他原因而恶化</w:t>
            </w:r>
          </w:p>
        </w:tc>
      </w:tr>
      <w:tr w:rsidR="0069613A" w14:paraId="002D7637" w14:textId="77777777">
        <w:trPr>
          <w:cantSplit/>
          <w:trHeight w:val="340"/>
        </w:trPr>
        <w:tc>
          <w:tcPr>
            <w:tcW w:w="3047" w:type="dxa"/>
            <w:vAlign w:val="center"/>
          </w:tcPr>
          <w:p w14:paraId="7F917642" w14:textId="77777777" w:rsidR="0069613A" w:rsidRDefault="00724B0E">
            <w:pPr>
              <w:pStyle w:val="TableRowHeading"/>
              <w:widowControl w:val="0"/>
              <w:spacing w:after="0"/>
              <w:jc w:val="both"/>
              <w:rPr>
                <w:rFonts w:ascii="宋体" w:hAnsi="宋体"/>
                <w:b/>
                <w:color w:val="000000"/>
                <w:sz w:val="24"/>
                <w:szCs w:val="24"/>
                <w:lang w:eastAsia="zh-CN"/>
              </w:rPr>
            </w:pPr>
            <w:r>
              <w:rPr>
                <w:rFonts w:ascii="宋体" w:hAnsi="宋体" w:hint="eastAsia"/>
                <w:b/>
                <w:color w:val="000000"/>
                <w:sz w:val="24"/>
                <w:szCs w:val="24"/>
                <w:lang w:eastAsia="zh-CN"/>
              </w:rPr>
              <w:t>资产特征</w:t>
            </w:r>
          </w:p>
        </w:tc>
        <w:tc>
          <w:tcPr>
            <w:tcW w:w="2835" w:type="dxa"/>
            <w:vAlign w:val="center"/>
          </w:tcPr>
          <w:p w14:paraId="0A72D0A5" w14:textId="77777777" w:rsidR="0069613A" w:rsidRDefault="0069613A">
            <w:pPr>
              <w:pStyle w:val="TableRowHeading"/>
              <w:widowControl w:val="0"/>
              <w:spacing w:after="0"/>
              <w:jc w:val="both"/>
              <w:rPr>
                <w:rFonts w:ascii="宋体" w:hAnsi="宋体"/>
                <w:b/>
                <w:color w:val="000000"/>
                <w:sz w:val="24"/>
                <w:szCs w:val="24"/>
                <w:lang w:eastAsia="zh-CN"/>
              </w:rPr>
            </w:pPr>
          </w:p>
        </w:tc>
        <w:tc>
          <w:tcPr>
            <w:tcW w:w="2828" w:type="dxa"/>
            <w:vAlign w:val="center"/>
          </w:tcPr>
          <w:p w14:paraId="71BAF76C" w14:textId="77777777" w:rsidR="0069613A" w:rsidRDefault="0069613A">
            <w:pPr>
              <w:pStyle w:val="TableRowHeading"/>
              <w:widowControl w:val="0"/>
              <w:spacing w:after="0"/>
              <w:jc w:val="both"/>
              <w:rPr>
                <w:rFonts w:ascii="宋体" w:hAnsi="宋体"/>
                <w:b/>
                <w:color w:val="000000"/>
                <w:sz w:val="24"/>
                <w:szCs w:val="24"/>
                <w:lang w:eastAsia="zh-CN"/>
              </w:rPr>
            </w:pPr>
          </w:p>
        </w:tc>
        <w:tc>
          <w:tcPr>
            <w:tcW w:w="2970" w:type="dxa"/>
            <w:gridSpan w:val="2"/>
            <w:vAlign w:val="center"/>
          </w:tcPr>
          <w:p w14:paraId="2CB2CDE4" w14:textId="77777777" w:rsidR="0069613A" w:rsidRDefault="0069613A">
            <w:pPr>
              <w:pStyle w:val="TableRowHeading"/>
              <w:widowControl w:val="0"/>
              <w:spacing w:after="0"/>
              <w:jc w:val="both"/>
              <w:rPr>
                <w:rFonts w:ascii="宋体" w:hAnsi="宋体"/>
                <w:b/>
                <w:color w:val="000000"/>
                <w:sz w:val="24"/>
                <w:szCs w:val="24"/>
                <w:lang w:eastAsia="zh-CN"/>
              </w:rPr>
            </w:pPr>
          </w:p>
        </w:tc>
        <w:tc>
          <w:tcPr>
            <w:tcW w:w="2849" w:type="dxa"/>
            <w:gridSpan w:val="3"/>
            <w:vAlign w:val="center"/>
          </w:tcPr>
          <w:p w14:paraId="62916DC8" w14:textId="77777777" w:rsidR="0069613A" w:rsidRDefault="0069613A">
            <w:pPr>
              <w:pStyle w:val="TableRowHeading"/>
              <w:widowControl w:val="0"/>
              <w:spacing w:after="0"/>
              <w:jc w:val="both"/>
              <w:rPr>
                <w:rFonts w:ascii="宋体" w:hAnsi="宋体"/>
                <w:b/>
                <w:color w:val="000000"/>
                <w:sz w:val="24"/>
                <w:szCs w:val="24"/>
                <w:lang w:eastAsia="zh-CN"/>
              </w:rPr>
            </w:pPr>
          </w:p>
        </w:tc>
      </w:tr>
      <w:tr w:rsidR="0069613A" w14:paraId="5E6834AA" w14:textId="77777777">
        <w:trPr>
          <w:cantSplit/>
          <w:trHeight w:val="340"/>
        </w:trPr>
        <w:tc>
          <w:tcPr>
            <w:tcW w:w="3047" w:type="dxa"/>
            <w:tcBorders>
              <w:bottom w:val="single" w:sz="4" w:space="0" w:color="auto"/>
            </w:tcBorders>
            <w:vAlign w:val="center"/>
          </w:tcPr>
          <w:p w14:paraId="6B1CC650"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场所</w:t>
            </w:r>
          </w:p>
        </w:tc>
        <w:tc>
          <w:tcPr>
            <w:tcW w:w="2835" w:type="dxa"/>
            <w:tcBorders>
              <w:bottom w:val="single" w:sz="4" w:space="0" w:color="auto"/>
            </w:tcBorders>
            <w:vAlign w:val="center"/>
          </w:tcPr>
          <w:p w14:paraId="49F0DCF4"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房地产位于非常优越的地段，方便租户</w:t>
            </w:r>
          </w:p>
        </w:tc>
        <w:tc>
          <w:tcPr>
            <w:tcW w:w="2828" w:type="dxa"/>
            <w:tcBorders>
              <w:bottom w:val="single" w:sz="4" w:space="0" w:color="auto"/>
            </w:tcBorders>
            <w:vAlign w:val="center"/>
          </w:tcPr>
          <w:p w14:paraId="38596877"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房地产位于优越的地段，方便租户</w:t>
            </w:r>
          </w:p>
        </w:tc>
        <w:tc>
          <w:tcPr>
            <w:tcW w:w="2970" w:type="dxa"/>
            <w:gridSpan w:val="2"/>
            <w:tcBorders>
              <w:bottom w:val="single" w:sz="4" w:space="0" w:color="auto"/>
            </w:tcBorders>
            <w:vAlign w:val="center"/>
          </w:tcPr>
          <w:p w14:paraId="59095F51"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房地产位置缺乏比较优势</w:t>
            </w:r>
          </w:p>
        </w:tc>
        <w:tc>
          <w:tcPr>
            <w:tcW w:w="2849" w:type="dxa"/>
            <w:gridSpan w:val="3"/>
            <w:tcBorders>
              <w:bottom w:val="single" w:sz="4" w:space="0" w:color="auto"/>
            </w:tcBorders>
            <w:vAlign w:val="center"/>
          </w:tcPr>
          <w:p w14:paraId="579A8835"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房地产位置、配置、设计和维修存在问题</w:t>
            </w:r>
          </w:p>
        </w:tc>
      </w:tr>
      <w:tr w:rsidR="0069613A" w14:paraId="51AF48D5" w14:textId="77777777">
        <w:trPr>
          <w:gridAfter w:val="1"/>
          <w:wAfter w:w="59" w:type="dxa"/>
          <w:cantSplit/>
          <w:trHeight w:val="340"/>
        </w:trPr>
        <w:tc>
          <w:tcPr>
            <w:tcW w:w="3047" w:type="dxa"/>
            <w:vAlign w:val="center"/>
          </w:tcPr>
          <w:p w14:paraId="5EB94EAC"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lastRenderedPageBreak/>
              <w:t>设计和条件</w:t>
            </w:r>
          </w:p>
        </w:tc>
        <w:tc>
          <w:tcPr>
            <w:tcW w:w="2835" w:type="dxa"/>
            <w:vAlign w:val="center"/>
          </w:tcPr>
          <w:p w14:paraId="060C126D"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房地产因设计、配置和维修较好而受欢迎，远比新项目有竞争力</w:t>
            </w:r>
          </w:p>
        </w:tc>
        <w:tc>
          <w:tcPr>
            <w:tcW w:w="2828" w:type="dxa"/>
            <w:vAlign w:val="center"/>
          </w:tcPr>
          <w:p w14:paraId="182B8F54"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房地产的设计、配置和维修得当，设计和性能比新项目有竞争力</w:t>
            </w:r>
          </w:p>
        </w:tc>
        <w:tc>
          <w:tcPr>
            <w:tcW w:w="2984" w:type="dxa"/>
            <w:gridSpan w:val="3"/>
            <w:vAlign w:val="center"/>
          </w:tcPr>
          <w:p w14:paraId="5A26580A"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房地产的配置、设计和维修尚可</w:t>
            </w:r>
          </w:p>
        </w:tc>
        <w:tc>
          <w:tcPr>
            <w:tcW w:w="2776" w:type="dxa"/>
            <w:vAlign w:val="center"/>
          </w:tcPr>
          <w:p w14:paraId="0C0C5F43"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房地产的配置、设计或维修薄弱</w:t>
            </w:r>
          </w:p>
        </w:tc>
      </w:tr>
      <w:tr w:rsidR="0069613A" w14:paraId="34E13CED" w14:textId="77777777">
        <w:trPr>
          <w:gridAfter w:val="1"/>
          <w:wAfter w:w="59" w:type="dxa"/>
          <w:cantSplit/>
          <w:trHeight w:val="340"/>
        </w:trPr>
        <w:tc>
          <w:tcPr>
            <w:tcW w:w="3047" w:type="dxa"/>
            <w:vAlign w:val="center"/>
          </w:tcPr>
          <w:p w14:paraId="4C89F5C2"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在建房地产</w:t>
            </w:r>
          </w:p>
        </w:tc>
        <w:tc>
          <w:tcPr>
            <w:tcW w:w="2835" w:type="dxa"/>
            <w:vAlign w:val="center"/>
          </w:tcPr>
          <w:p w14:paraId="63A60045"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建设预算保守，技术风险较低，承包商水平很高</w:t>
            </w:r>
          </w:p>
        </w:tc>
        <w:tc>
          <w:tcPr>
            <w:tcW w:w="2828" w:type="dxa"/>
            <w:vAlign w:val="center"/>
          </w:tcPr>
          <w:p w14:paraId="72654D60"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建设预算保守，技术风险较低，承包商水平很高</w:t>
            </w:r>
          </w:p>
        </w:tc>
        <w:tc>
          <w:tcPr>
            <w:tcW w:w="2984" w:type="dxa"/>
            <w:gridSpan w:val="3"/>
            <w:vAlign w:val="center"/>
          </w:tcPr>
          <w:p w14:paraId="335654CF"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建设预算够用，承包商水平一般</w:t>
            </w:r>
          </w:p>
        </w:tc>
        <w:tc>
          <w:tcPr>
            <w:tcW w:w="2776" w:type="dxa"/>
            <w:vAlign w:val="center"/>
          </w:tcPr>
          <w:p w14:paraId="120069A3"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建设开支超出预算或项目技术风险过高而不切实际。承包商可能不合格</w:t>
            </w:r>
          </w:p>
        </w:tc>
      </w:tr>
      <w:tr w:rsidR="0069613A" w14:paraId="5EEBD475" w14:textId="77777777">
        <w:trPr>
          <w:gridAfter w:val="1"/>
          <w:wAfter w:w="59" w:type="dxa"/>
          <w:cantSplit/>
          <w:trHeight w:val="340"/>
        </w:trPr>
        <w:tc>
          <w:tcPr>
            <w:tcW w:w="3047" w:type="dxa"/>
            <w:vAlign w:val="center"/>
          </w:tcPr>
          <w:p w14:paraId="3FEB181B" w14:textId="77777777" w:rsidR="0069613A" w:rsidRDefault="00724B0E">
            <w:pPr>
              <w:pStyle w:val="TableText"/>
              <w:widowControl w:val="0"/>
              <w:spacing w:after="0"/>
              <w:jc w:val="both"/>
              <w:rPr>
                <w:rFonts w:ascii="宋体" w:hAnsi="宋体"/>
                <w:b/>
                <w:color w:val="000000"/>
                <w:sz w:val="24"/>
                <w:szCs w:val="24"/>
                <w:lang w:eastAsia="zh-CN"/>
              </w:rPr>
            </w:pPr>
            <w:r>
              <w:rPr>
                <w:rFonts w:ascii="宋体" w:hAnsi="宋体" w:hint="eastAsia"/>
                <w:b/>
                <w:color w:val="000000"/>
                <w:sz w:val="24"/>
                <w:szCs w:val="24"/>
                <w:lang w:eastAsia="zh-CN"/>
              </w:rPr>
              <w:t>发起人</w:t>
            </w:r>
            <w:r>
              <w:rPr>
                <w:rFonts w:ascii="宋体" w:hAnsi="宋体"/>
                <w:b/>
                <w:color w:val="000000"/>
                <w:sz w:val="24"/>
                <w:szCs w:val="24"/>
                <w:lang w:eastAsia="zh-CN"/>
              </w:rPr>
              <w:t>/开发商实力</w:t>
            </w:r>
          </w:p>
        </w:tc>
        <w:tc>
          <w:tcPr>
            <w:tcW w:w="2835" w:type="dxa"/>
            <w:vAlign w:val="center"/>
          </w:tcPr>
          <w:p w14:paraId="39088CA4" w14:textId="77777777" w:rsidR="0069613A" w:rsidRDefault="0069613A">
            <w:pPr>
              <w:pStyle w:val="TableText"/>
              <w:widowControl w:val="0"/>
              <w:spacing w:after="0"/>
              <w:jc w:val="both"/>
              <w:rPr>
                <w:rFonts w:ascii="宋体" w:hAnsi="宋体"/>
                <w:color w:val="000000"/>
                <w:sz w:val="24"/>
                <w:szCs w:val="24"/>
                <w:lang w:eastAsia="zh-CN"/>
              </w:rPr>
            </w:pPr>
          </w:p>
        </w:tc>
        <w:tc>
          <w:tcPr>
            <w:tcW w:w="2828" w:type="dxa"/>
            <w:vAlign w:val="center"/>
          </w:tcPr>
          <w:p w14:paraId="18083856" w14:textId="77777777" w:rsidR="0069613A" w:rsidRDefault="0069613A">
            <w:pPr>
              <w:pStyle w:val="TableText"/>
              <w:widowControl w:val="0"/>
              <w:spacing w:after="0"/>
              <w:jc w:val="both"/>
              <w:rPr>
                <w:rFonts w:ascii="宋体" w:hAnsi="宋体"/>
                <w:color w:val="000000"/>
                <w:sz w:val="24"/>
                <w:szCs w:val="24"/>
                <w:lang w:eastAsia="zh-CN"/>
              </w:rPr>
            </w:pPr>
          </w:p>
        </w:tc>
        <w:tc>
          <w:tcPr>
            <w:tcW w:w="2984" w:type="dxa"/>
            <w:gridSpan w:val="3"/>
            <w:vAlign w:val="center"/>
          </w:tcPr>
          <w:p w14:paraId="0E65FD08" w14:textId="77777777" w:rsidR="0069613A" w:rsidRDefault="0069613A">
            <w:pPr>
              <w:pStyle w:val="TableText"/>
              <w:widowControl w:val="0"/>
              <w:spacing w:after="0"/>
              <w:jc w:val="both"/>
              <w:rPr>
                <w:rFonts w:ascii="宋体" w:hAnsi="宋体"/>
                <w:color w:val="000000"/>
                <w:sz w:val="24"/>
                <w:szCs w:val="24"/>
                <w:lang w:eastAsia="zh-CN"/>
              </w:rPr>
            </w:pPr>
          </w:p>
        </w:tc>
        <w:tc>
          <w:tcPr>
            <w:tcW w:w="2776" w:type="dxa"/>
            <w:vAlign w:val="center"/>
          </w:tcPr>
          <w:p w14:paraId="79A8E1D0" w14:textId="77777777" w:rsidR="0069613A" w:rsidRDefault="0069613A">
            <w:pPr>
              <w:pStyle w:val="TableText"/>
              <w:widowControl w:val="0"/>
              <w:spacing w:after="0"/>
              <w:jc w:val="both"/>
              <w:rPr>
                <w:rFonts w:ascii="宋体" w:hAnsi="宋体"/>
                <w:color w:val="000000"/>
                <w:sz w:val="24"/>
                <w:szCs w:val="24"/>
                <w:lang w:eastAsia="zh-CN"/>
              </w:rPr>
            </w:pPr>
          </w:p>
        </w:tc>
      </w:tr>
      <w:tr w:rsidR="0069613A" w14:paraId="20553EE7" w14:textId="77777777">
        <w:trPr>
          <w:gridAfter w:val="1"/>
          <w:wAfter w:w="59" w:type="dxa"/>
          <w:cantSplit/>
          <w:trHeight w:val="340"/>
        </w:trPr>
        <w:tc>
          <w:tcPr>
            <w:tcW w:w="3047" w:type="dxa"/>
            <w:vAlign w:val="center"/>
          </w:tcPr>
          <w:p w14:paraId="18427BED"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开发房地产项目的财力和意愿</w:t>
            </w:r>
          </w:p>
        </w:tc>
        <w:tc>
          <w:tcPr>
            <w:tcW w:w="2835" w:type="dxa"/>
            <w:vAlign w:val="center"/>
          </w:tcPr>
          <w:p w14:paraId="4998EA65"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发起人</w:t>
            </w:r>
            <w:r>
              <w:rPr>
                <w:rFonts w:ascii="宋体" w:hAnsi="宋体"/>
                <w:color w:val="000000"/>
                <w:sz w:val="24"/>
                <w:szCs w:val="24"/>
                <w:lang w:eastAsia="zh-CN"/>
              </w:rPr>
              <w:t>/开发商提供大量现金用于建设或收购房地产</w:t>
            </w:r>
          </w:p>
          <w:p w14:paraId="0A65007B"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发起人</w:t>
            </w:r>
            <w:r>
              <w:rPr>
                <w:rFonts w:ascii="宋体" w:hAnsi="宋体"/>
                <w:color w:val="000000"/>
                <w:sz w:val="24"/>
                <w:szCs w:val="24"/>
                <w:lang w:eastAsia="zh-CN"/>
              </w:rPr>
              <w:t>/开发商资金充裕，直接负债及或有负债低</w:t>
            </w:r>
          </w:p>
          <w:p w14:paraId="5FD035B7"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发起人</w:t>
            </w:r>
            <w:r>
              <w:rPr>
                <w:rFonts w:ascii="宋体" w:hAnsi="宋体"/>
                <w:color w:val="000000"/>
                <w:sz w:val="24"/>
                <w:szCs w:val="24"/>
                <w:lang w:eastAsia="zh-CN"/>
              </w:rPr>
              <w:t>/开发商的房地产位置分散，种类多样</w:t>
            </w:r>
          </w:p>
        </w:tc>
        <w:tc>
          <w:tcPr>
            <w:tcW w:w="2828" w:type="dxa"/>
            <w:vAlign w:val="center"/>
          </w:tcPr>
          <w:p w14:paraId="51A98ED0"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发起人</w:t>
            </w:r>
            <w:r>
              <w:rPr>
                <w:rFonts w:ascii="宋体" w:hAnsi="宋体"/>
                <w:color w:val="000000"/>
                <w:sz w:val="24"/>
                <w:szCs w:val="24"/>
                <w:lang w:eastAsia="zh-CN"/>
              </w:rPr>
              <w:t>/开发商提供较多现金用于建设或收购房地产</w:t>
            </w:r>
          </w:p>
          <w:p w14:paraId="70D89987"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发起人</w:t>
            </w:r>
            <w:r>
              <w:rPr>
                <w:rFonts w:ascii="宋体" w:hAnsi="宋体"/>
                <w:color w:val="000000"/>
                <w:sz w:val="24"/>
                <w:szCs w:val="24"/>
                <w:lang w:eastAsia="zh-CN"/>
              </w:rPr>
              <w:t>/开发商的财务状况良好，能在出现现金流短缺的情况下支持房地产建设</w:t>
            </w:r>
          </w:p>
          <w:p w14:paraId="4086B353"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发起人</w:t>
            </w:r>
            <w:r>
              <w:rPr>
                <w:rFonts w:ascii="宋体" w:hAnsi="宋体"/>
                <w:color w:val="000000"/>
                <w:sz w:val="24"/>
                <w:szCs w:val="24"/>
                <w:lang w:eastAsia="zh-CN"/>
              </w:rPr>
              <w:t>/开发商的房地产位置分散</w:t>
            </w:r>
          </w:p>
        </w:tc>
        <w:tc>
          <w:tcPr>
            <w:tcW w:w="2984" w:type="dxa"/>
            <w:gridSpan w:val="3"/>
            <w:vAlign w:val="center"/>
          </w:tcPr>
          <w:p w14:paraId="0A9A448F"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发起人</w:t>
            </w:r>
            <w:r>
              <w:rPr>
                <w:rFonts w:ascii="宋体" w:hAnsi="宋体"/>
                <w:color w:val="000000"/>
                <w:sz w:val="24"/>
                <w:szCs w:val="24"/>
                <w:lang w:eastAsia="zh-CN"/>
              </w:rPr>
              <w:t>/开发商提供资金不多或非现金</w:t>
            </w:r>
          </w:p>
          <w:p w14:paraId="5B44C769"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发起人</w:t>
            </w:r>
            <w:r>
              <w:rPr>
                <w:rFonts w:ascii="宋体" w:hAnsi="宋体"/>
                <w:color w:val="000000"/>
                <w:sz w:val="24"/>
                <w:szCs w:val="24"/>
                <w:lang w:eastAsia="zh-CN"/>
              </w:rPr>
              <w:t>/开发商财务实力中等或偏下</w:t>
            </w:r>
          </w:p>
        </w:tc>
        <w:tc>
          <w:tcPr>
            <w:tcW w:w="2776" w:type="dxa"/>
            <w:vAlign w:val="center"/>
          </w:tcPr>
          <w:p w14:paraId="78A30073"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发起人</w:t>
            </w:r>
            <w:r>
              <w:rPr>
                <w:rFonts w:ascii="宋体" w:hAnsi="宋体"/>
                <w:color w:val="000000"/>
                <w:sz w:val="24"/>
                <w:szCs w:val="24"/>
                <w:lang w:eastAsia="zh-CN"/>
              </w:rPr>
              <w:t>/开发商支持房地产项目的能力不足，意愿不强</w:t>
            </w:r>
          </w:p>
        </w:tc>
      </w:tr>
      <w:tr w:rsidR="0069613A" w14:paraId="225BF15F" w14:textId="77777777">
        <w:trPr>
          <w:gridAfter w:val="1"/>
          <w:wAfter w:w="59" w:type="dxa"/>
          <w:cantSplit/>
          <w:trHeight w:val="340"/>
        </w:trPr>
        <w:tc>
          <w:tcPr>
            <w:tcW w:w="3047" w:type="dxa"/>
            <w:vAlign w:val="center"/>
          </w:tcPr>
          <w:p w14:paraId="015AF8F7"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类似房地产项目的声誉和业绩</w:t>
            </w:r>
          </w:p>
        </w:tc>
        <w:tc>
          <w:tcPr>
            <w:tcW w:w="2835" w:type="dxa"/>
            <w:vAlign w:val="center"/>
          </w:tcPr>
          <w:p w14:paraId="1A0DD56E"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管理层富有经验，发起人资质出色</w:t>
            </w:r>
          </w:p>
          <w:p w14:paraId="1FC18B32"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在类似项目上声誉佳、长期业绩好</w:t>
            </w:r>
          </w:p>
        </w:tc>
        <w:tc>
          <w:tcPr>
            <w:tcW w:w="2828" w:type="dxa"/>
            <w:vAlign w:val="center"/>
          </w:tcPr>
          <w:p w14:paraId="5F05BEE9"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管理层经验和发起人资质良好</w:t>
            </w:r>
          </w:p>
          <w:p w14:paraId="7A79EC9C"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发起人或管理层在类似项目上业绩好</w:t>
            </w:r>
          </w:p>
        </w:tc>
        <w:tc>
          <w:tcPr>
            <w:tcW w:w="2984" w:type="dxa"/>
            <w:gridSpan w:val="3"/>
            <w:vAlign w:val="center"/>
          </w:tcPr>
          <w:p w14:paraId="32771DD9"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管理层经验和发起人资质一般</w:t>
            </w:r>
          </w:p>
          <w:p w14:paraId="1EC0ED5E"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管理层或发起人在类似项目上未发生过严重问题</w:t>
            </w:r>
          </w:p>
        </w:tc>
        <w:tc>
          <w:tcPr>
            <w:tcW w:w="2776" w:type="dxa"/>
            <w:vAlign w:val="center"/>
          </w:tcPr>
          <w:p w14:paraId="6A5EF953"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管理层经验不足，发起人资质不合规格</w:t>
            </w:r>
          </w:p>
          <w:p w14:paraId="588FDE9C"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管理层和发起人的问题曾导致房地产管理困难</w:t>
            </w:r>
          </w:p>
        </w:tc>
      </w:tr>
      <w:tr w:rsidR="0069613A" w14:paraId="628247CA" w14:textId="77777777">
        <w:trPr>
          <w:cantSplit/>
          <w:trHeight w:val="340"/>
        </w:trPr>
        <w:tc>
          <w:tcPr>
            <w:tcW w:w="3047" w:type="dxa"/>
            <w:vAlign w:val="center"/>
          </w:tcPr>
          <w:p w14:paraId="3C47962A"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与房地产业参与方的关系</w:t>
            </w:r>
          </w:p>
        </w:tc>
        <w:tc>
          <w:tcPr>
            <w:tcW w:w="2835" w:type="dxa"/>
            <w:vAlign w:val="center"/>
          </w:tcPr>
          <w:p w14:paraId="21589C21"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与一流房地产租赁代理商等保持密切关系</w:t>
            </w:r>
          </w:p>
        </w:tc>
        <w:tc>
          <w:tcPr>
            <w:tcW w:w="2828" w:type="dxa"/>
            <w:vAlign w:val="center"/>
          </w:tcPr>
          <w:p w14:paraId="5F6A73C8"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与一流房地产租赁代理商等关系可靠</w:t>
            </w:r>
          </w:p>
        </w:tc>
        <w:tc>
          <w:tcPr>
            <w:tcW w:w="2984" w:type="dxa"/>
            <w:gridSpan w:val="3"/>
            <w:vAlign w:val="center"/>
          </w:tcPr>
          <w:p w14:paraId="11E898AD"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与租赁代理商和其他提供重要房地产服务各方之间保持适当关系</w:t>
            </w:r>
          </w:p>
        </w:tc>
        <w:tc>
          <w:tcPr>
            <w:tcW w:w="2835" w:type="dxa"/>
            <w:gridSpan w:val="2"/>
            <w:vAlign w:val="center"/>
          </w:tcPr>
          <w:p w14:paraId="2335D03C"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与租赁代理商和其他提供重要房地产服务各方之间关系不好</w:t>
            </w:r>
          </w:p>
        </w:tc>
      </w:tr>
      <w:tr w:rsidR="0069613A" w14:paraId="24FF9585" w14:textId="77777777">
        <w:trPr>
          <w:cantSplit/>
          <w:trHeight w:val="340"/>
        </w:trPr>
        <w:tc>
          <w:tcPr>
            <w:tcW w:w="3047" w:type="dxa"/>
            <w:vAlign w:val="center"/>
          </w:tcPr>
          <w:p w14:paraId="3B0900DA" w14:textId="77777777" w:rsidR="0069613A" w:rsidRDefault="00724B0E">
            <w:pPr>
              <w:pStyle w:val="TableText"/>
              <w:keepNext w:val="0"/>
              <w:widowControl w:val="0"/>
              <w:spacing w:after="0"/>
              <w:jc w:val="both"/>
              <w:rPr>
                <w:rFonts w:ascii="宋体" w:hAnsi="宋体"/>
                <w:color w:val="000000"/>
                <w:sz w:val="24"/>
                <w:szCs w:val="24"/>
                <w:lang w:eastAsia="zh-CN"/>
              </w:rPr>
            </w:pPr>
            <w:proofErr w:type="spellStart"/>
            <w:r>
              <w:rPr>
                <w:rFonts w:ascii="宋体" w:hAnsi="宋体" w:hint="eastAsia"/>
                <w:sz w:val="24"/>
                <w:szCs w:val="24"/>
              </w:rPr>
              <w:t>自筹资金到位情况</w:t>
            </w:r>
            <w:proofErr w:type="spellEnd"/>
          </w:p>
        </w:tc>
        <w:tc>
          <w:tcPr>
            <w:tcW w:w="2835" w:type="dxa"/>
            <w:vAlign w:val="center"/>
          </w:tcPr>
          <w:p w14:paraId="63727752"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已全部到位</w:t>
            </w:r>
          </w:p>
        </w:tc>
        <w:tc>
          <w:tcPr>
            <w:tcW w:w="2828" w:type="dxa"/>
            <w:vAlign w:val="center"/>
          </w:tcPr>
          <w:p w14:paraId="3958739C"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预计优于贷款到位</w:t>
            </w:r>
          </w:p>
        </w:tc>
        <w:tc>
          <w:tcPr>
            <w:tcW w:w="2984" w:type="dxa"/>
            <w:gridSpan w:val="3"/>
            <w:vAlign w:val="center"/>
          </w:tcPr>
          <w:p w14:paraId="1157F3F4"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预计与贷款同比例到位</w:t>
            </w:r>
          </w:p>
        </w:tc>
        <w:tc>
          <w:tcPr>
            <w:tcW w:w="2835" w:type="dxa"/>
            <w:gridSpan w:val="2"/>
            <w:vAlign w:val="center"/>
          </w:tcPr>
          <w:p w14:paraId="763687AB"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迟于贷款到位或无法到位</w:t>
            </w:r>
          </w:p>
        </w:tc>
      </w:tr>
      <w:tr w:rsidR="0069613A" w14:paraId="481F66CF" w14:textId="77777777">
        <w:trPr>
          <w:cantSplit/>
          <w:trHeight w:val="340"/>
        </w:trPr>
        <w:tc>
          <w:tcPr>
            <w:tcW w:w="3047" w:type="dxa"/>
            <w:vAlign w:val="center"/>
          </w:tcPr>
          <w:p w14:paraId="7C17E674" w14:textId="77777777" w:rsidR="0069613A" w:rsidRDefault="00724B0E">
            <w:pPr>
              <w:pStyle w:val="TableText"/>
              <w:widowControl w:val="0"/>
              <w:spacing w:after="0"/>
              <w:jc w:val="both"/>
              <w:rPr>
                <w:rFonts w:ascii="宋体" w:hAnsi="宋体"/>
                <w:b/>
                <w:color w:val="000000"/>
                <w:sz w:val="24"/>
                <w:szCs w:val="24"/>
                <w:lang w:eastAsia="zh-CN"/>
              </w:rPr>
            </w:pPr>
            <w:r>
              <w:rPr>
                <w:rFonts w:ascii="宋体" w:hAnsi="宋体" w:hint="eastAsia"/>
                <w:b/>
                <w:color w:val="000000"/>
                <w:sz w:val="24"/>
                <w:szCs w:val="24"/>
                <w:lang w:eastAsia="zh-CN"/>
              </w:rPr>
              <w:lastRenderedPageBreak/>
              <w:t>担保安排</w:t>
            </w:r>
          </w:p>
        </w:tc>
        <w:tc>
          <w:tcPr>
            <w:tcW w:w="2835" w:type="dxa"/>
            <w:vAlign w:val="center"/>
          </w:tcPr>
          <w:p w14:paraId="3BF0F9DC" w14:textId="77777777" w:rsidR="0069613A" w:rsidRDefault="0069613A">
            <w:pPr>
              <w:pStyle w:val="TableText"/>
              <w:widowControl w:val="0"/>
              <w:spacing w:after="0"/>
              <w:jc w:val="both"/>
              <w:rPr>
                <w:rFonts w:ascii="宋体" w:hAnsi="宋体"/>
                <w:b/>
                <w:color w:val="000000"/>
                <w:sz w:val="24"/>
                <w:szCs w:val="24"/>
                <w:lang w:eastAsia="zh-CN"/>
              </w:rPr>
            </w:pPr>
          </w:p>
        </w:tc>
        <w:tc>
          <w:tcPr>
            <w:tcW w:w="2828" w:type="dxa"/>
            <w:vAlign w:val="center"/>
          </w:tcPr>
          <w:p w14:paraId="26AE415E" w14:textId="77777777" w:rsidR="0069613A" w:rsidRDefault="0069613A">
            <w:pPr>
              <w:pStyle w:val="TableText"/>
              <w:widowControl w:val="0"/>
              <w:spacing w:after="0"/>
              <w:jc w:val="both"/>
              <w:rPr>
                <w:rFonts w:ascii="宋体" w:hAnsi="宋体"/>
                <w:b/>
                <w:color w:val="000000"/>
                <w:sz w:val="24"/>
                <w:szCs w:val="24"/>
                <w:lang w:eastAsia="zh-CN"/>
              </w:rPr>
            </w:pPr>
          </w:p>
        </w:tc>
        <w:tc>
          <w:tcPr>
            <w:tcW w:w="2984" w:type="dxa"/>
            <w:gridSpan w:val="3"/>
            <w:vAlign w:val="center"/>
          </w:tcPr>
          <w:p w14:paraId="060E81D4" w14:textId="77777777" w:rsidR="0069613A" w:rsidRDefault="0069613A">
            <w:pPr>
              <w:pStyle w:val="TableText"/>
              <w:widowControl w:val="0"/>
              <w:spacing w:after="0"/>
              <w:jc w:val="both"/>
              <w:rPr>
                <w:rFonts w:ascii="宋体" w:hAnsi="宋体"/>
                <w:b/>
                <w:color w:val="000000"/>
                <w:sz w:val="24"/>
                <w:szCs w:val="24"/>
                <w:lang w:eastAsia="zh-CN"/>
              </w:rPr>
            </w:pPr>
          </w:p>
        </w:tc>
        <w:tc>
          <w:tcPr>
            <w:tcW w:w="2835" w:type="dxa"/>
            <w:gridSpan w:val="2"/>
            <w:vAlign w:val="center"/>
          </w:tcPr>
          <w:p w14:paraId="75974AD9" w14:textId="77777777" w:rsidR="0069613A" w:rsidRDefault="0069613A">
            <w:pPr>
              <w:pStyle w:val="TableText"/>
              <w:widowControl w:val="0"/>
              <w:spacing w:after="0"/>
              <w:jc w:val="both"/>
              <w:rPr>
                <w:rFonts w:ascii="宋体" w:hAnsi="宋体"/>
                <w:b/>
                <w:color w:val="000000"/>
                <w:sz w:val="24"/>
                <w:szCs w:val="24"/>
                <w:lang w:eastAsia="zh-CN"/>
              </w:rPr>
            </w:pPr>
          </w:p>
        </w:tc>
      </w:tr>
      <w:tr w:rsidR="0069613A" w14:paraId="03A2C812" w14:textId="77777777">
        <w:trPr>
          <w:cantSplit/>
          <w:trHeight w:val="340"/>
        </w:trPr>
        <w:tc>
          <w:tcPr>
            <w:tcW w:w="3047" w:type="dxa"/>
            <w:vAlign w:val="center"/>
          </w:tcPr>
          <w:p w14:paraId="77B7F654"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留置权性质</w:t>
            </w:r>
          </w:p>
        </w:tc>
        <w:tc>
          <w:tcPr>
            <w:tcW w:w="2835" w:type="dxa"/>
            <w:vAlign w:val="center"/>
          </w:tcPr>
          <w:p w14:paraId="6771DA44" w14:textId="77777777" w:rsidR="0069613A" w:rsidRDefault="00724B0E">
            <w:pPr>
              <w:pStyle w:val="TableText"/>
              <w:keepNext w:val="0"/>
              <w:widowControl w:val="0"/>
              <w:spacing w:after="0"/>
              <w:jc w:val="both"/>
              <w:rPr>
                <w:rFonts w:ascii="宋体" w:hAnsi="宋体"/>
                <w:color w:val="000000"/>
                <w:sz w:val="24"/>
                <w:szCs w:val="24"/>
                <w:lang w:val="en-US" w:eastAsia="zh-CN"/>
              </w:rPr>
            </w:pPr>
            <w:r>
              <w:rPr>
                <w:rFonts w:ascii="宋体" w:hAnsi="宋体" w:hint="eastAsia"/>
                <w:color w:val="000000"/>
                <w:sz w:val="24"/>
                <w:szCs w:val="24"/>
                <w:lang w:eastAsia="zh-CN"/>
              </w:rPr>
              <w:t>拥有手续完备的第一顺位留置权</w:t>
            </w:r>
          </w:p>
        </w:tc>
        <w:tc>
          <w:tcPr>
            <w:tcW w:w="2828" w:type="dxa"/>
            <w:vAlign w:val="center"/>
          </w:tcPr>
          <w:p w14:paraId="15CF5652"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拥有手续完备的第一顺位留置权</w:t>
            </w:r>
            <w:r>
              <w:rPr>
                <w:rFonts w:ascii="宋体" w:hAnsi="宋体"/>
                <w:color w:val="000000"/>
                <w:sz w:val="24"/>
                <w:szCs w:val="24"/>
                <w:lang w:eastAsia="zh-CN"/>
              </w:rPr>
              <w:t xml:space="preserve"> </w:t>
            </w:r>
          </w:p>
        </w:tc>
        <w:tc>
          <w:tcPr>
            <w:tcW w:w="2984" w:type="dxa"/>
            <w:gridSpan w:val="3"/>
            <w:vAlign w:val="center"/>
          </w:tcPr>
          <w:p w14:paraId="4E2F45AE"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拥有手续完备的第一顺位留置权</w:t>
            </w:r>
            <w:r>
              <w:rPr>
                <w:rFonts w:ascii="宋体" w:hAnsi="宋体"/>
                <w:color w:val="000000"/>
                <w:sz w:val="24"/>
                <w:szCs w:val="24"/>
                <w:vertAlign w:val="superscript"/>
                <w:lang w:eastAsia="zh-CN"/>
              </w:rPr>
              <w:t xml:space="preserve">  </w:t>
            </w:r>
          </w:p>
        </w:tc>
        <w:tc>
          <w:tcPr>
            <w:tcW w:w="2835" w:type="dxa"/>
            <w:gridSpan w:val="2"/>
            <w:vAlign w:val="center"/>
          </w:tcPr>
          <w:p w14:paraId="0690FF67"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贷款人的执行抵质权的能力受到限制</w:t>
            </w:r>
          </w:p>
        </w:tc>
      </w:tr>
      <w:tr w:rsidR="0069613A" w14:paraId="731B99FA" w14:textId="77777777">
        <w:trPr>
          <w:cantSplit/>
          <w:trHeight w:val="340"/>
        </w:trPr>
        <w:tc>
          <w:tcPr>
            <w:tcW w:w="3047" w:type="dxa"/>
            <w:vAlign w:val="center"/>
          </w:tcPr>
          <w:p w14:paraId="16E2101E"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租金分配（</w:t>
            </w:r>
            <w:r>
              <w:rPr>
                <w:rFonts w:ascii="宋体" w:hAnsi="宋体" w:hint="eastAsia"/>
                <w:color w:val="000000"/>
                <w:sz w:val="24"/>
                <w:szCs w:val="24"/>
                <w:lang w:val="en-US" w:eastAsia="zh-CN"/>
              </w:rPr>
              <w:t>长期出</w:t>
            </w:r>
            <w:r>
              <w:rPr>
                <w:rFonts w:ascii="宋体" w:hAnsi="宋体" w:hint="eastAsia"/>
                <w:color w:val="000000"/>
                <w:sz w:val="24"/>
                <w:szCs w:val="24"/>
                <w:lang w:eastAsia="zh-CN"/>
              </w:rPr>
              <w:t>租的房地产项目）</w:t>
            </w:r>
          </w:p>
        </w:tc>
        <w:tc>
          <w:tcPr>
            <w:tcW w:w="2835" w:type="dxa"/>
            <w:vAlign w:val="center"/>
          </w:tcPr>
          <w:p w14:paraId="7990FD80" w14:textId="77777777" w:rsidR="0069613A" w:rsidRDefault="00724B0E">
            <w:pPr>
              <w:pStyle w:val="TableText"/>
              <w:keepNext w:val="0"/>
              <w:widowControl w:val="0"/>
              <w:spacing w:after="0"/>
              <w:jc w:val="both"/>
              <w:rPr>
                <w:rFonts w:ascii="宋体" w:hAnsi="宋体"/>
                <w:b/>
                <w:color w:val="000000"/>
                <w:sz w:val="24"/>
                <w:szCs w:val="24"/>
                <w:lang w:eastAsia="zh-CN"/>
              </w:rPr>
            </w:pPr>
            <w:r>
              <w:rPr>
                <w:rFonts w:ascii="宋体" w:hAnsi="宋体" w:hint="eastAsia"/>
                <w:color w:val="000000"/>
                <w:sz w:val="24"/>
                <w:szCs w:val="24"/>
                <w:lang w:eastAsia="zh-CN"/>
              </w:rPr>
              <w:t>银行已经获得租金分配，并掌握现租户的信息，如出租表单、项目租约的副本，以通知租户直接向贷款人缴纳租金</w:t>
            </w:r>
          </w:p>
        </w:tc>
        <w:tc>
          <w:tcPr>
            <w:tcW w:w="2828" w:type="dxa"/>
            <w:vAlign w:val="center"/>
          </w:tcPr>
          <w:p w14:paraId="4A5A16F4"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银行已经获得租金分配，并掌握现租户的信息，如出租表单、项目租约的副本，以通知租户直接向贷款人缴纳租金</w:t>
            </w:r>
          </w:p>
        </w:tc>
        <w:tc>
          <w:tcPr>
            <w:tcW w:w="2984" w:type="dxa"/>
            <w:gridSpan w:val="3"/>
            <w:vAlign w:val="center"/>
          </w:tcPr>
          <w:p w14:paraId="7D2F676D"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银行已经获得租金分配，并掌握现租户的信息，如出租表单、项目租约的副本，以通知租户直接向贷款人缴纳租金</w:t>
            </w:r>
          </w:p>
        </w:tc>
        <w:tc>
          <w:tcPr>
            <w:tcW w:w="2835" w:type="dxa"/>
            <w:gridSpan w:val="2"/>
            <w:vAlign w:val="center"/>
          </w:tcPr>
          <w:p w14:paraId="1E9FCA2B"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银行尚未获得租金分配，或未掌握用于向租户发通知的必要信息</w:t>
            </w:r>
          </w:p>
        </w:tc>
      </w:tr>
      <w:tr w:rsidR="0069613A" w14:paraId="18F35F5A" w14:textId="77777777">
        <w:trPr>
          <w:cantSplit/>
          <w:trHeight w:val="340"/>
        </w:trPr>
        <w:tc>
          <w:tcPr>
            <w:tcW w:w="3047" w:type="dxa"/>
            <w:vAlign w:val="center"/>
          </w:tcPr>
          <w:p w14:paraId="04EEFB2B"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保险覆盖面情况</w:t>
            </w:r>
          </w:p>
        </w:tc>
        <w:tc>
          <w:tcPr>
            <w:tcW w:w="2835" w:type="dxa"/>
            <w:vAlign w:val="center"/>
          </w:tcPr>
          <w:p w14:paraId="5F265119"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适当</w:t>
            </w:r>
          </w:p>
        </w:tc>
        <w:tc>
          <w:tcPr>
            <w:tcW w:w="2828" w:type="dxa"/>
            <w:vAlign w:val="center"/>
          </w:tcPr>
          <w:p w14:paraId="5C0219ED"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适当</w:t>
            </w:r>
          </w:p>
        </w:tc>
        <w:tc>
          <w:tcPr>
            <w:tcW w:w="2984" w:type="dxa"/>
            <w:gridSpan w:val="3"/>
            <w:vAlign w:val="center"/>
          </w:tcPr>
          <w:p w14:paraId="57A97DE0"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适当</w:t>
            </w:r>
          </w:p>
        </w:tc>
        <w:tc>
          <w:tcPr>
            <w:tcW w:w="2835" w:type="dxa"/>
            <w:gridSpan w:val="2"/>
            <w:vAlign w:val="center"/>
          </w:tcPr>
          <w:p w14:paraId="1C4EDFFB" w14:textId="77777777" w:rsidR="0069613A" w:rsidRDefault="00724B0E">
            <w:pPr>
              <w:pStyle w:val="TableText"/>
              <w:keepNext w:val="0"/>
              <w:widowControl w:val="0"/>
              <w:spacing w:after="0"/>
              <w:jc w:val="both"/>
              <w:rPr>
                <w:rFonts w:ascii="宋体" w:hAnsi="宋体"/>
                <w:color w:val="000000"/>
                <w:sz w:val="24"/>
                <w:szCs w:val="24"/>
                <w:lang w:eastAsia="zh-CN"/>
              </w:rPr>
            </w:pPr>
            <w:r>
              <w:rPr>
                <w:rFonts w:ascii="宋体" w:hAnsi="宋体" w:hint="eastAsia"/>
                <w:color w:val="000000"/>
                <w:sz w:val="24"/>
                <w:szCs w:val="24"/>
                <w:lang w:eastAsia="zh-CN"/>
              </w:rPr>
              <w:t>不合格</w:t>
            </w:r>
          </w:p>
        </w:tc>
      </w:tr>
    </w:tbl>
    <w:p w14:paraId="4B9DB7E4" w14:textId="77777777" w:rsidR="0069613A" w:rsidRDefault="0069613A">
      <w:pPr>
        <w:adjustRightInd w:val="0"/>
        <w:spacing w:line="360" w:lineRule="auto"/>
      </w:pPr>
    </w:p>
    <w:sectPr w:rsidR="0069613A">
      <w:pgSz w:w="16838" w:h="11906" w:orient="landscape"/>
      <w:pgMar w:top="1797" w:right="1440" w:bottom="1797" w:left="144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96B2B" w14:textId="77777777" w:rsidR="00B273CF" w:rsidRDefault="00B273CF">
      <w:r>
        <w:separator/>
      </w:r>
    </w:p>
  </w:endnote>
  <w:endnote w:type="continuationSeparator" w:id="0">
    <w:p w14:paraId="14339621" w14:textId="77777777" w:rsidR="00B273CF" w:rsidRDefault="00B27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B0604020202020204"/>
    <w:charset w:val="86"/>
    <w:family w:val="modern"/>
    <w:pitch w:val="fixed"/>
    <w:sig w:usb0="00000001"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1" w:csb1="00000000"/>
  </w:font>
  <w:font w:name="楷体_GB2312">
    <w:panose1 w:val="020B0604020202020204"/>
    <w:charset w:val="86"/>
    <w:family w:val="modern"/>
    <w:pitch w:val="fixed"/>
    <w:sig w:usb0="00000001" w:usb1="080E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853"/>
      <w:gridCol w:w="8219"/>
    </w:tblGrid>
    <w:tr w:rsidR="0069613A" w14:paraId="6541897A" w14:textId="77777777">
      <w:trPr>
        <w:cantSplit/>
        <w:trHeight w:val="160"/>
      </w:trPr>
      <w:tc>
        <w:tcPr>
          <w:tcW w:w="853" w:type="dxa"/>
        </w:tcPr>
        <w:p w14:paraId="68757EA8" w14:textId="77777777" w:rsidR="0069613A" w:rsidRDefault="00724B0E">
          <w:r>
            <w:fldChar w:fldCharType="begin"/>
          </w:r>
          <w:r>
            <w:rPr>
              <w:rStyle w:val="af0"/>
            </w:rPr>
            <w:instrText xml:space="preserve"> PAGE </w:instrText>
          </w:r>
          <w:r>
            <w:fldChar w:fldCharType="separate"/>
          </w:r>
          <w:r>
            <w:rPr>
              <w:rStyle w:val="af0"/>
            </w:rPr>
            <w:t>144</w:t>
          </w:r>
          <w:r>
            <w:fldChar w:fldCharType="end"/>
          </w:r>
        </w:p>
      </w:tc>
      <w:tc>
        <w:tcPr>
          <w:tcW w:w="8219" w:type="dxa"/>
          <w:tcBorders>
            <w:left w:val="nil"/>
          </w:tcBorders>
        </w:tcPr>
        <w:p w14:paraId="7E88E837" w14:textId="77777777" w:rsidR="0069613A" w:rsidRDefault="0069613A">
          <w:pPr>
            <w:pStyle w:val="FootertextEven"/>
          </w:pPr>
        </w:p>
      </w:tc>
    </w:tr>
  </w:tbl>
  <w:p w14:paraId="1E440522" w14:textId="77777777" w:rsidR="0069613A" w:rsidRDefault="0069613A">
    <w:pPr>
      <w:pStyle w:val="Footerempt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460747"/>
    </w:sdtPr>
    <w:sdtEndPr>
      <w:rPr>
        <w:rFonts w:ascii="宋体" w:hAnsi="宋体"/>
        <w:sz w:val="21"/>
        <w:szCs w:val="18"/>
      </w:rPr>
    </w:sdtEndPr>
    <w:sdtContent>
      <w:p w14:paraId="4D6AC554" w14:textId="77777777" w:rsidR="0069613A" w:rsidRDefault="00724B0E">
        <w:pPr>
          <w:pStyle w:val="a9"/>
          <w:jc w:val="center"/>
          <w:rPr>
            <w:rFonts w:ascii="宋体" w:hAnsi="宋体"/>
            <w:sz w:val="21"/>
            <w:szCs w:val="18"/>
          </w:rPr>
        </w:pPr>
        <w:r>
          <w:rPr>
            <w:rFonts w:ascii="宋体" w:hAnsi="宋体"/>
            <w:sz w:val="21"/>
            <w:szCs w:val="18"/>
          </w:rPr>
          <w:fldChar w:fldCharType="begin"/>
        </w:r>
        <w:r>
          <w:rPr>
            <w:rFonts w:ascii="宋体" w:hAnsi="宋体"/>
            <w:sz w:val="21"/>
            <w:szCs w:val="18"/>
          </w:rPr>
          <w:instrText>PAGE   \* MERGEFORMAT</w:instrText>
        </w:r>
        <w:r>
          <w:rPr>
            <w:rFonts w:ascii="宋体" w:hAnsi="宋体"/>
            <w:sz w:val="21"/>
            <w:szCs w:val="18"/>
          </w:rPr>
          <w:fldChar w:fldCharType="separate"/>
        </w:r>
        <w:r>
          <w:rPr>
            <w:rFonts w:ascii="宋体" w:hAnsi="宋体"/>
            <w:sz w:val="21"/>
            <w:szCs w:val="18"/>
            <w:lang w:val="zh-CN" w:eastAsia="zh-CN"/>
          </w:rPr>
          <w:t>2</w:t>
        </w:r>
        <w:r>
          <w:rPr>
            <w:rFonts w:ascii="宋体" w:hAnsi="宋体"/>
            <w:sz w:val="21"/>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 w:type="dxa"/>
      <w:tblLayout w:type="fixed"/>
      <w:tblCellMar>
        <w:left w:w="0" w:type="dxa"/>
        <w:right w:w="0" w:type="dxa"/>
      </w:tblCellMar>
      <w:tblLook w:val="04A0" w:firstRow="1" w:lastRow="0" w:firstColumn="1" w:lastColumn="0" w:noHBand="0" w:noVBand="1"/>
    </w:tblPr>
    <w:tblGrid>
      <w:gridCol w:w="3969"/>
      <w:gridCol w:w="5103"/>
    </w:tblGrid>
    <w:tr w:rsidR="0069613A" w14:paraId="3980D503" w14:textId="77777777">
      <w:trPr>
        <w:cantSplit/>
        <w:trHeight w:val="160"/>
      </w:trPr>
      <w:tc>
        <w:tcPr>
          <w:tcW w:w="3969" w:type="dxa"/>
        </w:tcPr>
        <w:p w14:paraId="0A7C181D" w14:textId="77777777" w:rsidR="0069613A" w:rsidRDefault="0069613A">
          <w:pPr>
            <w:pStyle w:val="FootertextOdd"/>
          </w:pPr>
        </w:p>
      </w:tc>
      <w:tc>
        <w:tcPr>
          <w:tcW w:w="5103" w:type="dxa"/>
        </w:tcPr>
        <w:p w14:paraId="55B5C62F" w14:textId="77777777" w:rsidR="0069613A" w:rsidRDefault="00724B0E">
          <w:pPr>
            <w:tabs>
              <w:tab w:val="center" w:pos="567"/>
            </w:tabs>
            <w:spacing w:before="120"/>
            <w:rPr>
              <w:rStyle w:val="af0"/>
            </w:rPr>
          </w:pPr>
          <w:r>
            <w:tab/>
          </w:r>
          <w:r>
            <w:fldChar w:fldCharType="begin"/>
          </w:r>
          <w:r>
            <w:rPr>
              <w:rStyle w:val="af0"/>
            </w:rPr>
            <w:instrText xml:space="preserve"> PAGE </w:instrText>
          </w:r>
          <w:r>
            <w:fldChar w:fldCharType="separate"/>
          </w:r>
          <w:r>
            <w:rPr>
              <w:rStyle w:val="af0"/>
            </w:rPr>
            <w:t>1</w:t>
          </w:r>
          <w:r>
            <w:fldChar w:fldCharType="end"/>
          </w:r>
          <w:r>
            <w:rPr>
              <w:rStyle w:val="af0"/>
            </w:rPr>
            <w:t>/</w:t>
          </w:r>
          <w:r>
            <w:fldChar w:fldCharType="begin"/>
          </w:r>
          <w:r>
            <w:rPr>
              <w:rStyle w:val="af0"/>
            </w:rPr>
            <w:instrText xml:space="preserve"> NUMPAGES </w:instrText>
          </w:r>
          <w:r>
            <w:fldChar w:fldCharType="separate"/>
          </w:r>
          <w:r>
            <w:rPr>
              <w:rStyle w:val="af0"/>
            </w:rPr>
            <w:t>22</w:t>
          </w:r>
          <w:r>
            <w:fldChar w:fldCharType="end"/>
          </w:r>
        </w:p>
      </w:tc>
    </w:tr>
  </w:tbl>
  <w:p w14:paraId="1E78A910" w14:textId="77777777" w:rsidR="0069613A" w:rsidRDefault="0069613A">
    <w:pPr>
      <w:pStyle w:val="Footerempt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0585C" w14:textId="77777777" w:rsidR="00B273CF" w:rsidRDefault="00B273CF">
      <w:r>
        <w:separator/>
      </w:r>
    </w:p>
  </w:footnote>
  <w:footnote w:type="continuationSeparator" w:id="0">
    <w:p w14:paraId="0D44F2EC" w14:textId="77777777" w:rsidR="00B273CF" w:rsidRDefault="00B27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97" w:type="dxa"/>
      <w:tblLayout w:type="fixed"/>
      <w:tblLook w:val="04A0" w:firstRow="1" w:lastRow="0" w:firstColumn="1" w:lastColumn="0" w:noHBand="0" w:noVBand="1"/>
    </w:tblPr>
    <w:tblGrid>
      <w:gridCol w:w="392"/>
      <w:gridCol w:w="9287"/>
    </w:tblGrid>
    <w:tr w:rsidR="0069613A" w14:paraId="37D5FC03" w14:textId="77777777">
      <w:tc>
        <w:tcPr>
          <w:tcW w:w="392" w:type="dxa"/>
        </w:tcPr>
        <w:p w14:paraId="54B609C5" w14:textId="77777777" w:rsidR="0069613A" w:rsidRDefault="0069613A">
          <w:pPr>
            <w:pStyle w:val="Logo"/>
          </w:pPr>
        </w:p>
      </w:tc>
      <w:tc>
        <w:tcPr>
          <w:tcW w:w="9287" w:type="dxa"/>
        </w:tcPr>
        <w:p w14:paraId="66A19C89" w14:textId="77777777" w:rsidR="0069613A" w:rsidRDefault="00724B0E">
          <w:pPr>
            <w:pStyle w:val="ab"/>
            <w:pBdr>
              <w:bottom w:val="single" w:sz="4" w:space="7" w:color="auto"/>
            </w:pBdr>
            <w:tabs>
              <w:tab w:val="clear" w:pos="4536"/>
            </w:tabs>
          </w:pPr>
          <w:r>
            <w:rPr>
              <w:noProof/>
              <w:lang w:val="en-US" w:eastAsia="zh-CN"/>
            </w:rPr>
            <w:drawing>
              <wp:inline distT="0" distB="0" distL="0" distR="0" wp14:anchorId="63343411" wp14:editId="64BE6104">
                <wp:extent cx="4016375" cy="651510"/>
                <wp:effectExtent l="0" t="0" r="0" b="0"/>
                <wp:docPr id="1" name="图片 1" descr="BCBS_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CBS_e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016375" cy="651510"/>
                        </a:xfrm>
                        <a:prstGeom prst="rect">
                          <a:avLst/>
                        </a:prstGeom>
                        <a:noFill/>
                        <a:ln>
                          <a:noFill/>
                        </a:ln>
                      </pic:spPr>
                    </pic:pic>
                  </a:graphicData>
                </a:graphic>
              </wp:inline>
            </w:drawing>
          </w:r>
        </w:p>
        <w:p w14:paraId="60FF2908" w14:textId="77777777" w:rsidR="0069613A" w:rsidRDefault="0069613A">
          <w:pPr>
            <w:pStyle w:val="Footerempty"/>
          </w:pPr>
        </w:p>
      </w:tc>
    </w:tr>
  </w:tbl>
  <w:p w14:paraId="2731CC58" w14:textId="77777777" w:rsidR="0069613A" w:rsidRDefault="0069613A">
    <w:pPr>
      <w:pStyle w:val="ab"/>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F1B"/>
    <w:rsid w:val="93FE8799"/>
    <w:rsid w:val="94BD8840"/>
    <w:rsid w:val="FEBD8941"/>
    <w:rsid w:val="00002173"/>
    <w:rsid w:val="000040E2"/>
    <w:rsid w:val="000174F8"/>
    <w:rsid w:val="00025468"/>
    <w:rsid w:val="00042491"/>
    <w:rsid w:val="00042687"/>
    <w:rsid w:val="000430FA"/>
    <w:rsid w:val="0004636B"/>
    <w:rsid w:val="00047F5F"/>
    <w:rsid w:val="00050465"/>
    <w:rsid w:val="00053578"/>
    <w:rsid w:val="00056D99"/>
    <w:rsid w:val="000606DA"/>
    <w:rsid w:val="0006486A"/>
    <w:rsid w:val="0006792F"/>
    <w:rsid w:val="00073710"/>
    <w:rsid w:val="000777F3"/>
    <w:rsid w:val="0008189A"/>
    <w:rsid w:val="00084F83"/>
    <w:rsid w:val="00095FB4"/>
    <w:rsid w:val="00097849"/>
    <w:rsid w:val="000A19EA"/>
    <w:rsid w:val="000A3645"/>
    <w:rsid w:val="000B1432"/>
    <w:rsid w:val="000B2491"/>
    <w:rsid w:val="000B5DEB"/>
    <w:rsid w:val="000B6289"/>
    <w:rsid w:val="000C06F8"/>
    <w:rsid w:val="000C159F"/>
    <w:rsid w:val="000C33F6"/>
    <w:rsid w:val="000C39E2"/>
    <w:rsid w:val="000C630E"/>
    <w:rsid w:val="000E61B2"/>
    <w:rsid w:val="000F0F8F"/>
    <w:rsid w:val="000F5C4C"/>
    <w:rsid w:val="00107C7A"/>
    <w:rsid w:val="001114DF"/>
    <w:rsid w:val="00115F49"/>
    <w:rsid w:val="00122A94"/>
    <w:rsid w:val="00124BF1"/>
    <w:rsid w:val="0013090C"/>
    <w:rsid w:val="0013572C"/>
    <w:rsid w:val="001508F8"/>
    <w:rsid w:val="0015410E"/>
    <w:rsid w:val="00156047"/>
    <w:rsid w:val="00162C37"/>
    <w:rsid w:val="00162DB2"/>
    <w:rsid w:val="0017427E"/>
    <w:rsid w:val="00176441"/>
    <w:rsid w:val="00177F63"/>
    <w:rsid w:val="00183080"/>
    <w:rsid w:val="00185165"/>
    <w:rsid w:val="001A3DFE"/>
    <w:rsid w:val="001B0393"/>
    <w:rsid w:val="001C07CB"/>
    <w:rsid w:val="001D61DF"/>
    <w:rsid w:val="001E6C00"/>
    <w:rsid w:val="001F2BBB"/>
    <w:rsid w:val="00204215"/>
    <w:rsid w:val="002147F5"/>
    <w:rsid w:val="00224B71"/>
    <w:rsid w:val="0024272C"/>
    <w:rsid w:val="002427ED"/>
    <w:rsid w:val="002535B9"/>
    <w:rsid w:val="00264AAD"/>
    <w:rsid w:val="00275F87"/>
    <w:rsid w:val="00276843"/>
    <w:rsid w:val="00280805"/>
    <w:rsid w:val="00283671"/>
    <w:rsid w:val="00284BF3"/>
    <w:rsid w:val="00287190"/>
    <w:rsid w:val="0029203C"/>
    <w:rsid w:val="002A2088"/>
    <w:rsid w:val="002B54B1"/>
    <w:rsid w:val="002D1F2B"/>
    <w:rsid w:val="002D6A14"/>
    <w:rsid w:val="002D7219"/>
    <w:rsid w:val="002E1B26"/>
    <w:rsid w:val="002E2BD8"/>
    <w:rsid w:val="002E47A9"/>
    <w:rsid w:val="002F788C"/>
    <w:rsid w:val="00305CFE"/>
    <w:rsid w:val="00312A6F"/>
    <w:rsid w:val="00322802"/>
    <w:rsid w:val="00325DC1"/>
    <w:rsid w:val="00326788"/>
    <w:rsid w:val="00336048"/>
    <w:rsid w:val="0033709F"/>
    <w:rsid w:val="0034032C"/>
    <w:rsid w:val="00342296"/>
    <w:rsid w:val="00345E93"/>
    <w:rsid w:val="00346F35"/>
    <w:rsid w:val="00355435"/>
    <w:rsid w:val="00355723"/>
    <w:rsid w:val="003606DB"/>
    <w:rsid w:val="00362AD6"/>
    <w:rsid w:val="003640CE"/>
    <w:rsid w:val="00373764"/>
    <w:rsid w:val="0038379C"/>
    <w:rsid w:val="00394193"/>
    <w:rsid w:val="00395281"/>
    <w:rsid w:val="003A0469"/>
    <w:rsid w:val="003A2526"/>
    <w:rsid w:val="003B0FC6"/>
    <w:rsid w:val="003B245F"/>
    <w:rsid w:val="003B405B"/>
    <w:rsid w:val="003B456C"/>
    <w:rsid w:val="003B661B"/>
    <w:rsid w:val="003C75B6"/>
    <w:rsid w:val="003D440E"/>
    <w:rsid w:val="003E6CAF"/>
    <w:rsid w:val="003F3FA1"/>
    <w:rsid w:val="003F6B6C"/>
    <w:rsid w:val="00400B3E"/>
    <w:rsid w:val="004073A8"/>
    <w:rsid w:val="00410B48"/>
    <w:rsid w:val="0041290B"/>
    <w:rsid w:val="00412DE1"/>
    <w:rsid w:val="004337BC"/>
    <w:rsid w:val="00435551"/>
    <w:rsid w:val="00444C77"/>
    <w:rsid w:val="0045767B"/>
    <w:rsid w:val="00462240"/>
    <w:rsid w:val="004624EB"/>
    <w:rsid w:val="00466183"/>
    <w:rsid w:val="00475870"/>
    <w:rsid w:val="0047762C"/>
    <w:rsid w:val="00484847"/>
    <w:rsid w:val="004855D8"/>
    <w:rsid w:val="004A3561"/>
    <w:rsid w:val="004B7B96"/>
    <w:rsid w:val="004C1F1B"/>
    <w:rsid w:val="004C262B"/>
    <w:rsid w:val="004E0D47"/>
    <w:rsid w:val="004E325A"/>
    <w:rsid w:val="004F2BE4"/>
    <w:rsid w:val="004F57C6"/>
    <w:rsid w:val="00507087"/>
    <w:rsid w:val="00511220"/>
    <w:rsid w:val="00514405"/>
    <w:rsid w:val="0052285B"/>
    <w:rsid w:val="0052382C"/>
    <w:rsid w:val="0052531D"/>
    <w:rsid w:val="0052683F"/>
    <w:rsid w:val="00531B29"/>
    <w:rsid w:val="005378B0"/>
    <w:rsid w:val="0054292E"/>
    <w:rsid w:val="00550ED8"/>
    <w:rsid w:val="00564E3D"/>
    <w:rsid w:val="005806F8"/>
    <w:rsid w:val="00586EF0"/>
    <w:rsid w:val="0058749B"/>
    <w:rsid w:val="0059047D"/>
    <w:rsid w:val="0059091D"/>
    <w:rsid w:val="00590A03"/>
    <w:rsid w:val="00596797"/>
    <w:rsid w:val="00596B56"/>
    <w:rsid w:val="005B0CB8"/>
    <w:rsid w:val="005B2471"/>
    <w:rsid w:val="005B31F3"/>
    <w:rsid w:val="005B3281"/>
    <w:rsid w:val="005B611D"/>
    <w:rsid w:val="005B6C39"/>
    <w:rsid w:val="005B796D"/>
    <w:rsid w:val="005C6D1A"/>
    <w:rsid w:val="005C7916"/>
    <w:rsid w:val="005D5E18"/>
    <w:rsid w:val="005E3ADA"/>
    <w:rsid w:val="005E3F06"/>
    <w:rsid w:val="0060585B"/>
    <w:rsid w:val="0062162E"/>
    <w:rsid w:val="006254BA"/>
    <w:rsid w:val="00625A9D"/>
    <w:rsid w:val="0063012A"/>
    <w:rsid w:val="006314E4"/>
    <w:rsid w:val="00633AF5"/>
    <w:rsid w:val="006417BE"/>
    <w:rsid w:val="0064419A"/>
    <w:rsid w:val="00647BC0"/>
    <w:rsid w:val="00654202"/>
    <w:rsid w:val="00666A30"/>
    <w:rsid w:val="00670A0F"/>
    <w:rsid w:val="0069613A"/>
    <w:rsid w:val="006972AB"/>
    <w:rsid w:val="006A3C3B"/>
    <w:rsid w:val="006A4EF8"/>
    <w:rsid w:val="006B21D9"/>
    <w:rsid w:val="006C1596"/>
    <w:rsid w:val="006C48B8"/>
    <w:rsid w:val="006D4147"/>
    <w:rsid w:val="006E1991"/>
    <w:rsid w:val="006E7CBA"/>
    <w:rsid w:val="006F1369"/>
    <w:rsid w:val="0070238A"/>
    <w:rsid w:val="00713DAF"/>
    <w:rsid w:val="00716955"/>
    <w:rsid w:val="007243F7"/>
    <w:rsid w:val="00724B0E"/>
    <w:rsid w:val="00731B08"/>
    <w:rsid w:val="007321BD"/>
    <w:rsid w:val="00733BD9"/>
    <w:rsid w:val="007360D3"/>
    <w:rsid w:val="00742430"/>
    <w:rsid w:val="0075408D"/>
    <w:rsid w:val="00761C7D"/>
    <w:rsid w:val="00765BC8"/>
    <w:rsid w:val="00766B8E"/>
    <w:rsid w:val="007676BD"/>
    <w:rsid w:val="0077069A"/>
    <w:rsid w:val="00777C7B"/>
    <w:rsid w:val="007838C7"/>
    <w:rsid w:val="00795E4E"/>
    <w:rsid w:val="00797ABD"/>
    <w:rsid w:val="007A46CD"/>
    <w:rsid w:val="007B6BEA"/>
    <w:rsid w:val="007C5F39"/>
    <w:rsid w:val="007C6BE8"/>
    <w:rsid w:val="007C795B"/>
    <w:rsid w:val="008021BE"/>
    <w:rsid w:val="008058D0"/>
    <w:rsid w:val="00807633"/>
    <w:rsid w:val="00812B04"/>
    <w:rsid w:val="00813B53"/>
    <w:rsid w:val="00826C2B"/>
    <w:rsid w:val="00827F40"/>
    <w:rsid w:val="00832DCB"/>
    <w:rsid w:val="0083707C"/>
    <w:rsid w:val="0084488F"/>
    <w:rsid w:val="008474E5"/>
    <w:rsid w:val="00850675"/>
    <w:rsid w:val="00851FDE"/>
    <w:rsid w:val="00865722"/>
    <w:rsid w:val="00867A9D"/>
    <w:rsid w:val="0087062E"/>
    <w:rsid w:val="00875BC4"/>
    <w:rsid w:val="00883601"/>
    <w:rsid w:val="008A27F1"/>
    <w:rsid w:val="008A2EEA"/>
    <w:rsid w:val="008A4642"/>
    <w:rsid w:val="008A563E"/>
    <w:rsid w:val="008C36F7"/>
    <w:rsid w:val="008C4A22"/>
    <w:rsid w:val="008D1E0E"/>
    <w:rsid w:val="008E5145"/>
    <w:rsid w:val="00914236"/>
    <w:rsid w:val="009267FD"/>
    <w:rsid w:val="0093064F"/>
    <w:rsid w:val="00933960"/>
    <w:rsid w:val="0093487C"/>
    <w:rsid w:val="00942E3D"/>
    <w:rsid w:val="009509E1"/>
    <w:rsid w:val="00951ADF"/>
    <w:rsid w:val="00957700"/>
    <w:rsid w:val="00977ECC"/>
    <w:rsid w:val="00980965"/>
    <w:rsid w:val="0099419E"/>
    <w:rsid w:val="00995C07"/>
    <w:rsid w:val="009A19C9"/>
    <w:rsid w:val="009A1E54"/>
    <w:rsid w:val="009A45A6"/>
    <w:rsid w:val="009A670A"/>
    <w:rsid w:val="009B7CE4"/>
    <w:rsid w:val="009C6883"/>
    <w:rsid w:val="009D4750"/>
    <w:rsid w:val="009D7DE3"/>
    <w:rsid w:val="009E24B1"/>
    <w:rsid w:val="009E6040"/>
    <w:rsid w:val="009E79B0"/>
    <w:rsid w:val="009F3C95"/>
    <w:rsid w:val="009F6DD1"/>
    <w:rsid w:val="00A04010"/>
    <w:rsid w:val="00A24340"/>
    <w:rsid w:val="00A42225"/>
    <w:rsid w:val="00A505AF"/>
    <w:rsid w:val="00A647AF"/>
    <w:rsid w:val="00A66AF3"/>
    <w:rsid w:val="00A74DF3"/>
    <w:rsid w:val="00A865FE"/>
    <w:rsid w:val="00A91144"/>
    <w:rsid w:val="00A9282D"/>
    <w:rsid w:val="00A9358C"/>
    <w:rsid w:val="00AA2573"/>
    <w:rsid w:val="00AA30B5"/>
    <w:rsid w:val="00AA76D6"/>
    <w:rsid w:val="00AB0268"/>
    <w:rsid w:val="00AB6F58"/>
    <w:rsid w:val="00AC2DAA"/>
    <w:rsid w:val="00AC46CA"/>
    <w:rsid w:val="00AC604E"/>
    <w:rsid w:val="00AD39BC"/>
    <w:rsid w:val="00AD4543"/>
    <w:rsid w:val="00AE06C9"/>
    <w:rsid w:val="00AE5418"/>
    <w:rsid w:val="00AF41E3"/>
    <w:rsid w:val="00B04516"/>
    <w:rsid w:val="00B25C9F"/>
    <w:rsid w:val="00B273CF"/>
    <w:rsid w:val="00B4400B"/>
    <w:rsid w:val="00B52ACB"/>
    <w:rsid w:val="00B541F7"/>
    <w:rsid w:val="00B54884"/>
    <w:rsid w:val="00B54F39"/>
    <w:rsid w:val="00B56DF8"/>
    <w:rsid w:val="00B75124"/>
    <w:rsid w:val="00B93CDF"/>
    <w:rsid w:val="00B945EB"/>
    <w:rsid w:val="00B958A6"/>
    <w:rsid w:val="00B9737C"/>
    <w:rsid w:val="00B97707"/>
    <w:rsid w:val="00BA0378"/>
    <w:rsid w:val="00BA2074"/>
    <w:rsid w:val="00BA2DEC"/>
    <w:rsid w:val="00BA4BAE"/>
    <w:rsid w:val="00BA74FE"/>
    <w:rsid w:val="00BB5564"/>
    <w:rsid w:val="00BD431A"/>
    <w:rsid w:val="00BD4432"/>
    <w:rsid w:val="00BD79C9"/>
    <w:rsid w:val="00BD7D91"/>
    <w:rsid w:val="00BD7FDB"/>
    <w:rsid w:val="00BE1B11"/>
    <w:rsid w:val="00BE2DDC"/>
    <w:rsid w:val="00BF00AF"/>
    <w:rsid w:val="00BF0FB5"/>
    <w:rsid w:val="00BF2248"/>
    <w:rsid w:val="00C1515B"/>
    <w:rsid w:val="00C204BD"/>
    <w:rsid w:val="00C22249"/>
    <w:rsid w:val="00C40122"/>
    <w:rsid w:val="00C6522D"/>
    <w:rsid w:val="00C74BBB"/>
    <w:rsid w:val="00C82EFB"/>
    <w:rsid w:val="00C857A2"/>
    <w:rsid w:val="00C86131"/>
    <w:rsid w:val="00C9046E"/>
    <w:rsid w:val="00CA2288"/>
    <w:rsid w:val="00CA49F5"/>
    <w:rsid w:val="00CB3269"/>
    <w:rsid w:val="00CB3540"/>
    <w:rsid w:val="00CD6C99"/>
    <w:rsid w:val="00CE2C3F"/>
    <w:rsid w:val="00CF539B"/>
    <w:rsid w:val="00CF753C"/>
    <w:rsid w:val="00D14B9D"/>
    <w:rsid w:val="00D3710C"/>
    <w:rsid w:val="00D472B7"/>
    <w:rsid w:val="00D5086C"/>
    <w:rsid w:val="00D521B5"/>
    <w:rsid w:val="00D55C46"/>
    <w:rsid w:val="00D563BE"/>
    <w:rsid w:val="00D664C6"/>
    <w:rsid w:val="00D700D5"/>
    <w:rsid w:val="00D70666"/>
    <w:rsid w:val="00D707EF"/>
    <w:rsid w:val="00D70AF7"/>
    <w:rsid w:val="00D8058A"/>
    <w:rsid w:val="00D83ABE"/>
    <w:rsid w:val="00D83FF6"/>
    <w:rsid w:val="00D854C4"/>
    <w:rsid w:val="00D86E61"/>
    <w:rsid w:val="00D903BB"/>
    <w:rsid w:val="00D90768"/>
    <w:rsid w:val="00DA1956"/>
    <w:rsid w:val="00DA19F2"/>
    <w:rsid w:val="00DB0FAA"/>
    <w:rsid w:val="00DB2B61"/>
    <w:rsid w:val="00DC0CA9"/>
    <w:rsid w:val="00DC1871"/>
    <w:rsid w:val="00DC3B30"/>
    <w:rsid w:val="00DC5DE1"/>
    <w:rsid w:val="00DD41D0"/>
    <w:rsid w:val="00DE177A"/>
    <w:rsid w:val="00DE5BC5"/>
    <w:rsid w:val="00DF1730"/>
    <w:rsid w:val="00DF6447"/>
    <w:rsid w:val="00E02510"/>
    <w:rsid w:val="00E13C8B"/>
    <w:rsid w:val="00E16FAB"/>
    <w:rsid w:val="00E20D5E"/>
    <w:rsid w:val="00E23878"/>
    <w:rsid w:val="00E42DFE"/>
    <w:rsid w:val="00E454D1"/>
    <w:rsid w:val="00E53BFB"/>
    <w:rsid w:val="00E570C6"/>
    <w:rsid w:val="00E75758"/>
    <w:rsid w:val="00E77C9C"/>
    <w:rsid w:val="00E907EE"/>
    <w:rsid w:val="00E94E79"/>
    <w:rsid w:val="00EA157A"/>
    <w:rsid w:val="00EA2E76"/>
    <w:rsid w:val="00EA6EA7"/>
    <w:rsid w:val="00EB7FE8"/>
    <w:rsid w:val="00EC392E"/>
    <w:rsid w:val="00EC5485"/>
    <w:rsid w:val="00ED33E3"/>
    <w:rsid w:val="00ED4911"/>
    <w:rsid w:val="00ED51A9"/>
    <w:rsid w:val="00EE31A4"/>
    <w:rsid w:val="00EE33E9"/>
    <w:rsid w:val="00EF0EF9"/>
    <w:rsid w:val="00F11123"/>
    <w:rsid w:val="00F14675"/>
    <w:rsid w:val="00F1662C"/>
    <w:rsid w:val="00F246BC"/>
    <w:rsid w:val="00F25C95"/>
    <w:rsid w:val="00F30C3A"/>
    <w:rsid w:val="00F324B9"/>
    <w:rsid w:val="00F32FD4"/>
    <w:rsid w:val="00F4411B"/>
    <w:rsid w:val="00F46CC7"/>
    <w:rsid w:val="00F52BFD"/>
    <w:rsid w:val="00F576ED"/>
    <w:rsid w:val="00F66F15"/>
    <w:rsid w:val="00F67950"/>
    <w:rsid w:val="00F75D85"/>
    <w:rsid w:val="00F96D83"/>
    <w:rsid w:val="00FA6704"/>
    <w:rsid w:val="00FB2C2F"/>
    <w:rsid w:val="00FC352C"/>
    <w:rsid w:val="00FC74C4"/>
    <w:rsid w:val="00FD112A"/>
    <w:rsid w:val="00FD5B5A"/>
    <w:rsid w:val="00FE4B0E"/>
    <w:rsid w:val="016A00CC"/>
    <w:rsid w:val="01833793"/>
    <w:rsid w:val="01CE7F59"/>
    <w:rsid w:val="01E41EF1"/>
    <w:rsid w:val="025A641E"/>
    <w:rsid w:val="02BF5B83"/>
    <w:rsid w:val="04FD38F5"/>
    <w:rsid w:val="05950BC3"/>
    <w:rsid w:val="075D2F8D"/>
    <w:rsid w:val="0823582C"/>
    <w:rsid w:val="085C23B3"/>
    <w:rsid w:val="0980382B"/>
    <w:rsid w:val="0AD71489"/>
    <w:rsid w:val="0B0B1C4C"/>
    <w:rsid w:val="0D6454AD"/>
    <w:rsid w:val="0D7855A9"/>
    <w:rsid w:val="0DBE7524"/>
    <w:rsid w:val="0E211E32"/>
    <w:rsid w:val="0F134A0D"/>
    <w:rsid w:val="0F7C55C4"/>
    <w:rsid w:val="0F8D02A6"/>
    <w:rsid w:val="10DD1811"/>
    <w:rsid w:val="1217692C"/>
    <w:rsid w:val="12197387"/>
    <w:rsid w:val="12FF46AD"/>
    <w:rsid w:val="13663554"/>
    <w:rsid w:val="14DF155D"/>
    <w:rsid w:val="16714DC7"/>
    <w:rsid w:val="17230016"/>
    <w:rsid w:val="1756026E"/>
    <w:rsid w:val="1A016730"/>
    <w:rsid w:val="1B51654C"/>
    <w:rsid w:val="1E6C76C2"/>
    <w:rsid w:val="1E7F24EE"/>
    <w:rsid w:val="1F510D74"/>
    <w:rsid w:val="1FCF23FC"/>
    <w:rsid w:val="208F0373"/>
    <w:rsid w:val="22C8415C"/>
    <w:rsid w:val="22CB0F68"/>
    <w:rsid w:val="22EF1264"/>
    <w:rsid w:val="26C836A4"/>
    <w:rsid w:val="27201C7B"/>
    <w:rsid w:val="277B51B5"/>
    <w:rsid w:val="287A4613"/>
    <w:rsid w:val="288861C5"/>
    <w:rsid w:val="2A022CD4"/>
    <w:rsid w:val="2B957E89"/>
    <w:rsid w:val="2CB240CB"/>
    <w:rsid w:val="2DE243C2"/>
    <w:rsid w:val="2F14160E"/>
    <w:rsid w:val="2F405BDE"/>
    <w:rsid w:val="32A33A5D"/>
    <w:rsid w:val="347125AE"/>
    <w:rsid w:val="35742FFF"/>
    <w:rsid w:val="35C72665"/>
    <w:rsid w:val="36760466"/>
    <w:rsid w:val="378D5301"/>
    <w:rsid w:val="3E5E4AC4"/>
    <w:rsid w:val="3E7A6647"/>
    <w:rsid w:val="3EA86A3C"/>
    <w:rsid w:val="41783467"/>
    <w:rsid w:val="428A08C6"/>
    <w:rsid w:val="432B0767"/>
    <w:rsid w:val="44514240"/>
    <w:rsid w:val="45104239"/>
    <w:rsid w:val="453B0F2D"/>
    <w:rsid w:val="46310613"/>
    <w:rsid w:val="4AE43429"/>
    <w:rsid w:val="4B152AF5"/>
    <w:rsid w:val="4C782247"/>
    <w:rsid w:val="4CF30CC8"/>
    <w:rsid w:val="4F8944C2"/>
    <w:rsid w:val="50A8031E"/>
    <w:rsid w:val="52BA6412"/>
    <w:rsid w:val="53DB1C37"/>
    <w:rsid w:val="55FA5275"/>
    <w:rsid w:val="583169B3"/>
    <w:rsid w:val="5A3E2979"/>
    <w:rsid w:val="5B39038C"/>
    <w:rsid w:val="5B781982"/>
    <w:rsid w:val="5BD31E73"/>
    <w:rsid w:val="5C8E115D"/>
    <w:rsid w:val="5CC12E13"/>
    <w:rsid w:val="5CD71ACF"/>
    <w:rsid w:val="5D5964C1"/>
    <w:rsid w:val="5D671004"/>
    <w:rsid w:val="5F6310FA"/>
    <w:rsid w:val="60BA5C5D"/>
    <w:rsid w:val="61C54518"/>
    <w:rsid w:val="62054AE6"/>
    <w:rsid w:val="62FF41BE"/>
    <w:rsid w:val="63472F48"/>
    <w:rsid w:val="65D211F2"/>
    <w:rsid w:val="67FE2C0E"/>
    <w:rsid w:val="68991671"/>
    <w:rsid w:val="68C129A5"/>
    <w:rsid w:val="699B70A2"/>
    <w:rsid w:val="6DC74AE3"/>
    <w:rsid w:val="6ED95B70"/>
    <w:rsid w:val="6F9F49BC"/>
    <w:rsid w:val="6FEFBFAC"/>
    <w:rsid w:val="72130755"/>
    <w:rsid w:val="74135BF2"/>
    <w:rsid w:val="75C4251D"/>
    <w:rsid w:val="7899420A"/>
    <w:rsid w:val="7BCD7E5E"/>
    <w:rsid w:val="7C4E3063"/>
    <w:rsid w:val="7CDE0427"/>
    <w:rsid w:val="7F146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37C2B55"/>
  <w15:docId w15:val="{E667FD29-0198-8949-8A13-0D2AABBE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Indent 2"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2"/>
    <w:next w:val="a"/>
    <w:qFormat/>
    <w:pPr>
      <w:adjustRightInd/>
      <w:snapToGrid/>
      <w:spacing w:before="120" w:after="120" w:line="240" w:lineRule="auto"/>
      <w:jc w:val="center"/>
      <w:outlineLvl w:val="0"/>
    </w:pPr>
    <w:rPr>
      <w:rFonts w:hAnsi="黑体"/>
      <w:caps/>
      <w:sz w:val="44"/>
      <w:szCs w:val="32"/>
    </w:rPr>
  </w:style>
  <w:style w:type="paragraph" w:styleId="2">
    <w:name w:val="heading 2"/>
    <w:basedOn w:val="a"/>
    <w:next w:val="a"/>
    <w:link w:val="20"/>
    <w:qFormat/>
    <w:pPr>
      <w:adjustRightInd w:val="0"/>
      <w:snapToGrid w:val="0"/>
      <w:spacing w:line="480" w:lineRule="exact"/>
      <w:ind w:firstLine="578"/>
      <w:jc w:val="left"/>
      <w:outlineLvl w:val="1"/>
    </w:pPr>
    <w:rPr>
      <w:rFonts w:ascii="黑体" w:eastAsia="黑体" w:hAnsi="宋体"/>
      <w:bCs/>
      <w:sz w:val="30"/>
      <w:szCs w:val="30"/>
    </w:rPr>
  </w:style>
  <w:style w:type="paragraph" w:styleId="3">
    <w:name w:val="heading 3"/>
    <w:basedOn w:val="TOC2"/>
    <w:next w:val="a"/>
    <w:link w:val="30"/>
    <w:qFormat/>
    <w:pPr>
      <w:ind w:leftChars="0" w:left="0" w:firstLineChars="200" w:firstLine="600"/>
      <w:jc w:val="left"/>
      <w:outlineLvl w:val="2"/>
    </w:pPr>
    <w:rPr>
      <w:rFonts w:ascii="黑体" w:eastAsia="黑体" w:hAnsi="黑体"/>
      <w:smallCap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qFormat/>
    <w:pPr>
      <w:ind w:leftChars="200" w:left="420"/>
    </w:pPr>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a6">
    <w:name w:val="Body Text"/>
    <w:basedOn w:val="a"/>
    <w:link w:val="a7"/>
    <w:qFormat/>
    <w:pPr>
      <w:spacing w:after="120"/>
    </w:pPr>
  </w:style>
  <w:style w:type="paragraph" w:styleId="21">
    <w:name w:val="Body Text Indent 2"/>
    <w:basedOn w:val="a"/>
    <w:qFormat/>
    <w:pPr>
      <w:adjustRightInd w:val="0"/>
      <w:snapToGrid w:val="0"/>
      <w:spacing w:line="480" w:lineRule="exact"/>
      <w:ind w:firstLineChars="198" w:firstLine="554"/>
    </w:pPr>
    <w:rPr>
      <w:rFonts w:ascii="仿宋_GB2312" w:eastAsia="仿宋_GB2312" w:hAnsi="宋体"/>
      <w:sz w:val="28"/>
      <w:szCs w:val="28"/>
      <w:lang w:val="en-GB"/>
    </w:rPr>
  </w:style>
  <w:style w:type="paragraph" w:styleId="a8">
    <w:name w:val="Balloon Text"/>
    <w:basedOn w:val="a"/>
    <w:semiHidden/>
    <w:qFormat/>
    <w:rPr>
      <w:sz w:val="18"/>
      <w:szCs w:val="18"/>
    </w:rPr>
  </w:style>
  <w:style w:type="paragraph" w:styleId="a9">
    <w:name w:val="footer"/>
    <w:basedOn w:val="a"/>
    <w:link w:val="aa"/>
    <w:uiPriority w:val="99"/>
    <w:qFormat/>
    <w:pPr>
      <w:widowControl/>
      <w:tabs>
        <w:tab w:val="center" w:pos="4536"/>
        <w:tab w:val="right" w:pos="9072"/>
      </w:tabs>
      <w:jc w:val="left"/>
    </w:pPr>
    <w:rPr>
      <w:rFonts w:ascii="Arial" w:hAnsi="Arial"/>
      <w:kern w:val="0"/>
      <w:sz w:val="22"/>
      <w:szCs w:val="20"/>
      <w:lang w:val="en-GB" w:eastAsia="en-US"/>
    </w:rPr>
  </w:style>
  <w:style w:type="paragraph" w:styleId="ab">
    <w:name w:val="header"/>
    <w:basedOn w:val="a"/>
    <w:qFormat/>
    <w:pPr>
      <w:widowControl/>
      <w:tabs>
        <w:tab w:val="center" w:pos="4536"/>
        <w:tab w:val="right" w:pos="9072"/>
      </w:tabs>
      <w:jc w:val="left"/>
    </w:pPr>
    <w:rPr>
      <w:rFonts w:ascii="Arial" w:hAnsi="Arial"/>
      <w:kern w:val="0"/>
      <w:sz w:val="18"/>
      <w:szCs w:val="20"/>
      <w:lang w:val="en-GB" w:eastAsia="en-US"/>
    </w:rPr>
  </w:style>
  <w:style w:type="paragraph" w:styleId="ac">
    <w:name w:val="Title"/>
    <w:basedOn w:val="a6"/>
    <w:next w:val="a"/>
    <w:link w:val="ad"/>
    <w:qFormat/>
    <w:pPr>
      <w:jc w:val="center"/>
    </w:pPr>
    <w:rPr>
      <w:rFonts w:ascii="仿宋_GB2312" w:eastAsia="仿宋_GB2312" w:hAnsi="仿宋"/>
    </w:rPr>
  </w:style>
  <w:style w:type="paragraph" w:styleId="ae">
    <w:name w:val="annotation subject"/>
    <w:basedOn w:val="a4"/>
    <w:next w:val="a4"/>
    <w:link w:val="af"/>
    <w:qFormat/>
    <w:rPr>
      <w:b/>
      <w:bCs/>
    </w:rPr>
  </w:style>
  <w:style w:type="character" w:styleId="af0">
    <w:name w:val="page number"/>
    <w:qFormat/>
    <w:rPr>
      <w:rFonts w:ascii="Arial" w:hAnsi="Arial"/>
      <w:sz w:val="20"/>
    </w:rPr>
  </w:style>
  <w:style w:type="character" w:styleId="af1">
    <w:name w:val="annotation reference"/>
    <w:qFormat/>
    <w:rPr>
      <w:sz w:val="21"/>
      <w:szCs w:val="21"/>
    </w:rPr>
  </w:style>
  <w:style w:type="character" w:customStyle="1" w:styleId="a5">
    <w:name w:val="批注文字 字符"/>
    <w:link w:val="a4"/>
    <w:qFormat/>
    <w:rPr>
      <w:kern w:val="2"/>
      <w:sz w:val="21"/>
      <w:szCs w:val="24"/>
    </w:rPr>
  </w:style>
  <w:style w:type="character" w:customStyle="1" w:styleId="af">
    <w:name w:val="批注主题 字符"/>
    <w:link w:val="ae"/>
    <w:qFormat/>
    <w:rPr>
      <w:b/>
      <w:bCs/>
      <w:kern w:val="2"/>
      <w:sz w:val="21"/>
      <w:szCs w:val="24"/>
    </w:rPr>
  </w:style>
  <w:style w:type="paragraph" w:customStyle="1" w:styleId="FootertextEven">
    <w:name w:val="FootertextEven"/>
    <w:basedOn w:val="FootertextOdd"/>
    <w:qFormat/>
    <w:pPr>
      <w:jc w:val="right"/>
    </w:pPr>
  </w:style>
  <w:style w:type="paragraph" w:customStyle="1" w:styleId="FootertextOdd">
    <w:name w:val="FootertextOdd"/>
    <w:basedOn w:val="a"/>
    <w:qFormat/>
    <w:pPr>
      <w:widowControl/>
      <w:spacing w:before="120"/>
      <w:jc w:val="left"/>
    </w:pPr>
    <w:rPr>
      <w:rFonts w:ascii="Arial" w:hAnsi="Arial"/>
      <w:kern w:val="0"/>
      <w:sz w:val="14"/>
      <w:szCs w:val="20"/>
      <w:lang w:val="en-GB" w:eastAsia="en-US"/>
    </w:rPr>
  </w:style>
  <w:style w:type="paragraph" w:customStyle="1" w:styleId="TableColumnHeading">
    <w:name w:val="TableColumnHeading"/>
    <w:basedOn w:val="a"/>
    <w:qFormat/>
    <w:pPr>
      <w:keepNext/>
      <w:widowControl/>
      <w:spacing w:before="120" w:after="120"/>
      <w:jc w:val="center"/>
    </w:pPr>
    <w:rPr>
      <w:rFonts w:ascii="Arial" w:hAnsi="Arial"/>
      <w:b/>
      <w:kern w:val="0"/>
      <w:sz w:val="20"/>
      <w:szCs w:val="20"/>
      <w:lang w:val="en-GB" w:eastAsia="en-US"/>
    </w:rPr>
  </w:style>
  <w:style w:type="paragraph" w:customStyle="1" w:styleId="Logo">
    <w:name w:val="Logo"/>
    <w:basedOn w:val="a"/>
    <w:qFormat/>
    <w:pPr>
      <w:widowControl/>
      <w:jc w:val="left"/>
    </w:pPr>
    <w:rPr>
      <w:rFonts w:ascii="Arial" w:hAnsi="Arial"/>
      <w:kern w:val="0"/>
      <w:sz w:val="22"/>
      <w:szCs w:val="20"/>
      <w:lang w:val="en-GB" w:eastAsia="en-US"/>
    </w:rPr>
  </w:style>
  <w:style w:type="paragraph" w:customStyle="1" w:styleId="TableText">
    <w:name w:val="TableText"/>
    <w:basedOn w:val="a"/>
    <w:qFormat/>
    <w:pPr>
      <w:keepNext/>
      <w:widowControl/>
      <w:spacing w:after="120"/>
      <w:jc w:val="left"/>
    </w:pPr>
    <w:rPr>
      <w:rFonts w:ascii="Arial" w:hAnsi="Arial"/>
      <w:kern w:val="0"/>
      <w:sz w:val="20"/>
      <w:szCs w:val="20"/>
      <w:lang w:val="en-GB" w:eastAsia="en-US"/>
    </w:rPr>
  </w:style>
  <w:style w:type="paragraph" w:customStyle="1" w:styleId="TableTitle">
    <w:name w:val="TableTitle"/>
    <w:basedOn w:val="a"/>
    <w:qFormat/>
    <w:pPr>
      <w:keepNext/>
      <w:widowControl/>
      <w:spacing w:before="120" w:after="240"/>
      <w:jc w:val="center"/>
    </w:pPr>
    <w:rPr>
      <w:rFonts w:ascii="Arial" w:hAnsi="Arial"/>
      <w:b/>
      <w:kern w:val="0"/>
      <w:sz w:val="22"/>
      <w:szCs w:val="20"/>
      <w:lang w:val="en-GB" w:eastAsia="en-US"/>
    </w:rPr>
  </w:style>
  <w:style w:type="paragraph" w:customStyle="1" w:styleId="Footerempty">
    <w:name w:val="Footerempty"/>
    <w:basedOn w:val="a9"/>
    <w:qFormat/>
    <w:rPr>
      <w:color w:val="FFFFFF"/>
      <w:sz w:val="2"/>
    </w:rPr>
  </w:style>
  <w:style w:type="paragraph" w:customStyle="1" w:styleId="TableRowHeading">
    <w:name w:val="TableRowHeading"/>
    <w:basedOn w:val="a"/>
    <w:qFormat/>
    <w:pPr>
      <w:widowControl/>
      <w:spacing w:after="120"/>
      <w:jc w:val="left"/>
    </w:pPr>
    <w:rPr>
      <w:rFonts w:ascii="Arial" w:hAnsi="Arial"/>
      <w:kern w:val="0"/>
      <w:sz w:val="20"/>
      <w:szCs w:val="20"/>
      <w:lang w:val="en-GB" w:eastAsia="en-US"/>
    </w:rPr>
  </w:style>
  <w:style w:type="character" w:customStyle="1" w:styleId="ad">
    <w:name w:val="标题 字符"/>
    <w:link w:val="ac"/>
    <w:qFormat/>
    <w:rPr>
      <w:rFonts w:ascii="仿宋_GB2312" w:eastAsia="仿宋_GB2312" w:hAnsi="仿宋"/>
      <w:kern w:val="2"/>
      <w:sz w:val="21"/>
      <w:szCs w:val="24"/>
    </w:rPr>
  </w:style>
  <w:style w:type="character" w:customStyle="1" w:styleId="a7">
    <w:name w:val="正文文本 字符"/>
    <w:link w:val="a6"/>
    <w:qFormat/>
    <w:rPr>
      <w:kern w:val="2"/>
      <w:sz w:val="21"/>
      <w:szCs w:val="24"/>
    </w:rPr>
  </w:style>
  <w:style w:type="character" w:customStyle="1" w:styleId="20">
    <w:name w:val="标题 2 字符"/>
    <w:link w:val="2"/>
    <w:qFormat/>
    <w:rPr>
      <w:rFonts w:ascii="黑体" w:eastAsia="黑体" w:hAnsi="宋体"/>
      <w:bCs/>
      <w:kern w:val="2"/>
      <w:sz w:val="30"/>
      <w:szCs w:val="30"/>
    </w:rPr>
  </w:style>
  <w:style w:type="character" w:customStyle="1" w:styleId="30">
    <w:name w:val="标题 3 字符"/>
    <w:link w:val="3"/>
    <w:qFormat/>
    <w:rPr>
      <w:rFonts w:ascii="黑体" w:eastAsia="黑体" w:hAnsi="黑体"/>
      <w:smallCaps/>
      <w:kern w:val="2"/>
      <w:sz w:val="30"/>
      <w:szCs w:val="30"/>
    </w:rPr>
  </w:style>
  <w:style w:type="character" w:customStyle="1" w:styleId="aa">
    <w:name w:val="页脚 字符"/>
    <w:basedOn w:val="a0"/>
    <w:link w:val="a9"/>
    <w:uiPriority w:val="99"/>
    <w:qFormat/>
    <w:rPr>
      <w:rFonts w:ascii="Arial" w:hAnsi="Arial"/>
      <w:sz w:val="22"/>
      <w:lang w:val="en-GB" w:eastAsia="en-US"/>
    </w:rPr>
  </w:style>
  <w:style w:type="paragraph" w:customStyle="1" w:styleId="10">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0.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19</Pages>
  <Words>1725</Words>
  <Characters>9835</Characters>
  <Application>Microsoft Office Word</Application>
  <DocSecurity>0</DocSecurity>
  <Lines>81</Lines>
  <Paragraphs>23</Paragraphs>
  <ScaleCrop>false</ScaleCrop>
  <Company>cdb</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附件7</dc:title>
  <dc:creator>高荣振</dc:creator>
  <cp:lastModifiedBy>梁爽</cp:lastModifiedBy>
  <cp:revision>83</cp:revision>
  <cp:lastPrinted>2020-07-14T18:25:00Z</cp:lastPrinted>
  <dcterms:created xsi:type="dcterms:W3CDTF">2023-08-19T09:17:00Z</dcterms:created>
  <dcterms:modified xsi:type="dcterms:W3CDTF">2023-10-31T11:15:00Z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07D2007B427847529538ABCD32BD4AD6</vt:lpwstr>
  </property>
</Properties>
</file>