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A4413" w14:textId="6EFD41AF" w:rsidR="00177427" w:rsidRDefault="004925AF" w:rsidP="00C830B3">
      <w:pPr>
        <w:pStyle w:val="ab"/>
        <w:spacing w:line="600" w:lineRule="exact"/>
        <w:jc w:val="left"/>
        <w:rPr>
          <w:rFonts w:ascii="黑体" w:eastAsia="黑体" w:hAnsi="黑体" w:cs="黑体"/>
          <w:sz w:val="32"/>
          <w:szCs w:val="30"/>
        </w:rPr>
      </w:pPr>
      <w:r w:rsidRPr="00C830B3">
        <w:rPr>
          <w:rFonts w:ascii="黑体" w:eastAsia="黑体" w:hAnsi="黑体" w:cs="黑体" w:hint="eastAsia"/>
          <w:sz w:val="32"/>
          <w:szCs w:val="30"/>
        </w:rPr>
        <w:t>附件</w:t>
      </w:r>
      <w:r w:rsidRPr="00C830B3">
        <w:rPr>
          <w:rFonts w:ascii="黑体" w:eastAsia="黑体" w:hAnsi="黑体" w:cs="黑体"/>
          <w:sz w:val="32"/>
          <w:szCs w:val="30"/>
        </w:rPr>
        <w:t>21</w:t>
      </w:r>
    </w:p>
    <w:p w14:paraId="6C9242EC" w14:textId="04CDD402" w:rsidR="00177427" w:rsidRDefault="00177427" w:rsidP="00C830B3">
      <w:pPr>
        <w:pStyle w:val="ab"/>
        <w:spacing w:line="600" w:lineRule="exact"/>
        <w:jc w:val="left"/>
        <w:rPr>
          <w:rFonts w:ascii="楷体_GB2312" w:eastAsia="楷体_GB2312"/>
          <w:sz w:val="32"/>
          <w:szCs w:val="30"/>
        </w:rPr>
      </w:pPr>
    </w:p>
    <w:p w14:paraId="421E5683" w14:textId="77777777" w:rsidR="00177427" w:rsidRPr="00C830B3" w:rsidRDefault="004925AF" w:rsidP="00C830B3">
      <w:pPr>
        <w:pStyle w:val="1"/>
        <w:spacing w:line="600" w:lineRule="exact"/>
        <w:ind w:firstLineChars="0" w:firstLine="0"/>
        <w:jc w:val="center"/>
        <w:rPr>
          <w:rFonts w:ascii="方正小标宋简体" w:eastAsia="方正小标宋简体" w:hAnsi="方正小标宋简体" w:cs="方正小标宋简体"/>
        </w:rPr>
      </w:pPr>
      <w:r w:rsidRPr="00C830B3">
        <w:rPr>
          <w:rFonts w:ascii="方正小标宋简体" w:eastAsia="方正小标宋简体" w:hAnsi="方正小标宋简体" w:cs="方正小标宋简体" w:hint="eastAsia"/>
        </w:rPr>
        <w:t>资本计量高级方法监督检查</w:t>
      </w:r>
    </w:p>
    <w:p w14:paraId="20E9C652" w14:textId="77777777" w:rsidR="00177427" w:rsidRDefault="00177427" w:rsidP="00C830B3">
      <w:pPr>
        <w:spacing w:line="600" w:lineRule="exact"/>
        <w:ind w:firstLine="600"/>
        <w:rPr>
          <w:rFonts w:ascii="黑体" w:eastAsia="黑体"/>
          <w:bCs/>
          <w:sz w:val="30"/>
          <w:szCs w:val="30"/>
        </w:rPr>
      </w:pPr>
    </w:p>
    <w:p w14:paraId="4369EC64" w14:textId="77777777" w:rsidR="00177427" w:rsidRDefault="004925AF" w:rsidP="00C830B3">
      <w:pPr>
        <w:pStyle w:val="2"/>
        <w:spacing w:line="600" w:lineRule="exact"/>
      </w:pPr>
      <w:r>
        <w:rPr>
          <w:rFonts w:hint="eastAsia"/>
        </w:rPr>
        <w:t>一、实施申请</w:t>
      </w:r>
    </w:p>
    <w:p w14:paraId="519E7F6F" w14:textId="674B06E6"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商业银行应当按照本办法的要求开展资本计量高级方法实施准备工作，适时向</w:t>
      </w:r>
      <w:r>
        <w:rPr>
          <w:rFonts w:ascii="仿宋_GB2312" w:eastAsia="仿宋_GB2312" w:hint="eastAsia"/>
          <w:sz w:val="30"/>
          <w:szCs w:val="30"/>
        </w:rPr>
        <w:t>国家金融监督管理总局</w:t>
      </w:r>
      <w:r>
        <w:rPr>
          <w:rFonts w:ascii="仿宋_GB2312" w:eastAsia="仿宋_GB2312" w:hint="eastAsia"/>
          <w:sz w:val="30"/>
          <w:szCs w:val="30"/>
        </w:rPr>
        <w:t>或其派出机构提交实施申请，经验收通过后进入实施阶段。资本计量高级方法实施申请和评估验收包括银行集团和商业银行单一法人层面实施的申请和评估验收。操作风险标准法申请采用自身损失数据自行计算内部损失乘数适用本部分规定。</w:t>
      </w:r>
    </w:p>
    <w:p w14:paraId="488BADA0" w14:textId="77777777" w:rsidR="00177427" w:rsidRDefault="004925AF">
      <w:pPr>
        <w:spacing w:line="480" w:lineRule="exact"/>
        <w:ind w:firstLineChars="200" w:firstLine="600"/>
        <w:rPr>
          <w:rFonts w:ascii="楷体_GB2312" w:eastAsia="楷体_GB2312"/>
          <w:sz w:val="30"/>
          <w:szCs w:val="30"/>
        </w:rPr>
      </w:pPr>
      <w:r>
        <w:rPr>
          <w:rFonts w:ascii="楷体_GB2312" w:eastAsia="楷体_GB2312" w:hint="eastAsia"/>
          <w:sz w:val="30"/>
          <w:szCs w:val="30"/>
        </w:rPr>
        <w:t>（一）治理结构</w:t>
      </w:r>
    </w:p>
    <w:p w14:paraId="3190A6F9" w14:textId="44548BE8"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eastAsia="仿宋_GB2312" w:hint="eastAsia"/>
          <w:sz w:val="30"/>
          <w:szCs w:val="30"/>
        </w:rPr>
        <w:t>.</w:t>
      </w:r>
      <w:r>
        <w:rPr>
          <w:rFonts w:ascii="仿宋_GB2312" w:eastAsia="仿宋_GB2312" w:hint="eastAsia"/>
          <w:sz w:val="30"/>
          <w:szCs w:val="30"/>
        </w:rPr>
        <w:t>商业银行应当建立完善的实施申请组织架构，明确董事会、高级管理层、牵头部门以及参与部门的职责和权限，设定实施申请的内部程序，形成有效的决策机制和报告流程，确保申请工作有效开展。</w:t>
      </w:r>
    </w:p>
    <w:p w14:paraId="15625BC0" w14:textId="7A8821C3"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w:t>
      </w:r>
      <w:r>
        <w:rPr>
          <w:rFonts w:ascii="仿宋_GB2312" w:eastAsia="仿宋_GB2312" w:hint="eastAsia"/>
          <w:sz w:val="30"/>
          <w:szCs w:val="30"/>
        </w:rPr>
        <w:t>商业银行董事会承担本行实施准备、申请和达标的最终责任。董事会应当履行以下职责：</w:t>
      </w:r>
    </w:p>
    <w:p w14:paraId="79669E8D"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）审议和批准资本计量高级方法实施规划及其重大调整。</w:t>
      </w:r>
    </w:p>
    <w:p w14:paraId="70DD8433"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）审议和批准实施申请报告，确保相关申请材料的真实性、可靠性和完整性。</w:t>
      </w:r>
    </w:p>
    <w:p w14:paraId="7D2597D4"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）定期听取实施准备情况汇报，了解资本计量高级方法实施对本行战略发展、资本管理、风险管理等方面的重大影响，及时掌握相关情况。</w:t>
      </w:r>
    </w:p>
    <w:p w14:paraId="263E913C" w14:textId="538437EA"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eastAsia="仿宋_GB2312" w:hint="eastAsia"/>
          <w:sz w:val="30"/>
          <w:szCs w:val="30"/>
        </w:rPr>
        <w:t>.</w:t>
      </w:r>
      <w:r>
        <w:rPr>
          <w:rFonts w:ascii="仿宋_GB2312" w:eastAsia="仿宋_GB2312" w:hint="eastAsia"/>
          <w:sz w:val="30"/>
          <w:szCs w:val="30"/>
        </w:rPr>
        <w:t>商业银行高级管理层负责组织本行具体实施准备、申请和</w:t>
      </w:r>
      <w:r>
        <w:rPr>
          <w:rFonts w:ascii="仿宋_GB2312" w:eastAsia="仿宋_GB2312" w:hint="eastAsia"/>
          <w:sz w:val="30"/>
          <w:szCs w:val="30"/>
        </w:rPr>
        <w:lastRenderedPageBreak/>
        <w:t>达标工作。高级管理层应履行以下职责：</w:t>
      </w:r>
    </w:p>
    <w:p w14:paraId="49566FF5"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）批准实施申请工作流程，明确各参与部门的工作职责，持续监督各项工作落实情况。</w:t>
      </w:r>
    </w:p>
    <w:p w14:paraId="1411D695"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）建立定期的内部沟通和汇报机制，听取实施准备、申请和达标情况汇报，全面掌握整体情况、各项目实施进度以及主要差距。</w:t>
      </w:r>
    </w:p>
    <w:p w14:paraId="0B61DE09" w14:textId="1261F270"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）组织本行配合</w:t>
      </w:r>
      <w:r>
        <w:rPr>
          <w:rFonts w:ascii="仿宋_GB2312" w:eastAsia="仿宋_GB2312" w:hint="eastAsia"/>
          <w:sz w:val="30"/>
          <w:szCs w:val="30"/>
        </w:rPr>
        <w:t>国家金融监督管理总局</w:t>
      </w:r>
      <w:r>
        <w:rPr>
          <w:rFonts w:ascii="仿宋_GB2312" w:eastAsia="仿宋_GB2312" w:hint="eastAsia"/>
          <w:sz w:val="30"/>
          <w:szCs w:val="30"/>
        </w:rPr>
        <w:t>或其派出机构的现场评估及验收。</w:t>
      </w:r>
    </w:p>
    <w:p w14:paraId="448FB2D2" w14:textId="529E71C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4</w:t>
      </w:r>
      <w:r>
        <w:rPr>
          <w:rFonts w:ascii="仿宋_GB2312" w:eastAsia="仿宋_GB2312" w:hint="eastAsia"/>
          <w:sz w:val="30"/>
          <w:szCs w:val="30"/>
        </w:rPr>
        <w:t>）根据</w:t>
      </w:r>
      <w:r>
        <w:rPr>
          <w:rFonts w:ascii="仿宋_GB2312" w:eastAsia="仿宋_GB2312" w:hint="eastAsia"/>
          <w:sz w:val="30"/>
          <w:szCs w:val="30"/>
        </w:rPr>
        <w:t>国家金融监督管理总局</w:t>
      </w:r>
      <w:r>
        <w:rPr>
          <w:rFonts w:ascii="仿宋_GB2312" w:eastAsia="仿宋_GB2312" w:hint="eastAsia"/>
          <w:sz w:val="30"/>
          <w:szCs w:val="30"/>
        </w:rPr>
        <w:t>或其派出机构评估情况，负责组织制定和监督落实整改计划。</w:t>
      </w:r>
    </w:p>
    <w:p w14:paraId="57CBFAEE" w14:textId="237FB6E3"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4</w:t>
      </w:r>
      <w:r>
        <w:rPr>
          <w:rFonts w:ascii="仿宋_GB2312" w:eastAsia="仿宋_GB2312" w:hint="eastAsia"/>
          <w:sz w:val="30"/>
          <w:szCs w:val="30"/>
        </w:rPr>
        <w:t>.</w:t>
      </w:r>
      <w:r>
        <w:rPr>
          <w:rFonts w:ascii="仿宋_GB2312" w:eastAsia="仿宋_GB2312" w:hint="eastAsia"/>
          <w:sz w:val="30"/>
          <w:szCs w:val="30"/>
        </w:rPr>
        <w:t>商业银行应当指定专门部门牵头负责本行实施准备和申请的总体协调及推进工作。牵头部门应履行以下职责：</w:t>
      </w:r>
    </w:p>
    <w:p w14:paraId="476651BB"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）牵头实施准备和申请工作。</w:t>
      </w:r>
    </w:p>
    <w:p w14:paraId="3B5A4189"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）牵头开展本行的达标自我评估工作。</w:t>
      </w:r>
    </w:p>
    <w:p w14:paraId="1090ED01"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）组织相关部门定期向董事会和高级</w:t>
      </w:r>
      <w:r>
        <w:rPr>
          <w:rFonts w:ascii="仿宋_GB2312" w:eastAsia="仿宋_GB2312" w:hint="eastAsia"/>
          <w:sz w:val="30"/>
          <w:szCs w:val="30"/>
        </w:rPr>
        <w:t>管理层汇报实施准备、申请和达标情况。</w:t>
      </w:r>
    </w:p>
    <w:p w14:paraId="22E0F6BD" w14:textId="7597E2E6"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4</w:t>
      </w:r>
      <w:r>
        <w:rPr>
          <w:rFonts w:ascii="仿宋_GB2312" w:eastAsia="仿宋_GB2312" w:hint="eastAsia"/>
          <w:sz w:val="30"/>
          <w:szCs w:val="30"/>
        </w:rPr>
        <w:t>）具体组织配合</w:t>
      </w:r>
      <w:r>
        <w:rPr>
          <w:rFonts w:ascii="仿宋_GB2312" w:eastAsia="仿宋_GB2312" w:hint="eastAsia"/>
          <w:sz w:val="30"/>
          <w:szCs w:val="30"/>
        </w:rPr>
        <w:t>国家金融监督管理总局</w:t>
      </w:r>
      <w:r>
        <w:rPr>
          <w:rFonts w:ascii="仿宋_GB2312" w:eastAsia="仿宋_GB2312" w:hint="eastAsia"/>
          <w:sz w:val="30"/>
          <w:szCs w:val="30"/>
        </w:rPr>
        <w:t>或其派出机构的现场评估及验收。</w:t>
      </w:r>
    </w:p>
    <w:p w14:paraId="2B666D0E"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5</w:t>
      </w:r>
      <w:r>
        <w:rPr>
          <w:rFonts w:ascii="仿宋_GB2312" w:eastAsia="仿宋_GB2312" w:hint="eastAsia"/>
          <w:sz w:val="30"/>
          <w:szCs w:val="30"/>
        </w:rPr>
        <w:t>）组织落实整改计划，汇报整改情况。</w:t>
      </w:r>
    </w:p>
    <w:p w14:paraId="13727500" w14:textId="5EE899D9"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5</w:t>
      </w:r>
      <w:r>
        <w:rPr>
          <w:rFonts w:ascii="仿宋_GB2312" w:eastAsia="仿宋_GB2312" w:hint="eastAsia"/>
          <w:sz w:val="30"/>
          <w:szCs w:val="30"/>
        </w:rPr>
        <w:t>.</w:t>
      </w:r>
      <w:r>
        <w:rPr>
          <w:rFonts w:ascii="仿宋_GB2312" w:eastAsia="仿宋_GB2312" w:hint="eastAsia"/>
          <w:sz w:val="30"/>
          <w:szCs w:val="30"/>
        </w:rPr>
        <w:t>相关参与部门按照本行实施总体规划，在牵头部门的统一组织下，负责落实实施准备、申请和达标相关工作。参与部门应当履行以下职责：</w:t>
      </w:r>
    </w:p>
    <w:p w14:paraId="28FF3C58"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）提供实施申请所需材料。</w:t>
      </w:r>
    </w:p>
    <w:p w14:paraId="62BAD069"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）定期开展本部门职责范围内的达标自我评估工作，向牵头部门提供评估结果和相关支持。</w:t>
      </w:r>
    </w:p>
    <w:p w14:paraId="33DA412F"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）定期向董事会和高级管理层汇报实施准备进展情况。</w:t>
      </w:r>
    </w:p>
    <w:p w14:paraId="57037746" w14:textId="1C630342"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w:t>
      </w:r>
      <w:r>
        <w:rPr>
          <w:rFonts w:ascii="仿宋_GB2312" w:eastAsia="仿宋_GB2312" w:hint="eastAsia"/>
          <w:sz w:val="30"/>
          <w:szCs w:val="30"/>
        </w:rPr>
        <w:t>4</w:t>
      </w:r>
      <w:r>
        <w:rPr>
          <w:rFonts w:ascii="仿宋_GB2312" w:eastAsia="仿宋_GB2312" w:hint="eastAsia"/>
          <w:sz w:val="30"/>
          <w:szCs w:val="30"/>
        </w:rPr>
        <w:t>）配合</w:t>
      </w:r>
      <w:r>
        <w:rPr>
          <w:rFonts w:ascii="仿宋_GB2312" w:eastAsia="仿宋_GB2312" w:hint="eastAsia"/>
          <w:sz w:val="30"/>
          <w:szCs w:val="30"/>
        </w:rPr>
        <w:t>国家金融监督管理总局</w:t>
      </w:r>
      <w:r>
        <w:rPr>
          <w:rFonts w:ascii="仿宋_GB2312" w:eastAsia="仿宋_GB2312" w:hint="eastAsia"/>
          <w:sz w:val="30"/>
          <w:szCs w:val="30"/>
        </w:rPr>
        <w:t>或其派出机构的现场评估及验收工作。</w:t>
      </w:r>
    </w:p>
    <w:p w14:paraId="3B03920B" w14:textId="1D80C442"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5</w:t>
      </w:r>
      <w:r>
        <w:rPr>
          <w:rFonts w:ascii="仿宋_GB2312" w:eastAsia="仿宋_GB2312" w:hint="eastAsia"/>
          <w:sz w:val="30"/>
          <w:szCs w:val="30"/>
        </w:rPr>
        <w:t>）根据</w:t>
      </w:r>
      <w:r>
        <w:rPr>
          <w:rFonts w:ascii="仿宋_GB2312" w:eastAsia="仿宋_GB2312" w:hint="eastAsia"/>
          <w:sz w:val="30"/>
          <w:szCs w:val="30"/>
        </w:rPr>
        <w:t>国家金融监督管理总局</w:t>
      </w:r>
      <w:r>
        <w:rPr>
          <w:rFonts w:ascii="仿宋_GB2312" w:eastAsia="仿宋_GB2312" w:hint="eastAsia"/>
          <w:sz w:val="30"/>
          <w:szCs w:val="30"/>
        </w:rPr>
        <w:t>或其派出机构的评估意见和要求，落实与本部门相关的整改计划。</w:t>
      </w:r>
    </w:p>
    <w:p w14:paraId="13069321" w14:textId="77777777" w:rsidR="00177427" w:rsidRDefault="004925AF">
      <w:pPr>
        <w:spacing w:line="480" w:lineRule="exact"/>
        <w:ind w:firstLineChars="200" w:firstLine="600"/>
        <w:rPr>
          <w:rFonts w:ascii="楷体_GB2312" w:eastAsia="楷体_GB2312"/>
          <w:sz w:val="30"/>
          <w:szCs w:val="30"/>
        </w:rPr>
      </w:pPr>
      <w:r>
        <w:rPr>
          <w:rFonts w:ascii="楷体_GB2312" w:eastAsia="楷体_GB2312" w:hint="eastAsia"/>
          <w:sz w:val="30"/>
          <w:szCs w:val="30"/>
        </w:rPr>
        <w:t>（二）提交申请</w:t>
      </w:r>
    </w:p>
    <w:p w14:paraId="7E471860" w14:textId="473F8823"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eastAsia="仿宋_GB2312" w:hint="eastAsia"/>
          <w:sz w:val="30"/>
          <w:szCs w:val="30"/>
        </w:rPr>
        <w:t>.</w:t>
      </w:r>
      <w:r>
        <w:rPr>
          <w:rFonts w:ascii="仿宋_GB2312" w:eastAsia="仿宋_GB2312" w:hint="eastAsia"/>
          <w:sz w:val="30"/>
          <w:szCs w:val="30"/>
        </w:rPr>
        <w:t>提交实施申请前，商业银行应接受</w:t>
      </w:r>
      <w:r>
        <w:rPr>
          <w:rFonts w:ascii="仿宋_GB2312" w:eastAsia="仿宋_GB2312" w:hint="eastAsia"/>
          <w:sz w:val="30"/>
          <w:szCs w:val="30"/>
        </w:rPr>
        <w:t>国家金融监督管理总局</w:t>
      </w:r>
      <w:r>
        <w:rPr>
          <w:rFonts w:ascii="仿宋_GB2312" w:eastAsia="仿宋_GB2312" w:hint="eastAsia"/>
          <w:sz w:val="30"/>
          <w:szCs w:val="30"/>
        </w:rPr>
        <w:t>或其派出机构对实施准备情况的评估，并提交评估申请材料。商业银行提交的评估申请材料应包括以下内容：</w:t>
      </w:r>
    </w:p>
    <w:p w14:paraId="087F0E58"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）总体情况说明，包括但不限于申请范围、申请目标、实施准备工作概述。</w:t>
      </w:r>
    </w:p>
    <w:p w14:paraId="0D55F600"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支持文档，包括但不限于全面风险管理、治理结构、政策流程、计量模型、数据和信息系统、业务应用、压力测试等方面的文档。其中，资本计量高级方法的关键定义及重要事项应有董事会或高级管理层批准的记录。</w:t>
      </w:r>
    </w:p>
    <w:p w14:paraId="35CB2209"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）最近一次达标自我评估报告。</w:t>
      </w:r>
    </w:p>
    <w:p w14:paraId="4CE58A69"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4</w:t>
      </w:r>
      <w:r>
        <w:rPr>
          <w:rFonts w:ascii="仿宋_GB2312" w:eastAsia="仿宋_GB2312" w:hint="eastAsia"/>
          <w:sz w:val="30"/>
          <w:szCs w:val="30"/>
        </w:rPr>
        <w:t>）至少最近两年定量影响测算结果。</w:t>
      </w:r>
    </w:p>
    <w:p w14:paraId="1CFBC180"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5</w:t>
      </w:r>
      <w:r>
        <w:rPr>
          <w:rFonts w:ascii="仿宋_GB2312" w:eastAsia="仿宋_GB2312" w:hint="eastAsia"/>
          <w:sz w:val="30"/>
          <w:szCs w:val="30"/>
        </w:rPr>
        <w:t>）验证报告、内部审计报告和信息披露管理情况。</w:t>
      </w:r>
    </w:p>
    <w:p w14:paraId="013B1FCC" w14:textId="6B566EDE"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6</w:t>
      </w:r>
      <w:r>
        <w:rPr>
          <w:rFonts w:ascii="仿宋_GB2312" w:eastAsia="仿宋_GB2312" w:hint="eastAsia"/>
          <w:sz w:val="30"/>
          <w:szCs w:val="30"/>
        </w:rPr>
        <w:t>）其他有助于</w:t>
      </w:r>
      <w:r>
        <w:rPr>
          <w:rFonts w:ascii="仿宋_GB2312" w:eastAsia="仿宋_GB2312" w:hint="eastAsia"/>
          <w:sz w:val="30"/>
          <w:szCs w:val="30"/>
        </w:rPr>
        <w:t>国家金融监督管理总局</w:t>
      </w:r>
      <w:r>
        <w:rPr>
          <w:rFonts w:ascii="仿宋_GB2312" w:eastAsia="仿宋_GB2312" w:hint="eastAsia"/>
          <w:sz w:val="30"/>
          <w:szCs w:val="30"/>
        </w:rPr>
        <w:t>或其派出机构了解实施准备情况的材料。</w:t>
      </w:r>
    </w:p>
    <w:p w14:paraId="543F95D9" w14:textId="00B0B453"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w:t>
      </w:r>
      <w:r>
        <w:rPr>
          <w:rFonts w:ascii="仿宋_GB2312" w:eastAsia="仿宋_GB2312" w:hint="eastAsia"/>
          <w:sz w:val="30"/>
          <w:szCs w:val="30"/>
        </w:rPr>
        <w:t>通过外包途径开发、维护计量模型的，商业银行应通过适当的方式向</w:t>
      </w:r>
      <w:r>
        <w:rPr>
          <w:rFonts w:ascii="仿宋_GB2312" w:eastAsia="仿宋_GB2312" w:hint="eastAsia"/>
          <w:sz w:val="30"/>
          <w:szCs w:val="30"/>
        </w:rPr>
        <w:t>国家金融监督管理总局</w:t>
      </w:r>
      <w:r>
        <w:rPr>
          <w:rFonts w:ascii="仿宋_GB2312" w:eastAsia="仿宋_GB2312" w:hint="eastAsia"/>
          <w:sz w:val="30"/>
          <w:szCs w:val="30"/>
        </w:rPr>
        <w:t>或其派出</w:t>
      </w:r>
      <w:r>
        <w:rPr>
          <w:rFonts w:ascii="仿宋_GB2312" w:eastAsia="仿宋_GB2312" w:hint="eastAsia"/>
          <w:sz w:val="30"/>
          <w:szCs w:val="30"/>
        </w:rPr>
        <w:t>机构提供全面评估所需的信息。</w:t>
      </w:r>
    </w:p>
    <w:p w14:paraId="26647D47" w14:textId="16027E5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eastAsia="仿宋_GB2312"/>
          <w:sz w:val="30"/>
          <w:szCs w:val="30"/>
        </w:rPr>
        <w:t>.</w:t>
      </w:r>
      <w:r>
        <w:rPr>
          <w:rFonts w:ascii="仿宋_GB2312" w:eastAsia="仿宋_GB2312" w:hint="eastAsia"/>
          <w:sz w:val="30"/>
          <w:szCs w:val="30"/>
        </w:rPr>
        <w:t>商业银行应当根据评估意见制定整改方案，开展整改。整改情况经</w:t>
      </w:r>
      <w:r>
        <w:rPr>
          <w:rFonts w:ascii="仿宋_GB2312" w:eastAsia="仿宋_GB2312" w:hint="eastAsia"/>
          <w:sz w:val="30"/>
          <w:szCs w:val="30"/>
        </w:rPr>
        <w:t>国家金融监督管理总局</w:t>
      </w:r>
      <w:r>
        <w:rPr>
          <w:rFonts w:ascii="仿宋_GB2312" w:eastAsia="仿宋_GB2312" w:hint="eastAsia"/>
          <w:sz w:val="30"/>
          <w:szCs w:val="30"/>
        </w:rPr>
        <w:t>或其派出机构评估认可后，商业银行可以提交实施申请，申请材料包括但不限于：</w:t>
      </w:r>
    </w:p>
    <w:p w14:paraId="7826CAC1"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）实施申请。实施申请应列明申请范围及目标。</w:t>
      </w:r>
    </w:p>
    <w:p w14:paraId="033D56A3"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w:t>
      </w:r>
      <w:r>
        <w:rPr>
          <w:rFonts w:ascii="仿宋_GB2312" w:eastAsia="仿宋_GB2312" w:hint="eastAsia"/>
          <w:sz w:val="30"/>
          <w:szCs w:val="30"/>
        </w:rPr>
        <w:t>2</w:t>
      </w:r>
      <w:r>
        <w:rPr>
          <w:rFonts w:ascii="仿宋_GB2312" w:eastAsia="仿宋_GB2312" w:hint="eastAsia"/>
          <w:sz w:val="30"/>
          <w:szCs w:val="30"/>
        </w:rPr>
        <w:t>）董事会或其授权机构审议通过实施申请的相关决议。</w:t>
      </w:r>
    </w:p>
    <w:p w14:paraId="63315CE4"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）信息披露管理情况。</w:t>
      </w:r>
    </w:p>
    <w:p w14:paraId="77C58113"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4</w:t>
      </w:r>
      <w:r>
        <w:rPr>
          <w:rFonts w:ascii="仿宋_GB2312" w:eastAsia="仿宋_GB2312" w:hint="eastAsia"/>
          <w:sz w:val="30"/>
          <w:szCs w:val="30"/>
        </w:rPr>
        <w:t>）截止申请日更新的本部分（二）“提交申请”所要求的评估材料。</w:t>
      </w:r>
    </w:p>
    <w:p w14:paraId="6EF5BC79" w14:textId="77777777" w:rsidR="00177427" w:rsidRDefault="004925AF">
      <w:pPr>
        <w:spacing w:line="480" w:lineRule="exact"/>
        <w:ind w:firstLineChars="200" w:firstLine="600"/>
        <w:rPr>
          <w:rFonts w:ascii="楷体_GB2312" w:eastAsia="楷体_GB2312"/>
          <w:sz w:val="30"/>
          <w:szCs w:val="30"/>
        </w:rPr>
      </w:pPr>
      <w:r>
        <w:rPr>
          <w:rFonts w:ascii="楷体_GB2312" w:eastAsia="楷体_GB2312" w:hint="eastAsia"/>
          <w:sz w:val="30"/>
          <w:szCs w:val="30"/>
        </w:rPr>
        <w:t>（三）银行集团的实施申请</w:t>
      </w:r>
    </w:p>
    <w:p w14:paraId="644C507C" w14:textId="7CA50CDC"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eastAsia="仿宋_GB2312" w:hint="eastAsia"/>
          <w:sz w:val="30"/>
          <w:szCs w:val="30"/>
        </w:rPr>
        <w:t>.</w:t>
      </w:r>
      <w:r>
        <w:rPr>
          <w:rFonts w:ascii="仿宋_GB2312" w:eastAsia="仿宋_GB2312" w:hint="eastAsia"/>
          <w:sz w:val="30"/>
          <w:szCs w:val="30"/>
        </w:rPr>
        <w:t>银行集团总部应当负责银行集团层面实施申请的准备和组织工作，向</w:t>
      </w:r>
      <w:r>
        <w:rPr>
          <w:rFonts w:ascii="仿宋_GB2312" w:eastAsia="仿宋_GB2312" w:hint="eastAsia"/>
          <w:sz w:val="30"/>
          <w:szCs w:val="30"/>
        </w:rPr>
        <w:t>国家金融监督管理总局</w:t>
      </w:r>
      <w:r>
        <w:rPr>
          <w:rFonts w:ascii="仿宋_GB2312" w:eastAsia="仿宋_GB2312" w:hint="eastAsia"/>
          <w:sz w:val="30"/>
          <w:szCs w:val="30"/>
        </w:rPr>
        <w:t>或其派出机构提交集团实施申请，接受</w:t>
      </w:r>
      <w:r>
        <w:rPr>
          <w:rFonts w:ascii="仿宋_GB2312" w:eastAsia="仿宋_GB2312" w:hint="eastAsia"/>
          <w:sz w:val="30"/>
          <w:szCs w:val="30"/>
        </w:rPr>
        <w:t>国家金融监督管理总局</w:t>
      </w:r>
      <w:r>
        <w:rPr>
          <w:rFonts w:ascii="仿宋_GB2312" w:eastAsia="仿宋_GB2312" w:hint="eastAsia"/>
          <w:sz w:val="30"/>
          <w:szCs w:val="30"/>
        </w:rPr>
        <w:t>或其派出机构对集团层面的实施评估验收。</w:t>
      </w:r>
    </w:p>
    <w:p w14:paraId="5EB89FDA" w14:textId="62EB4C68"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w:t>
      </w:r>
      <w:r>
        <w:rPr>
          <w:rFonts w:ascii="仿宋_GB2312" w:eastAsia="仿宋_GB2312" w:hint="eastAsia"/>
          <w:sz w:val="30"/>
          <w:szCs w:val="30"/>
        </w:rPr>
        <w:t>银行集团应当明确申请实施的范围，包括所涵盖附属机构及资产占比情况。</w:t>
      </w:r>
    </w:p>
    <w:p w14:paraId="6BD9633B"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对未列入本次申请、计划未来另行申请纳入集团实施范围的，应提交明确的实施规划和当前进展情况；对不列入集团实施申请的，应当说明原因。</w:t>
      </w:r>
    </w:p>
    <w:p w14:paraId="0DC0C400" w14:textId="77DF0E9D"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其中，对于在规模和风险两个层面均不重要的法人实体和资产类别中的一些风险暴露，经</w:t>
      </w:r>
      <w:r>
        <w:rPr>
          <w:rFonts w:ascii="仿宋_GB2312" w:eastAsia="仿宋_GB2312" w:hint="eastAsia"/>
          <w:sz w:val="30"/>
          <w:szCs w:val="30"/>
        </w:rPr>
        <w:t>国家金融监督管理总局</w:t>
      </w:r>
      <w:r>
        <w:rPr>
          <w:rFonts w:ascii="仿宋_GB2312" w:eastAsia="仿宋_GB2312" w:hint="eastAsia"/>
          <w:sz w:val="30"/>
          <w:szCs w:val="30"/>
        </w:rPr>
        <w:t>或其派出机构认可，可以不采用内部评级法。若银行集团对某法人实体中一类资产（或资产子类）采用内部评级法，应覆盖该法人实体的所有该类资产（或资产子类）。银行集团不得通过选择性使用不同方法并在集团内部不同法人实体之间转移风险来降低资本要求。</w:t>
      </w:r>
    </w:p>
    <w:p w14:paraId="372BE754" w14:textId="43409F43"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eastAsia="仿宋_GB2312" w:hint="eastAsia"/>
          <w:sz w:val="30"/>
          <w:szCs w:val="30"/>
        </w:rPr>
        <w:t>.</w:t>
      </w:r>
      <w:r>
        <w:rPr>
          <w:rFonts w:ascii="仿宋_GB2312" w:eastAsia="仿宋_GB2312" w:hint="eastAsia"/>
          <w:sz w:val="30"/>
          <w:szCs w:val="30"/>
        </w:rPr>
        <w:t>除满足本部分（二）“提交申请”关于提交申请材料的相关要求外，银行集团还应当提交集团内部各法人机构的实施方法及差异说明，提交实证数据说明上述差异对集团风险管理一致性要求的影响、解决方案和实际效果。</w:t>
      </w:r>
    </w:p>
    <w:p w14:paraId="2A564541" w14:textId="77777777" w:rsidR="00177427" w:rsidRDefault="004925AF">
      <w:pPr>
        <w:pStyle w:val="2"/>
      </w:pPr>
      <w:r>
        <w:rPr>
          <w:rFonts w:hint="eastAsia"/>
        </w:rPr>
        <w:t>二、监管评估验收</w:t>
      </w:r>
    </w:p>
    <w:p w14:paraId="4AAB89E2" w14:textId="77777777" w:rsidR="00177427" w:rsidRDefault="004925AF">
      <w:pPr>
        <w:spacing w:line="480" w:lineRule="exact"/>
        <w:ind w:firstLineChars="200" w:firstLine="600"/>
        <w:rPr>
          <w:rFonts w:ascii="楷体_GB2312" w:eastAsia="楷体_GB2312"/>
          <w:sz w:val="30"/>
          <w:szCs w:val="30"/>
        </w:rPr>
      </w:pPr>
      <w:r>
        <w:rPr>
          <w:rFonts w:ascii="楷体_GB2312" w:eastAsia="楷体_GB2312" w:hint="eastAsia"/>
          <w:sz w:val="30"/>
          <w:szCs w:val="30"/>
        </w:rPr>
        <w:t>（一）一般评估验收</w:t>
      </w:r>
    </w:p>
    <w:p w14:paraId="31D57094" w14:textId="7A9BF58E"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1</w:t>
      </w:r>
      <w:r>
        <w:rPr>
          <w:rFonts w:ascii="仿宋_GB2312" w:eastAsia="仿宋_GB2312" w:hint="eastAsia"/>
          <w:sz w:val="30"/>
          <w:szCs w:val="30"/>
        </w:rPr>
        <w:t>.</w:t>
      </w:r>
      <w:r>
        <w:rPr>
          <w:rFonts w:ascii="仿宋_GB2312" w:eastAsia="仿宋_GB2312" w:hint="eastAsia"/>
          <w:sz w:val="30"/>
          <w:szCs w:val="30"/>
        </w:rPr>
        <w:t>国家金融监督管理总</w:t>
      </w:r>
      <w:r>
        <w:rPr>
          <w:rFonts w:ascii="仿宋_GB2312" w:eastAsia="仿宋_GB2312" w:hint="eastAsia"/>
          <w:sz w:val="30"/>
          <w:szCs w:val="30"/>
        </w:rPr>
        <w:t>局</w:t>
      </w:r>
      <w:r>
        <w:rPr>
          <w:rFonts w:ascii="仿宋_GB2312" w:eastAsia="仿宋_GB2312" w:hint="eastAsia"/>
          <w:sz w:val="30"/>
          <w:szCs w:val="30"/>
        </w:rPr>
        <w:t>或其派出机构根据本办法对商业银行资本计量高级方法的实施进行评估验收。操作风险标准法采用自身损失数据自行计算内部损失乘数适用本部分规定。</w:t>
      </w:r>
    </w:p>
    <w:p w14:paraId="644CB08F" w14:textId="3F078FF1"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w:t>
      </w:r>
      <w:r>
        <w:rPr>
          <w:rFonts w:ascii="仿宋_GB2312" w:eastAsia="仿宋_GB2312" w:hint="eastAsia"/>
          <w:sz w:val="30"/>
          <w:szCs w:val="30"/>
        </w:rPr>
        <w:t>在实施评估验收时，</w:t>
      </w:r>
      <w:r>
        <w:rPr>
          <w:rFonts w:ascii="仿宋_GB2312" w:eastAsia="仿宋_GB2312" w:hint="eastAsia"/>
          <w:sz w:val="30"/>
          <w:szCs w:val="30"/>
        </w:rPr>
        <w:t>国家金融监督管理总局</w:t>
      </w:r>
      <w:r>
        <w:rPr>
          <w:rFonts w:ascii="仿宋_GB2312" w:eastAsia="仿宋_GB2312" w:hint="eastAsia"/>
          <w:sz w:val="30"/>
          <w:szCs w:val="30"/>
        </w:rPr>
        <w:t>或其派出机构重点关注以下方面：</w:t>
      </w:r>
    </w:p>
    <w:p w14:paraId="6D1E5322"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）分析资本计量高级方法实施对提高商业银行风险管理水平的作用。</w:t>
      </w:r>
    </w:p>
    <w:p w14:paraId="3F6842DA"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）审查商业银行是否建立起推动风险管理水平持续改进的自我完善机制。</w:t>
      </w:r>
    </w:p>
    <w:p w14:paraId="1DD976A5"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）评估商业银行资本计量高级方法实施是否达到监管要求。</w:t>
      </w:r>
    </w:p>
    <w:p w14:paraId="3AA95C6D"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4</w:t>
      </w:r>
      <w:r>
        <w:rPr>
          <w:rFonts w:ascii="仿宋_GB2312" w:eastAsia="仿宋_GB2312" w:hint="eastAsia"/>
          <w:sz w:val="30"/>
          <w:szCs w:val="30"/>
        </w:rPr>
        <w:t>）核查资本计量高级方法的验证工作是否充分有效。</w:t>
      </w:r>
    </w:p>
    <w:p w14:paraId="0E4B9C30" w14:textId="03D82715"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eastAsia="仿宋_GB2312" w:hint="eastAsia"/>
          <w:sz w:val="30"/>
          <w:szCs w:val="30"/>
        </w:rPr>
        <w:t>.</w:t>
      </w:r>
      <w:r>
        <w:rPr>
          <w:rFonts w:ascii="仿宋_GB2312" w:eastAsia="仿宋_GB2312" w:hint="eastAsia"/>
          <w:sz w:val="30"/>
          <w:szCs w:val="30"/>
        </w:rPr>
        <w:t>国家金融监督管理总局</w:t>
      </w:r>
      <w:r>
        <w:rPr>
          <w:rFonts w:ascii="仿宋_GB2312" w:eastAsia="仿宋_GB2312" w:hint="eastAsia"/>
          <w:sz w:val="30"/>
          <w:szCs w:val="30"/>
        </w:rPr>
        <w:t>或其派出机构根据商业银行提交的材料制定评估方案，开展评估工作，对商业银行实施准备整体情况进行综合评价，并敦促整改。</w:t>
      </w:r>
    </w:p>
    <w:p w14:paraId="05B3A812" w14:textId="7A1A8D8A"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4</w:t>
      </w:r>
      <w:r>
        <w:rPr>
          <w:rFonts w:ascii="仿宋_GB2312" w:eastAsia="仿宋_GB2312" w:hint="eastAsia"/>
          <w:sz w:val="30"/>
          <w:szCs w:val="30"/>
        </w:rPr>
        <w:t>.</w:t>
      </w:r>
      <w:r>
        <w:rPr>
          <w:rFonts w:ascii="仿宋_GB2312" w:eastAsia="仿宋_GB2312" w:hint="eastAsia"/>
          <w:sz w:val="30"/>
          <w:szCs w:val="30"/>
        </w:rPr>
        <w:t>国家金融监督管理总局</w:t>
      </w:r>
      <w:r>
        <w:rPr>
          <w:rFonts w:ascii="仿宋_GB2312" w:eastAsia="仿宋_GB2312" w:hint="eastAsia"/>
          <w:sz w:val="30"/>
          <w:szCs w:val="30"/>
        </w:rPr>
        <w:t>或其派出机构根据对商业银行实施准备情况的评估结果及发现问题的整改情况，确定商业银行是否可以正式提交实施申请。</w:t>
      </w:r>
    </w:p>
    <w:p w14:paraId="58436AB8" w14:textId="23D36C21"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5</w:t>
      </w:r>
      <w:r>
        <w:rPr>
          <w:rFonts w:ascii="仿宋_GB2312" w:eastAsia="仿宋_GB2312" w:hint="eastAsia"/>
          <w:sz w:val="30"/>
          <w:szCs w:val="30"/>
        </w:rPr>
        <w:t>.</w:t>
      </w:r>
      <w:r>
        <w:rPr>
          <w:rFonts w:ascii="仿宋_GB2312" w:eastAsia="仿宋_GB2312" w:hint="eastAsia"/>
          <w:sz w:val="30"/>
          <w:szCs w:val="30"/>
        </w:rPr>
        <w:t>国家金融监督管理总局</w:t>
      </w:r>
      <w:r>
        <w:rPr>
          <w:rFonts w:ascii="仿宋_GB2312" w:eastAsia="仿宋_GB2312" w:hint="eastAsia"/>
          <w:sz w:val="30"/>
          <w:szCs w:val="30"/>
        </w:rPr>
        <w:t>或其派出机构按照以下流程对商业银行实施申请进行验收：</w:t>
      </w:r>
    </w:p>
    <w:p w14:paraId="2D61E6D1"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）检查和评估申请材料的真实性和完整性。</w:t>
      </w:r>
    </w:p>
    <w:p w14:paraId="1FE0AED4"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）制定验收方案、开</w:t>
      </w:r>
      <w:r>
        <w:rPr>
          <w:rFonts w:ascii="仿宋_GB2312" w:eastAsia="仿宋_GB2312" w:hint="eastAsia"/>
          <w:sz w:val="30"/>
          <w:szCs w:val="30"/>
        </w:rPr>
        <w:t>展现场验收。根据评估阶段对商业银行实施情况的评估结果和后续整改情况，综合分析商业银行提交的各项材料确定验收方案，重点对评估阶段没有覆盖的方面及评估中发现问题的整改情况进行现场验收。</w:t>
      </w:r>
    </w:p>
    <w:p w14:paraId="099FB8C3"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）撰写验收报告。验收报告应重点分析商业银行实施现状、存在的问题及差距、并行期安排等，最后提出初步验收建议。</w:t>
      </w:r>
    </w:p>
    <w:p w14:paraId="4F7FB7BA"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w:t>
      </w:r>
      <w:r>
        <w:rPr>
          <w:rFonts w:ascii="仿宋_GB2312" w:eastAsia="仿宋_GB2312" w:hint="eastAsia"/>
          <w:sz w:val="30"/>
          <w:szCs w:val="30"/>
        </w:rPr>
        <w:t>4</w:t>
      </w:r>
      <w:r>
        <w:rPr>
          <w:rFonts w:ascii="仿宋_GB2312" w:eastAsia="仿宋_GB2312" w:hint="eastAsia"/>
          <w:sz w:val="30"/>
          <w:szCs w:val="30"/>
        </w:rPr>
        <w:t>）验收意见反馈。与商业银行高级管理层沟通初步验收意见，核对确认事实。</w:t>
      </w:r>
    </w:p>
    <w:p w14:paraId="71B83ED2"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5</w:t>
      </w:r>
      <w:r>
        <w:rPr>
          <w:rFonts w:ascii="仿宋_GB2312" w:eastAsia="仿宋_GB2312" w:hint="eastAsia"/>
          <w:sz w:val="30"/>
          <w:szCs w:val="30"/>
        </w:rPr>
        <w:t>）签发验收意见。对验收意见为有条件验收通过的商业银行，应列明银行需在并行期内整改达标的具体项目。</w:t>
      </w:r>
    </w:p>
    <w:p w14:paraId="444EFFD7"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6</w:t>
      </w:r>
      <w:r>
        <w:rPr>
          <w:rFonts w:ascii="仿宋_GB2312" w:eastAsia="仿宋_GB2312" w:hint="eastAsia"/>
          <w:sz w:val="30"/>
          <w:szCs w:val="30"/>
        </w:rPr>
        <w:t>）持续监控。对有条件验收通过的商业银行</w:t>
      </w:r>
      <w:r>
        <w:rPr>
          <w:rFonts w:ascii="仿宋_GB2312" w:eastAsia="仿宋_GB2312" w:hint="eastAsia"/>
          <w:sz w:val="30"/>
          <w:szCs w:val="30"/>
        </w:rPr>
        <w:t>，持续监控其在并行期内的改进情况。</w:t>
      </w:r>
    </w:p>
    <w:p w14:paraId="25B9B732" w14:textId="5DEEDF4D"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6</w:t>
      </w:r>
      <w:r>
        <w:rPr>
          <w:rFonts w:ascii="仿宋_GB2312" w:eastAsia="仿宋_GB2312" w:hint="eastAsia"/>
          <w:sz w:val="30"/>
          <w:szCs w:val="30"/>
        </w:rPr>
        <w:t>.</w:t>
      </w:r>
      <w:r>
        <w:rPr>
          <w:rFonts w:ascii="仿宋_GB2312" w:eastAsia="仿宋_GB2312" w:hint="eastAsia"/>
          <w:sz w:val="30"/>
          <w:szCs w:val="30"/>
        </w:rPr>
        <w:t>在评估验收实施资本计量高级方法时，</w:t>
      </w:r>
      <w:r>
        <w:rPr>
          <w:rFonts w:ascii="仿宋_GB2312" w:eastAsia="仿宋_GB2312" w:hint="eastAsia"/>
          <w:sz w:val="30"/>
          <w:szCs w:val="30"/>
        </w:rPr>
        <w:t>国家金融监督管理总局</w:t>
      </w:r>
      <w:r>
        <w:rPr>
          <w:rFonts w:ascii="仿宋_GB2312" w:eastAsia="仿宋_GB2312" w:hint="eastAsia"/>
          <w:sz w:val="30"/>
          <w:szCs w:val="30"/>
        </w:rPr>
        <w:t>或其派出机构有权对商业银行包括违约定义在内的各项参数指标进行评估和验收，并可根据评估和验收结果，要求商业银行调整信用风险内部评级法违约定义、长期平均违约趋势、衰退期违约损失率、相关性系数、有效期限等重要参数，调整市场风险内部模型法附加因子等重要参数，对内部评级法计算的信用风险加权资产进行监管校准，使计量结果充分反映真实风险状况。</w:t>
      </w:r>
    </w:p>
    <w:p w14:paraId="60B5B5B4" w14:textId="1140237E"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7</w:t>
      </w:r>
      <w:r>
        <w:rPr>
          <w:rFonts w:ascii="仿宋_GB2312" w:eastAsia="仿宋_GB2312" w:hint="eastAsia"/>
          <w:sz w:val="30"/>
          <w:szCs w:val="30"/>
        </w:rPr>
        <w:t>.</w:t>
      </w:r>
      <w:r>
        <w:rPr>
          <w:rFonts w:ascii="仿宋_GB2312" w:eastAsia="仿宋_GB2312" w:hint="eastAsia"/>
          <w:sz w:val="30"/>
          <w:szCs w:val="30"/>
        </w:rPr>
        <w:t>经评估验收认为商业银行实施准备工作完全达到监管要求的，</w:t>
      </w:r>
      <w:r>
        <w:rPr>
          <w:rFonts w:ascii="仿宋_GB2312" w:eastAsia="仿宋_GB2312" w:hint="eastAsia"/>
          <w:sz w:val="30"/>
          <w:szCs w:val="30"/>
        </w:rPr>
        <w:t>国家金融监督管理总局</w:t>
      </w:r>
      <w:r>
        <w:rPr>
          <w:rFonts w:ascii="仿宋_GB2312" w:eastAsia="仿宋_GB2312" w:hint="eastAsia"/>
          <w:sz w:val="30"/>
          <w:szCs w:val="30"/>
        </w:rPr>
        <w:t>或其派出机构可以验收通过其实施资本计量高级方法。若未能完全达到监管要求，但对实施有实质影响的核心项目达标、且对非实质性差距有明确的并行期达标计划的商业银行，</w:t>
      </w:r>
      <w:r>
        <w:rPr>
          <w:rFonts w:ascii="仿宋_GB2312" w:eastAsia="仿宋_GB2312" w:hint="eastAsia"/>
          <w:sz w:val="30"/>
          <w:szCs w:val="30"/>
        </w:rPr>
        <w:t>国家金融监督管理总局</w:t>
      </w:r>
      <w:r>
        <w:rPr>
          <w:rFonts w:ascii="仿宋_GB2312" w:eastAsia="仿宋_GB2312" w:hint="eastAsia"/>
          <w:sz w:val="30"/>
          <w:szCs w:val="30"/>
        </w:rPr>
        <w:t>或其派出机构可以有条件验收通过其实施资本计量高级方法。</w:t>
      </w:r>
    </w:p>
    <w:p w14:paraId="3608B19A" w14:textId="2908179A"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未能验收通过的商业银行，应根据</w:t>
      </w:r>
      <w:r>
        <w:rPr>
          <w:rFonts w:ascii="仿宋_GB2312" w:eastAsia="仿宋_GB2312" w:hint="eastAsia"/>
          <w:sz w:val="30"/>
          <w:szCs w:val="30"/>
        </w:rPr>
        <w:t>国家金融监督管理总局</w:t>
      </w:r>
      <w:r>
        <w:rPr>
          <w:rFonts w:ascii="仿宋_GB2312" w:eastAsia="仿宋_GB2312" w:hint="eastAsia"/>
          <w:sz w:val="30"/>
          <w:szCs w:val="30"/>
        </w:rPr>
        <w:t>或其派出机构整改要求进行改进，经</w:t>
      </w:r>
      <w:r>
        <w:rPr>
          <w:rFonts w:ascii="仿宋_GB2312" w:eastAsia="仿宋_GB2312" w:hint="eastAsia"/>
          <w:sz w:val="30"/>
          <w:szCs w:val="30"/>
        </w:rPr>
        <w:t>国家金融监督管理总局</w:t>
      </w:r>
      <w:r>
        <w:rPr>
          <w:rFonts w:ascii="仿宋_GB2312" w:eastAsia="仿宋_GB2312" w:hint="eastAsia"/>
          <w:sz w:val="30"/>
          <w:szCs w:val="30"/>
        </w:rPr>
        <w:t>或其派出机构认可后再次申请。</w:t>
      </w:r>
    </w:p>
    <w:p w14:paraId="06923A6A" w14:textId="77777777" w:rsidR="00177427" w:rsidRDefault="004925AF">
      <w:pPr>
        <w:spacing w:line="480" w:lineRule="exact"/>
        <w:ind w:firstLineChars="200" w:firstLine="600"/>
        <w:rPr>
          <w:rFonts w:ascii="楷体_GB2312" w:eastAsia="楷体_GB2312"/>
          <w:sz w:val="30"/>
          <w:szCs w:val="30"/>
        </w:rPr>
      </w:pPr>
      <w:r>
        <w:rPr>
          <w:rFonts w:ascii="楷体_GB2312" w:eastAsia="楷体_GB2312" w:hint="eastAsia"/>
          <w:sz w:val="30"/>
          <w:szCs w:val="30"/>
        </w:rPr>
        <w:t>（二）跨境评估验收</w:t>
      </w:r>
    </w:p>
    <w:p w14:paraId="32D7A357" w14:textId="48F4F5F4"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eastAsia="仿宋_GB2312" w:hint="eastAsia"/>
          <w:sz w:val="30"/>
          <w:szCs w:val="30"/>
        </w:rPr>
        <w:t>.</w:t>
      </w:r>
      <w:r>
        <w:rPr>
          <w:rFonts w:ascii="仿宋_GB2312" w:eastAsia="仿宋_GB2312" w:hint="eastAsia"/>
          <w:sz w:val="30"/>
          <w:szCs w:val="30"/>
        </w:rPr>
        <w:t>国家金融监督管理总局</w:t>
      </w:r>
      <w:r>
        <w:rPr>
          <w:rFonts w:ascii="仿宋_GB2312" w:eastAsia="仿宋_GB2312" w:hint="eastAsia"/>
          <w:sz w:val="30"/>
          <w:szCs w:val="30"/>
        </w:rPr>
        <w:t>或其派出机构对银行集团的评估验收负主要责任，并主动与东道国监管部门合作，达成一致评估验收意见。无法达成一致意见的，</w:t>
      </w:r>
      <w:r>
        <w:rPr>
          <w:rFonts w:ascii="仿宋_GB2312" w:eastAsia="仿宋_GB2312" w:hint="eastAsia"/>
          <w:sz w:val="30"/>
          <w:szCs w:val="30"/>
        </w:rPr>
        <w:t>国家金融监督管理总局</w:t>
      </w:r>
      <w:r>
        <w:rPr>
          <w:rFonts w:ascii="仿宋_GB2312" w:eastAsia="仿宋_GB2312" w:hint="eastAsia"/>
          <w:sz w:val="30"/>
          <w:szCs w:val="30"/>
        </w:rPr>
        <w:t>或其派出</w:t>
      </w:r>
      <w:r>
        <w:rPr>
          <w:rFonts w:ascii="仿宋_GB2312" w:eastAsia="仿宋_GB2312" w:hint="eastAsia"/>
          <w:sz w:val="30"/>
          <w:szCs w:val="30"/>
        </w:rPr>
        <w:lastRenderedPageBreak/>
        <w:t>机构综合各东道国监管部门意见形成最终验收意见。</w:t>
      </w:r>
    </w:p>
    <w:p w14:paraId="15A2083D" w14:textId="3FD5CA68"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w:t>
      </w:r>
      <w:r>
        <w:rPr>
          <w:rFonts w:ascii="仿宋_GB2312" w:eastAsia="仿宋_GB2312" w:hint="eastAsia"/>
          <w:sz w:val="30"/>
          <w:szCs w:val="30"/>
        </w:rPr>
        <w:t>对于由银行集团总部进行集中管理的境外附属机构，由</w:t>
      </w:r>
      <w:r>
        <w:rPr>
          <w:rFonts w:ascii="仿宋_GB2312" w:eastAsia="仿宋_GB2312" w:hint="eastAsia"/>
          <w:sz w:val="30"/>
          <w:szCs w:val="30"/>
        </w:rPr>
        <w:t>国家金融监督管理总局</w:t>
      </w:r>
      <w:r>
        <w:rPr>
          <w:rFonts w:ascii="仿宋_GB2312" w:eastAsia="仿宋_GB2312" w:hint="eastAsia"/>
          <w:sz w:val="30"/>
          <w:szCs w:val="30"/>
        </w:rPr>
        <w:t>或其派出机构牵头评估验收。</w:t>
      </w:r>
    </w:p>
    <w:p w14:paraId="0422D884" w14:textId="558F2DDA"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对在东道国当地占实质性市场份额的境外附属机构，</w:t>
      </w:r>
      <w:r>
        <w:rPr>
          <w:rFonts w:ascii="仿宋_GB2312" w:eastAsia="仿宋_GB2312" w:hint="eastAsia"/>
          <w:sz w:val="30"/>
          <w:szCs w:val="30"/>
        </w:rPr>
        <w:t>国家金融监督管理总局</w:t>
      </w:r>
      <w:r>
        <w:rPr>
          <w:rFonts w:ascii="仿宋_GB2312" w:eastAsia="仿宋_GB2312" w:hint="eastAsia"/>
          <w:sz w:val="30"/>
          <w:szCs w:val="30"/>
        </w:rPr>
        <w:t>或其派出机构邀请东道国监管部门参与评估验收工作；对其他境外附属机构，</w:t>
      </w:r>
      <w:r>
        <w:rPr>
          <w:rFonts w:ascii="仿宋_GB2312" w:eastAsia="仿宋_GB2312" w:hint="eastAsia"/>
          <w:sz w:val="30"/>
          <w:szCs w:val="30"/>
        </w:rPr>
        <w:t>国家金融监督管理总局</w:t>
      </w:r>
      <w:r>
        <w:rPr>
          <w:rFonts w:ascii="仿宋_GB2312" w:eastAsia="仿宋_GB2312" w:hint="eastAsia"/>
          <w:sz w:val="30"/>
          <w:szCs w:val="30"/>
        </w:rPr>
        <w:t>或其派出机构将会同</w:t>
      </w:r>
      <w:r>
        <w:rPr>
          <w:rFonts w:ascii="仿宋_GB2312" w:eastAsia="仿宋_GB2312" w:hint="eastAsia"/>
          <w:sz w:val="30"/>
          <w:szCs w:val="30"/>
        </w:rPr>
        <w:t>东道国监管当局，采用监管联席会议机制、提供评估验收结果等方式共享评估验收信息。</w:t>
      </w:r>
    </w:p>
    <w:p w14:paraId="47D8F6F3" w14:textId="2F9A20B8"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eastAsia="仿宋_GB2312" w:hint="eastAsia"/>
          <w:sz w:val="30"/>
          <w:szCs w:val="30"/>
        </w:rPr>
        <w:t>.</w:t>
      </w:r>
      <w:r>
        <w:rPr>
          <w:rFonts w:ascii="仿宋_GB2312" w:eastAsia="仿宋_GB2312" w:hint="eastAsia"/>
          <w:sz w:val="30"/>
          <w:szCs w:val="30"/>
        </w:rPr>
        <w:t>对实施方法与银行集团存在较大差异或对某些业务条线行使全球管理职能的境外附属机构，由东道国监管当局牵头评估验收。</w:t>
      </w:r>
      <w:r>
        <w:rPr>
          <w:rFonts w:ascii="仿宋_GB2312" w:eastAsia="仿宋_GB2312" w:hint="eastAsia"/>
          <w:sz w:val="30"/>
          <w:szCs w:val="30"/>
        </w:rPr>
        <w:t>国家金融监督管理总局</w:t>
      </w:r>
      <w:r>
        <w:rPr>
          <w:rFonts w:ascii="仿宋_GB2312" w:eastAsia="仿宋_GB2312" w:hint="eastAsia"/>
          <w:sz w:val="30"/>
          <w:szCs w:val="30"/>
        </w:rPr>
        <w:t>或其派出机构通过双边监管合作机制，与东道国监管当局协商联合评估验收、参与评估验收或分享评估验收主要信息。</w:t>
      </w:r>
    </w:p>
    <w:p w14:paraId="6986AE8D" w14:textId="030B610B"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如东道国监管当局未与</w:t>
      </w:r>
      <w:r>
        <w:rPr>
          <w:rFonts w:ascii="仿宋_GB2312" w:eastAsia="仿宋_GB2312" w:hint="eastAsia"/>
          <w:sz w:val="30"/>
          <w:szCs w:val="30"/>
        </w:rPr>
        <w:t>国家金融监督管理总局</w:t>
      </w:r>
      <w:r>
        <w:rPr>
          <w:rFonts w:ascii="仿宋_GB2312" w:eastAsia="仿宋_GB2312" w:hint="eastAsia"/>
          <w:sz w:val="30"/>
          <w:szCs w:val="30"/>
        </w:rPr>
        <w:t>或其派出机构建立双边合作机制或东道国监管当局提供信息有限，银行集团总部应按照</w:t>
      </w:r>
      <w:r>
        <w:rPr>
          <w:rFonts w:ascii="仿宋_GB2312" w:eastAsia="仿宋_GB2312" w:hint="eastAsia"/>
          <w:sz w:val="30"/>
          <w:szCs w:val="30"/>
        </w:rPr>
        <w:t>国家金融监督管理总局</w:t>
      </w:r>
      <w:r>
        <w:rPr>
          <w:rFonts w:ascii="仿宋_GB2312" w:eastAsia="仿宋_GB2312" w:hint="eastAsia"/>
          <w:sz w:val="30"/>
          <w:szCs w:val="30"/>
        </w:rPr>
        <w:t>或其派出机构要求，</w:t>
      </w:r>
      <w:r>
        <w:rPr>
          <w:rFonts w:ascii="仿宋_GB2312" w:eastAsia="仿宋_GB2312" w:hint="eastAsia"/>
          <w:sz w:val="30"/>
          <w:szCs w:val="30"/>
        </w:rPr>
        <w:t>提供境外附属机构的申请和评估验收情况。</w:t>
      </w:r>
    </w:p>
    <w:p w14:paraId="6EE3551A" w14:textId="39203CC1"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4</w:t>
      </w:r>
      <w:r>
        <w:rPr>
          <w:rFonts w:ascii="仿宋_GB2312" w:eastAsia="仿宋_GB2312" w:hint="eastAsia"/>
          <w:sz w:val="30"/>
          <w:szCs w:val="30"/>
        </w:rPr>
        <w:t>.</w:t>
      </w:r>
      <w:r>
        <w:rPr>
          <w:rFonts w:ascii="仿宋_GB2312" w:eastAsia="仿宋_GB2312" w:hint="eastAsia"/>
          <w:sz w:val="30"/>
          <w:szCs w:val="30"/>
        </w:rPr>
        <w:t>对在中国占实质性市场份额的外商独资银行，由</w:t>
      </w:r>
      <w:r>
        <w:rPr>
          <w:rFonts w:ascii="仿宋_GB2312" w:eastAsia="仿宋_GB2312" w:hint="eastAsia"/>
          <w:sz w:val="30"/>
          <w:szCs w:val="30"/>
        </w:rPr>
        <w:t>国家金融监督管理总局</w:t>
      </w:r>
      <w:r>
        <w:rPr>
          <w:rFonts w:ascii="仿宋_GB2312" w:eastAsia="仿宋_GB2312" w:hint="eastAsia"/>
          <w:sz w:val="30"/>
          <w:szCs w:val="30"/>
        </w:rPr>
        <w:t>或其派出机构牵头评估验收，并商洽其母国监管当局参与评估验收工作。</w:t>
      </w:r>
    </w:p>
    <w:p w14:paraId="2244A648" w14:textId="24C78B49"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对其他外商独资银行，</w:t>
      </w:r>
      <w:r>
        <w:rPr>
          <w:rFonts w:ascii="仿宋_GB2312" w:eastAsia="仿宋_GB2312" w:hint="eastAsia"/>
          <w:sz w:val="30"/>
          <w:szCs w:val="30"/>
        </w:rPr>
        <w:t>国家金融监督管理总局</w:t>
      </w:r>
      <w:r>
        <w:rPr>
          <w:rFonts w:ascii="仿宋_GB2312" w:eastAsia="仿宋_GB2312" w:hint="eastAsia"/>
          <w:sz w:val="30"/>
          <w:szCs w:val="30"/>
        </w:rPr>
        <w:t>或其派出机构通过双边监管合作机制，与其母国监管当局协商联合评估验收、参与评估验收或分享评估验收主要信息。</w:t>
      </w:r>
    </w:p>
    <w:p w14:paraId="3EABD7EC" w14:textId="5FD8792E"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5</w:t>
      </w:r>
      <w:r>
        <w:rPr>
          <w:rFonts w:ascii="仿宋_GB2312" w:eastAsia="仿宋_GB2312" w:hint="eastAsia"/>
          <w:sz w:val="30"/>
          <w:szCs w:val="30"/>
        </w:rPr>
        <w:t>.</w:t>
      </w:r>
      <w:r>
        <w:rPr>
          <w:rFonts w:ascii="仿宋_GB2312" w:eastAsia="仿宋_GB2312" w:hint="eastAsia"/>
          <w:sz w:val="30"/>
          <w:szCs w:val="30"/>
        </w:rPr>
        <w:t>对资产组合或实施方法与境外银行集团存在较大差异，或对某些业务条线行使全球或区域管理职能的外商独资银行，由</w:t>
      </w:r>
      <w:r>
        <w:rPr>
          <w:rFonts w:ascii="仿宋_GB2312" w:eastAsia="仿宋_GB2312" w:hint="eastAsia"/>
          <w:sz w:val="30"/>
          <w:szCs w:val="30"/>
        </w:rPr>
        <w:t>国家金融监督管理总局</w:t>
      </w:r>
      <w:r>
        <w:rPr>
          <w:rFonts w:ascii="仿宋_GB2312" w:eastAsia="仿宋_GB2312" w:hint="eastAsia"/>
          <w:sz w:val="30"/>
          <w:szCs w:val="30"/>
        </w:rPr>
        <w:t>或其派出机构负责评估验收，并视情形征求</w:t>
      </w:r>
      <w:r>
        <w:rPr>
          <w:rFonts w:ascii="仿宋_GB2312" w:eastAsia="仿宋_GB2312" w:hint="eastAsia"/>
          <w:sz w:val="30"/>
          <w:szCs w:val="30"/>
        </w:rPr>
        <w:lastRenderedPageBreak/>
        <w:t>其母国监管当局意见。</w:t>
      </w:r>
    </w:p>
    <w:p w14:paraId="61874250" w14:textId="3D90C310"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对于母国监管当局未同</w:t>
      </w:r>
      <w:r>
        <w:rPr>
          <w:rFonts w:ascii="仿宋_GB2312" w:eastAsia="仿宋_GB2312" w:hint="eastAsia"/>
          <w:sz w:val="30"/>
          <w:szCs w:val="30"/>
        </w:rPr>
        <w:t>国家金融监督管理总局</w:t>
      </w:r>
      <w:r>
        <w:rPr>
          <w:rFonts w:ascii="仿宋_GB2312" w:eastAsia="仿宋_GB2312" w:hint="eastAsia"/>
          <w:sz w:val="30"/>
          <w:szCs w:val="30"/>
        </w:rPr>
        <w:t>或其派出机构建立双边合作机制或母国监管当局所提供信息有限的情况，外商独资银行应当根据</w:t>
      </w:r>
      <w:r>
        <w:rPr>
          <w:rFonts w:ascii="仿宋_GB2312" w:eastAsia="仿宋_GB2312" w:hint="eastAsia"/>
          <w:sz w:val="30"/>
          <w:szCs w:val="30"/>
        </w:rPr>
        <w:t>国家金融监督管理总局</w:t>
      </w:r>
      <w:r>
        <w:rPr>
          <w:rFonts w:ascii="仿宋_GB2312" w:eastAsia="仿宋_GB2312" w:hint="eastAsia"/>
          <w:sz w:val="30"/>
          <w:szCs w:val="30"/>
        </w:rPr>
        <w:t>或其派出机构要求，提供集团申请和评估验收情况。</w:t>
      </w:r>
    </w:p>
    <w:p w14:paraId="1D07DF24" w14:textId="77777777" w:rsidR="00177427" w:rsidRDefault="004925AF">
      <w:pPr>
        <w:pStyle w:val="2"/>
      </w:pPr>
      <w:r>
        <w:rPr>
          <w:rFonts w:hint="eastAsia"/>
        </w:rPr>
        <w:t>三、并行期安排</w:t>
      </w:r>
    </w:p>
    <w:p w14:paraId="52082704" w14:textId="6373BB53"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（一）</w:t>
      </w:r>
      <w:r>
        <w:rPr>
          <w:rFonts w:ascii="仿宋_GB2312" w:eastAsia="仿宋_GB2312" w:hint="eastAsia"/>
          <w:sz w:val="30"/>
          <w:szCs w:val="30"/>
        </w:rPr>
        <w:t>国家金融监督管理总局</w:t>
      </w:r>
      <w:r>
        <w:rPr>
          <w:rFonts w:ascii="仿宋_GB2312" w:eastAsia="仿宋_GB2312" w:hint="eastAsia"/>
          <w:sz w:val="30"/>
          <w:szCs w:val="30"/>
        </w:rPr>
        <w:t>或其派出机构对验收通过实施资本计量高级方法、操</w:t>
      </w:r>
      <w:r>
        <w:rPr>
          <w:rFonts w:ascii="仿宋_GB2312" w:eastAsia="仿宋_GB2312" w:hint="eastAsia"/>
          <w:sz w:val="30"/>
          <w:szCs w:val="30"/>
        </w:rPr>
        <w:t>作风险采用自身损失数据自行计算内部损失乘数的商业银行设立并行期，并行期至少</w:t>
      </w:r>
      <w:r>
        <w:rPr>
          <w:rFonts w:ascii="仿宋_GB2312" w:eastAsia="仿宋_GB2312" w:hint="eastAsia"/>
          <w:sz w:val="30"/>
          <w:szCs w:val="30"/>
        </w:rPr>
        <w:t>3</w:t>
      </w:r>
      <w:r>
        <w:rPr>
          <w:rFonts w:ascii="仿宋_GB2312" w:eastAsia="仿宋_GB2312" w:hint="eastAsia"/>
          <w:sz w:val="30"/>
          <w:szCs w:val="30"/>
        </w:rPr>
        <w:t>年，自商业银行获得</w:t>
      </w:r>
      <w:r>
        <w:rPr>
          <w:rFonts w:ascii="仿宋_GB2312" w:eastAsia="仿宋_GB2312" w:hint="eastAsia"/>
          <w:sz w:val="30"/>
          <w:szCs w:val="30"/>
        </w:rPr>
        <w:t>国家金融监督管理总局</w:t>
      </w:r>
      <w:r>
        <w:rPr>
          <w:rFonts w:ascii="仿宋_GB2312" w:eastAsia="仿宋_GB2312" w:hint="eastAsia"/>
          <w:sz w:val="30"/>
          <w:szCs w:val="30"/>
        </w:rPr>
        <w:t>或其派出机构验收通过当年</w:t>
      </w:r>
      <w:r>
        <w:rPr>
          <w:rFonts w:ascii="仿宋_GB2312" w:eastAsia="仿宋_GB2312" w:hint="eastAsia"/>
          <w:sz w:val="30"/>
          <w:szCs w:val="30"/>
        </w:rPr>
        <w:t>12</w:t>
      </w:r>
      <w:r>
        <w:rPr>
          <w:rFonts w:ascii="仿宋_GB2312" w:eastAsia="仿宋_GB2312" w:hint="eastAsia"/>
          <w:sz w:val="30"/>
          <w:szCs w:val="30"/>
        </w:rPr>
        <w:t>月</w:t>
      </w:r>
      <w:r>
        <w:rPr>
          <w:rFonts w:ascii="仿宋_GB2312" w:eastAsia="仿宋_GB2312" w:hint="eastAsia"/>
          <w:sz w:val="30"/>
          <w:szCs w:val="30"/>
        </w:rPr>
        <w:t>31</w:t>
      </w:r>
      <w:r>
        <w:rPr>
          <w:rFonts w:ascii="仿宋_GB2312" w:eastAsia="仿宋_GB2312" w:hint="eastAsia"/>
          <w:sz w:val="30"/>
          <w:szCs w:val="30"/>
        </w:rPr>
        <w:t>日起计算。</w:t>
      </w:r>
    </w:p>
    <w:p w14:paraId="1DCDB479" w14:textId="69E65443"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在并行期内，若有条件验收通过的商业银行未能根据监管要求完成整改，</w:t>
      </w:r>
      <w:r>
        <w:rPr>
          <w:rFonts w:ascii="仿宋_GB2312" w:eastAsia="仿宋_GB2312" w:hint="eastAsia"/>
          <w:sz w:val="30"/>
          <w:szCs w:val="30"/>
        </w:rPr>
        <w:t>国家金融监督管理总局</w:t>
      </w:r>
      <w:r>
        <w:rPr>
          <w:rFonts w:ascii="仿宋_GB2312" w:eastAsia="仿宋_GB2312" w:hint="eastAsia"/>
          <w:sz w:val="30"/>
          <w:szCs w:val="30"/>
        </w:rPr>
        <w:t>或其派出机构可以适当延长并行期。</w:t>
      </w:r>
    </w:p>
    <w:p w14:paraId="77914EA2"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在并行期内，如商业银行信用风险资本计量从权重法过渡到内部评级法，初级内部评级法过渡到高级内部评级法，市场风险资本计量从标准法过渡到内部模型法，或操作风险资本计量从采用监管给定的内部损失乘数过渡到采用自身损失数据自行计算内部损失乘数，则并行期延长至新方法或新规则验收通过当年</w:t>
      </w:r>
      <w:r>
        <w:rPr>
          <w:rFonts w:ascii="仿宋_GB2312" w:eastAsia="仿宋_GB2312" w:hint="eastAsia"/>
          <w:sz w:val="30"/>
          <w:szCs w:val="30"/>
        </w:rPr>
        <w:t>12</w:t>
      </w:r>
      <w:r>
        <w:rPr>
          <w:rFonts w:ascii="仿宋_GB2312" w:eastAsia="仿宋_GB2312" w:hint="eastAsia"/>
          <w:sz w:val="30"/>
          <w:szCs w:val="30"/>
        </w:rPr>
        <w:t>月</w:t>
      </w:r>
      <w:r>
        <w:rPr>
          <w:rFonts w:ascii="仿宋_GB2312" w:eastAsia="仿宋_GB2312" w:hint="eastAsia"/>
          <w:sz w:val="30"/>
          <w:szCs w:val="30"/>
        </w:rPr>
        <w:t>31</w:t>
      </w:r>
      <w:r>
        <w:rPr>
          <w:rFonts w:ascii="仿宋_GB2312" w:eastAsia="仿宋_GB2312" w:hint="eastAsia"/>
          <w:sz w:val="30"/>
          <w:szCs w:val="30"/>
        </w:rPr>
        <w:t>日起之后</w:t>
      </w:r>
      <w:r>
        <w:rPr>
          <w:rFonts w:ascii="仿宋_GB2312" w:eastAsia="仿宋_GB2312" w:hint="eastAsia"/>
          <w:sz w:val="30"/>
          <w:szCs w:val="30"/>
        </w:rPr>
        <w:t>3</w:t>
      </w:r>
      <w:r>
        <w:rPr>
          <w:rFonts w:ascii="仿宋_GB2312" w:eastAsia="仿宋_GB2312" w:hint="eastAsia"/>
          <w:sz w:val="30"/>
          <w:szCs w:val="30"/>
        </w:rPr>
        <w:t>年。</w:t>
      </w:r>
    </w:p>
    <w:p w14:paraId="1C82A466"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（二）采用自身损失数据自行计算内部损失乘数的商业银行适用底线要求，自验收通过的第一年、第二年和第三年，内部损失乘数分别应不低于</w:t>
      </w:r>
      <w:r>
        <w:rPr>
          <w:rFonts w:ascii="仿宋_GB2312" w:eastAsia="仿宋_GB2312" w:hint="eastAsia"/>
          <w:sz w:val="30"/>
          <w:szCs w:val="30"/>
        </w:rPr>
        <w:t>0</w:t>
      </w:r>
      <w:r>
        <w:rPr>
          <w:rFonts w:ascii="仿宋_GB2312" w:eastAsia="仿宋_GB2312"/>
          <w:sz w:val="30"/>
          <w:szCs w:val="30"/>
        </w:rPr>
        <w:t>.9</w:t>
      </w:r>
      <w:r>
        <w:rPr>
          <w:rFonts w:ascii="仿宋_GB2312" w:eastAsia="仿宋_GB2312" w:hint="eastAsia"/>
          <w:sz w:val="30"/>
          <w:szCs w:val="30"/>
        </w:rPr>
        <w:t>、</w:t>
      </w:r>
      <w:r>
        <w:rPr>
          <w:rFonts w:ascii="仿宋_GB2312" w:eastAsia="仿宋_GB2312" w:hint="eastAsia"/>
          <w:sz w:val="30"/>
          <w:szCs w:val="30"/>
        </w:rPr>
        <w:t>0</w:t>
      </w:r>
      <w:r>
        <w:rPr>
          <w:rFonts w:ascii="仿宋_GB2312" w:eastAsia="仿宋_GB2312"/>
          <w:sz w:val="30"/>
          <w:szCs w:val="30"/>
        </w:rPr>
        <w:t>.8</w:t>
      </w:r>
      <w:r>
        <w:rPr>
          <w:rFonts w:ascii="仿宋_GB2312" w:eastAsia="仿宋_GB2312" w:hint="eastAsia"/>
          <w:sz w:val="30"/>
          <w:szCs w:val="30"/>
        </w:rPr>
        <w:t>、</w:t>
      </w:r>
      <w:r>
        <w:rPr>
          <w:rFonts w:ascii="仿宋_GB2312" w:eastAsia="仿宋_GB2312" w:hint="eastAsia"/>
          <w:sz w:val="30"/>
          <w:szCs w:val="30"/>
        </w:rPr>
        <w:t>0</w:t>
      </w:r>
      <w:r>
        <w:rPr>
          <w:rFonts w:ascii="仿宋_GB2312" w:eastAsia="仿宋_GB2312"/>
          <w:sz w:val="30"/>
          <w:szCs w:val="30"/>
        </w:rPr>
        <w:t>.725</w:t>
      </w:r>
      <w:r>
        <w:rPr>
          <w:rFonts w:ascii="仿宋_GB2312" w:eastAsia="仿宋_GB2312" w:hint="eastAsia"/>
          <w:sz w:val="30"/>
          <w:szCs w:val="30"/>
        </w:rPr>
        <w:t>。</w:t>
      </w:r>
      <w:r>
        <w:rPr>
          <w:rFonts w:ascii="仿宋_GB2312" w:eastAsia="仿宋_GB2312" w:hint="eastAsia"/>
          <w:sz w:val="30"/>
          <w:szCs w:val="30"/>
        </w:rPr>
        <w:t>商业银行及其并表金融机构</w:t>
      </w:r>
      <w:r>
        <w:rPr>
          <w:rFonts w:ascii="仿宋_GB2312" w:eastAsia="仿宋_GB2312" w:hint="eastAsia"/>
          <w:sz w:val="30"/>
          <w:szCs w:val="30"/>
        </w:rPr>
        <w:t>可分别按照验收通过的时间适用底线要求</w:t>
      </w:r>
      <w:r>
        <w:rPr>
          <w:rFonts w:ascii="仿宋_GB2312" w:eastAsia="仿宋_GB2312" w:hint="eastAsia"/>
          <w:sz w:val="30"/>
          <w:szCs w:val="30"/>
        </w:rPr>
        <w:t>。</w:t>
      </w:r>
    </w:p>
    <w:p w14:paraId="5AE9A728" w14:textId="3B4B6281"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（三）有条件验收通过的商业银行应当制定详细的全面达标计划，每半年向</w:t>
      </w:r>
      <w:r>
        <w:rPr>
          <w:rFonts w:ascii="仿宋_GB2312" w:eastAsia="仿宋_GB2312" w:hint="eastAsia"/>
          <w:sz w:val="30"/>
          <w:szCs w:val="30"/>
        </w:rPr>
        <w:t>国家金融监督管理总局</w:t>
      </w:r>
      <w:r>
        <w:rPr>
          <w:rFonts w:ascii="仿宋_GB2312" w:eastAsia="仿宋_GB2312" w:hint="eastAsia"/>
          <w:sz w:val="30"/>
          <w:szCs w:val="30"/>
        </w:rPr>
        <w:t>或其派出机构报告计划执</w:t>
      </w:r>
      <w:r>
        <w:rPr>
          <w:rFonts w:ascii="仿宋_GB2312" w:eastAsia="仿宋_GB2312" w:hint="eastAsia"/>
          <w:sz w:val="30"/>
          <w:szCs w:val="30"/>
        </w:rPr>
        <w:lastRenderedPageBreak/>
        <w:t>行情况，配合</w:t>
      </w:r>
      <w:r>
        <w:rPr>
          <w:rFonts w:ascii="仿宋_GB2312" w:eastAsia="仿宋_GB2312" w:hint="eastAsia"/>
          <w:sz w:val="30"/>
          <w:szCs w:val="30"/>
        </w:rPr>
        <w:t>国家金融监督管理总局</w:t>
      </w:r>
      <w:r>
        <w:rPr>
          <w:rFonts w:ascii="仿宋_GB2312" w:eastAsia="仿宋_GB2312" w:hint="eastAsia"/>
          <w:sz w:val="30"/>
          <w:szCs w:val="30"/>
        </w:rPr>
        <w:t>或其派出机构实施相关的检查和评估，确保并行期结束时全面达到实施的监管要求。</w:t>
      </w:r>
    </w:p>
    <w:p w14:paraId="50BE9C05" w14:textId="11A94262"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（四）商业银行应当提前六个月向</w:t>
      </w:r>
      <w:r>
        <w:rPr>
          <w:rFonts w:ascii="仿宋_GB2312" w:eastAsia="仿宋_GB2312" w:hint="eastAsia"/>
          <w:sz w:val="30"/>
          <w:szCs w:val="30"/>
        </w:rPr>
        <w:t>国家金融监督管理总局</w:t>
      </w:r>
      <w:r>
        <w:rPr>
          <w:rFonts w:ascii="仿宋_GB2312" w:eastAsia="仿宋_GB2312" w:hint="eastAsia"/>
          <w:sz w:val="30"/>
          <w:szCs w:val="30"/>
        </w:rPr>
        <w:t>或其派出机构提出结束并行期或撤销相关监管措施的申请，获得</w:t>
      </w:r>
      <w:r>
        <w:rPr>
          <w:rFonts w:ascii="仿宋_GB2312" w:eastAsia="仿宋_GB2312" w:hint="eastAsia"/>
          <w:sz w:val="30"/>
          <w:szCs w:val="30"/>
        </w:rPr>
        <w:t>国家金融监督管理总局</w:t>
      </w:r>
      <w:r>
        <w:rPr>
          <w:rFonts w:ascii="仿宋_GB2312" w:eastAsia="仿宋_GB2312" w:hint="eastAsia"/>
          <w:sz w:val="30"/>
          <w:szCs w:val="30"/>
        </w:rPr>
        <w:t>或其派出机构认可后方可结束并行期或撤销相关监管措施。申请材料的提交应符合本附件第一部分（二）“提交申请”的要求。</w:t>
      </w:r>
    </w:p>
    <w:p w14:paraId="3B745AA3" w14:textId="77777777" w:rsidR="00177427" w:rsidRDefault="004925AF">
      <w:pPr>
        <w:pStyle w:val="2"/>
      </w:pPr>
      <w:r>
        <w:rPr>
          <w:rFonts w:hint="eastAsia"/>
        </w:rPr>
        <w:t>四、资本底线</w:t>
      </w:r>
    </w:p>
    <w:p w14:paraId="79C5EB7D"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（一）商业银行应当按照资本计量高级方法和其他方法平行计量资本充足率，并遵守资本底线要求。操作风险采用自身损失数据自行计算内部损失乘数视为其他方法。</w:t>
      </w:r>
    </w:p>
    <w:p w14:paraId="38E8172B"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（二）应用资本底线后的风险加权资产总额为部分或全部采用资本计量高级方法计算的风险加权资产与按其他方法计算的风险加权资产总额中的较大值：</w:t>
      </w:r>
    </w:p>
    <w:p w14:paraId="3ACD90BB"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RWA=max</w:t>
      </w:r>
      <w:r>
        <w:rPr>
          <w:rFonts w:ascii="仿宋_GB2312" w:eastAsia="仿宋_GB2312" w:hint="eastAsia"/>
          <w:sz w:val="30"/>
          <w:szCs w:val="30"/>
        </w:rPr>
        <w:t>（</w:t>
      </w:r>
      <w:proofErr w:type="spellStart"/>
      <w:r>
        <w:rPr>
          <w:rFonts w:ascii="仿宋_GB2312" w:eastAsia="仿宋_GB2312" w:hint="eastAsia"/>
          <w:sz w:val="30"/>
          <w:szCs w:val="30"/>
        </w:rPr>
        <w:t>RWAa</w:t>
      </w:r>
      <w:proofErr w:type="spellEnd"/>
      <w:r>
        <w:rPr>
          <w:rFonts w:ascii="仿宋_GB2312" w:eastAsia="仿宋_GB2312" w:hint="eastAsia"/>
          <w:sz w:val="30"/>
          <w:szCs w:val="30"/>
        </w:rPr>
        <w:t>，</w:t>
      </w:r>
      <w:r>
        <w:rPr>
          <w:rFonts w:ascii="仿宋_GB2312" w:eastAsia="仿宋_GB2312" w:hint="eastAsia"/>
          <w:sz w:val="30"/>
          <w:szCs w:val="30"/>
        </w:rPr>
        <w:t>RWAs</w:t>
      </w:r>
      <w:r>
        <w:rPr>
          <w:rFonts w:ascii="仿宋_GB2312" w:eastAsia="仿宋_GB2312" w:hint="eastAsia"/>
          <w:sz w:val="30"/>
          <w:szCs w:val="30"/>
        </w:rPr>
        <w:t>×</w:t>
      </w:r>
      <w:r>
        <w:rPr>
          <w:rFonts w:ascii="仿宋_GB2312" w:eastAsia="仿宋_GB2312" w:hint="eastAsia"/>
          <w:sz w:val="30"/>
          <w:szCs w:val="30"/>
        </w:rPr>
        <w:t>72.5%</w:t>
      </w:r>
      <w:r>
        <w:rPr>
          <w:rFonts w:ascii="仿宋_GB2312" w:eastAsia="仿宋_GB2312" w:hint="eastAsia"/>
          <w:sz w:val="30"/>
          <w:szCs w:val="30"/>
        </w:rPr>
        <w:t>）</w:t>
      </w:r>
    </w:p>
    <w:p w14:paraId="7B36340A"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其中：</w:t>
      </w:r>
    </w:p>
    <w:p w14:paraId="6977693A"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RWA</w:t>
      </w:r>
      <w:r>
        <w:rPr>
          <w:rFonts w:ascii="仿宋_GB2312" w:eastAsia="仿宋_GB2312" w:hint="eastAsia"/>
          <w:sz w:val="30"/>
          <w:szCs w:val="30"/>
        </w:rPr>
        <w:t>为应用资本底线后的风险加权资产总额。</w:t>
      </w:r>
    </w:p>
    <w:p w14:paraId="250CD12E" w14:textId="77777777" w:rsidR="00177427" w:rsidRDefault="004925AF">
      <w:pPr>
        <w:spacing w:line="480" w:lineRule="exact"/>
        <w:ind w:firstLineChars="200" w:firstLine="600"/>
        <w:rPr>
          <w:rFonts w:ascii="仿宋_GB2312" w:eastAsia="仿宋_GB2312"/>
          <w:sz w:val="30"/>
          <w:szCs w:val="30"/>
        </w:rPr>
      </w:pPr>
      <w:proofErr w:type="spellStart"/>
      <w:r>
        <w:rPr>
          <w:rFonts w:ascii="仿宋_GB2312" w:eastAsia="仿宋_GB2312" w:hint="eastAsia"/>
          <w:sz w:val="30"/>
          <w:szCs w:val="30"/>
        </w:rPr>
        <w:t>RWAa</w:t>
      </w:r>
      <w:proofErr w:type="spellEnd"/>
      <w:r>
        <w:rPr>
          <w:rFonts w:ascii="仿宋_GB2312" w:eastAsia="仿宋_GB2312" w:hint="eastAsia"/>
          <w:sz w:val="30"/>
          <w:szCs w:val="30"/>
        </w:rPr>
        <w:t>为部分或全部采用资本计量高级方法时，依据本办法计算的风险加权资产总额。</w:t>
      </w:r>
    </w:p>
    <w:p w14:paraId="77C195E5" w14:textId="7777777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RWAs</w:t>
      </w:r>
      <w:r>
        <w:rPr>
          <w:rFonts w:ascii="仿宋_GB2312" w:eastAsia="仿宋_GB2312" w:hint="eastAsia"/>
          <w:sz w:val="30"/>
          <w:szCs w:val="30"/>
        </w:rPr>
        <w:t>为按其他方法计算的风险加权资产总额。</w:t>
      </w:r>
    </w:p>
    <w:p w14:paraId="58A05745" w14:textId="77777777" w:rsidR="00177427" w:rsidRDefault="004925AF">
      <w:pPr>
        <w:pStyle w:val="2"/>
      </w:pPr>
      <w:r>
        <w:rPr>
          <w:rFonts w:hint="eastAsia"/>
        </w:rPr>
        <w:t>五、持续监督</w:t>
      </w:r>
    </w:p>
    <w:p w14:paraId="1A40CD42" w14:textId="25646219"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（一）</w:t>
      </w:r>
      <w:r>
        <w:rPr>
          <w:rFonts w:ascii="仿宋_GB2312" w:eastAsia="仿宋_GB2312" w:hint="eastAsia"/>
          <w:sz w:val="30"/>
          <w:szCs w:val="30"/>
        </w:rPr>
        <w:t>国家金融监督管理总局</w:t>
      </w:r>
      <w:r>
        <w:rPr>
          <w:rFonts w:ascii="仿宋_GB2312" w:eastAsia="仿宋_GB2312" w:hint="eastAsia"/>
          <w:sz w:val="30"/>
          <w:szCs w:val="30"/>
        </w:rPr>
        <w:t>或其派出机构持续监督检查商业银行资本计量高级方法的审慎性，确保计量结果充分反映各种经济、政策环境变化对预期损失和非预期损失的负面影响。操作风险标准法采用自身损失数据自行计算内部损失乘数适用本部分规定。</w:t>
      </w:r>
    </w:p>
    <w:p w14:paraId="430F12A0" w14:textId="1714314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（二）商业银行对资本计量高级方法进行重大调整，包括但不限于改变高级方法覆盖范围，信用风险初级内部评级法升级到高级内部评级法，调整关</w:t>
      </w:r>
      <w:r>
        <w:rPr>
          <w:rFonts w:ascii="仿宋_GB2312" w:eastAsia="仿宋_GB2312" w:hint="eastAsia"/>
          <w:sz w:val="30"/>
          <w:szCs w:val="30"/>
        </w:rPr>
        <w:t>键定义和重要参数，重建计量模型等，应及时向</w:t>
      </w:r>
      <w:r>
        <w:rPr>
          <w:rFonts w:ascii="仿宋_GB2312" w:eastAsia="仿宋_GB2312" w:hint="eastAsia"/>
          <w:sz w:val="30"/>
          <w:szCs w:val="30"/>
        </w:rPr>
        <w:t>国家金融监督管理总局</w:t>
      </w:r>
      <w:r>
        <w:rPr>
          <w:rFonts w:ascii="仿宋_GB2312" w:eastAsia="仿宋_GB2312" w:hint="eastAsia"/>
          <w:sz w:val="30"/>
          <w:szCs w:val="30"/>
        </w:rPr>
        <w:t>或其派出机构报告，并提交全面验证报告和定量影响测算分析报告。</w:t>
      </w:r>
    </w:p>
    <w:p w14:paraId="344A6010" w14:textId="7CB31C3F"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国家金融监督管理总局</w:t>
      </w:r>
      <w:r>
        <w:rPr>
          <w:rFonts w:ascii="仿宋_GB2312" w:eastAsia="仿宋_GB2312" w:hint="eastAsia"/>
          <w:sz w:val="30"/>
          <w:szCs w:val="30"/>
        </w:rPr>
        <w:t>或其派出机构根据商业银行验证和测算结果，决定是否进行现场评估、是否予以认可。</w:t>
      </w:r>
    </w:p>
    <w:p w14:paraId="24541AC8" w14:textId="7E4FAA93"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（三）</w:t>
      </w:r>
      <w:r>
        <w:rPr>
          <w:rFonts w:ascii="仿宋_GB2312" w:eastAsia="仿宋_GB2312" w:hint="eastAsia"/>
          <w:sz w:val="30"/>
          <w:szCs w:val="30"/>
        </w:rPr>
        <w:t>国家金融监督管理总局</w:t>
      </w:r>
      <w:r>
        <w:rPr>
          <w:rFonts w:ascii="仿宋_GB2312" w:eastAsia="仿宋_GB2312" w:hint="eastAsia"/>
          <w:sz w:val="30"/>
          <w:szCs w:val="30"/>
        </w:rPr>
        <w:t>或其派出机构通过审阅商业银行验证报告等非现场监管方式，了解商业银行资本计量高级方法的运行情况。</w:t>
      </w:r>
    </w:p>
    <w:p w14:paraId="499443BF" w14:textId="4E5BF34F"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商业银行应至少每年一次向</w:t>
      </w:r>
      <w:r>
        <w:rPr>
          <w:rFonts w:ascii="仿宋_GB2312" w:eastAsia="仿宋_GB2312" w:hint="eastAsia"/>
          <w:sz w:val="30"/>
          <w:szCs w:val="30"/>
        </w:rPr>
        <w:t>国家金融监督管理总局</w:t>
      </w:r>
      <w:r>
        <w:rPr>
          <w:rFonts w:ascii="仿宋_GB2312" w:eastAsia="仿宋_GB2312" w:hint="eastAsia"/>
          <w:sz w:val="30"/>
          <w:szCs w:val="30"/>
        </w:rPr>
        <w:t>或其派出机构提交验证报告，验证报告应当有助于</w:t>
      </w:r>
      <w:r>
        <w:rPr>
          <w:rFonts w:ascii="仿宋_GB2312" w:eastAsia="仿宋_GB2312" w:hint="eastAsia"/>
          <w:sz w:val="30"/>
          <w:szCs w:val="30"/>
        </w:rPr>
        <w:t>国家金融监督管理总局</w:t>
      </w:r>
      <w:r>
        <w:rPr>
          <w:rFonts w:ascii="仿宋_GB2312" w:eastAsia="仿宋_GB2312" w:hint="eastAsia"/>
          <w:sz w:val="30"/>
          <w:szCs w:val="30"/>
        </w:rPr>
        <w:t>或其派出机构了解资本计量高级方法的运行、验证和修改情况。</w:t>
      </w:r>
      <w:r>
        <w:rPr>
          <w:rFonts w:ascii="仿宋_GB2312" w:eastAsia="仿宋_GB2312" w:hint="eastAsia"/>
          <w:sz w:val="30"/>
          <w:szCs w:val="30"/>
        </w:rPr>
        <w:t>国家金融监督管理总局</w:t>
      </w:r>
      <w:r>
        <w:rPr>
          <w:rFonts w:ascii="仿宋_GB2312" w:eastAsia="仿宋_GB2312" w:hint="eastAsia"/>
          <w:sz w:val="30"/>
          <w:szCs w:val="30"/>
        </w:rPr>
        <w:t>或其派出机构可要求商业银行对所提交的验证报告进行详细说明。</w:t>
      </w:r>
    </w:p>
    <w:p w14:paraId="57F7CF1A" w14:textId="3891F823"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（四）</w:t>
      </w:r>
      <w:r>
        <w:rPr>
          <w:rFonts w:ascii="仿宋_GB2312" w:eastAsia="仿宋_GB2312" w:hint="eastAsia"/>
          <w:sz w:val="30"/>
          <w:szCs w:val="30"/>
        </w:rPr>
        <w:t>国家金融监督管理总局</w:t>
      </w:r>
      <w:r>
        <w:rPr>
          <w:rFonts w:ascii="仿宋_GB2312" w:eastAsia="仿宋_GB2312" w:hint="eastAsia"/>
          <w:sz w:val="30"/>
          <w:szCs w:val="30"/>
        </w:rPr>
        <w:t>或其派出机构依据本办法对商业银行资本计量高级方法的验证工作进行监督检查，包括：</w:t>
      </w:r>
    </w:p>
    <w:p w14:paraId="58D0F4AE" w14:textId="52E939C5"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eastAsia="仿宋_GB2312" w:hint="eastAsia"/>
          <w:sz w:val="30"/>
          <w:szCs w:val="30"/>
        </w:rPr>
        <w:t>.</w:t>
      </w:r>
      <w:r>
        <w:rPr>
          <w:rFonts w:ascii="仿宋_GB2312" w:eastAsia="仿宋_GB2312" w:hint="eastAsia"/>
          <w:sz w:val="30"/>
          <w:szCs w:val="30"/>
        </w:rPr>
        <w:t>检查商业银行资本计量高级方法内部验证体系的建立和实施情况。</w:t>
      </w:r>
    </w:p>
    <w:p w14:paraId="6347A80D" w14:textId="585A1959"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w:t>
      </w:r>
      <w:r>
        <w:rPr>
          <w:rFonts w:ascii="仿宋_GB2312" w:eastAsia="仿宋_GB2312" w:hint="eastAsia"/>
          <w:sz w:val="30"/>
          <w:szCs w:val="30"/>
        </w:rPr>
        <w:t>评估商业银行所采用的验证方法的合理性和适用性。</w:t>
      </w:r>
    </w:p>
    <w:p w14:paraId="4F06E9B1" w14:textId="138B62EC"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eastAsia="仿宋_GB2312" w:hint="eastAsia"/>
          <w:sz w:val="30"/>
          <w:szCs w:val="30"/>
        </w:rPr>
        <w:t>.</w:t>
      </w:r>
      <w:r>
        <w:rPr>
          <w:rFonts w:ascii="仿宋_GB2312" w:eastAsia="仿宋_GB2312" w:hint="eastAsia"/>
          <w:sz w:val="30"/>
          <w:szCs w:val="30"/>
        </w:rPr>
        <w:t>评估商业银行验证数据管理流程、信息系统和验证工作的可靠性。</w:t>
      </w:r>
    </w:p>
    <w:p w14:paraId="57400583" w14:textId="655EA750"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4</w:t>
      </w:r>
      <w:r>
        <w:rPr>
          <w:rFonts w:ascii="仿宋_GB2312" w:eastAsia="仿宋_GB2312" w:hint="eastAsia"/>
          <w:sz w:val="30"/>
          <w:szCs w:val="30"/>
        </w:rPr>
        <w:t>.</w:t>
      </w:r>
      <w:r>
        <w:rPr>
          <w:rFonts w:ascii="仿宋_GB2312" w:eastAsia="仿宋_GB2312" w:hint="eastAsia"/>
          <w:sz w:val="30"/>
          <w:szCs w:val="30"/>
        </w:rPr>
        <w:t>审查商业银行的验证阶段是否覆盖了本办法要求的全部验证工作。</w:t>
      </w:r>
    </w:p>
    <w:p w14:paraId="4E20671A" w14:textId="7B458F03"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5</w:t>
      </w:r>
      <w:r>
        <w:rPr>
          <w:rFonts w:ascii="仿宋_GB2312" w:eastAsia="仿宋_GB2312" w:hint="eastAsia"/>
          <w:sz w:val="30"/>
          <w:szCs w:val="30"/>
        </w:rPr>
        <w:t>.</w:t>
      </w:r>
      <w:r>
        <w:rPr>
          <w:rFonts w:ascii="仿宋_GB2312" w:eastAsia="仿宋_GB2312" w:hint="eastAsia"/>
          <w:sz w:val="30"/>
          <w:szCs w:val="30"/>
        </w:rPr>
        <w:t>评估商业银行验证触发机制和应变机制的执行情况。</w:t>
      </w:r>
    </w:p>
    <w:p w14:paraId="4C203B98" w14:textId="368C55F5"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6</w:t>
      </w:r>
      <w:r>
        <w:rPr>
          <w:rFonts w:ascii="仿宋_GB2312" w:eastAsia="仿宋_GB2312" w:hint="eastAsia"/>
          <w:sz w:val="30"/>
          <w:szCs w:val="30"/>
        </w:rPr>
        <w:t>.</w:t>
      </w:r>
      <w:r>
        <w:rPr>
          <w:rFonts w:ascii="仿宋_GB2312" w:eastAsia="仿宋_GB2312" w:hint="eastAsia"/>
          <w:sz w:val="30"/>
          <w:szCs w:val="30"/>
        </w:rPr>
        <w:t>检查商业银行验证结果的运用情况，以及验证发现问题的</w:t>
      </w:r>
      <w:r>
        <w:rPr>
          <w:rFonts w:ascii="仿宋_GB2312" w:eastAsia="仿宋_GB2312" w:hint="eastAsia"/>
          <w:sz w:val="30"/>
          <w:szCs w:val="30"/>
        </w:rPr>
        <w:lastRenderedPageBreak/>
        <w:t>整改纠正情况。</w:t>
      </w:r>
    </w:p>
    <w:p w14:paraId="0B9B0652" w14:textId="40CA7930"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7</w:t>
      </w:r>
      <w:r>
        <w:rPr>
          <w:rFonts w:ascii="仿宋_GB2312" w:eastAsia="仿宋_GB2312" w:hint="eastAsia"/>
          <w:sz w:val="30"/>
          <w:szCs w:val="30"/>
        </w:rPr>
        <w:t>.</w:t>
      </w:r>
      <w:r>
        <w:rPr>
          <w:rFonts w:ascii="仿宋_GB2312" w:eastAsia="仿宋_GB2312" w:hint="eastAsia"/>
          <w:sz w:val="30"/>
          <w:szCs w:val="30"/>
        </w:rPr>
        <w:t>审阅商业银行验证有关文档，评估文档的有效性。</w:t>
      </w:r>
    </w:p>
    <w:p w14:paraId="554E31EF" w14:textId="7B50E8B0"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（五）如商业银行资本计量高级方法存在重大缺陷，包括但不限于计量结果低估资本要求，验证工作无法持续达到监管要求等，</w:t>
      </w:r>
      <w:r>
        <w:rPr>
          <w:rFonts w:ascii="仿宋_GB2312" w:eastAsia="仿宋_GB2312" w:hint="eastAsia"/>
          <w:sz w:val="30"/>
          <w:szCs w:val="30"/>
        </w:rPr>
        <w:t>国家金融监督管理总局</w:t>
      </w:r>
      <w:r>
        <w:rPr>
          <w:rFonts w:ascii="仿宋_GB2312" w:eastAsia="仿宋_GB2312" w:hint="eastAsia"/>
          <w:sz w:val="30"/>
          <w:szCs w:val="30"/>
        </w:rPr>
        <w:t>或其派出机构应当要求商业银行限期整改。在限期内，</w:t>
      </w:r>
      <w:r>
        <w:rPr>
          <w:rFonts w:ascii="仿宋_GB2312" w:eastAsia="仿宋_GB2312" w:hint="eastAsia"/>
          <w:sz w:val="30"/>
          <w:szCs w:val="30"/>
        </w:rPr>
        <w:t>国家金融监督管理总局</w:t>
      </w:r>
      <w:r>
        <w:rPr>
          <w:rFonts w:ascii="仿宋_GB2312" w:eastAsia="仿宋_GB2312" w:hint="eastAsia"/>
          <w:sz w:val="30"/>
          <w:szCs w:val="30"/>
        </w:rPr>
        <w:t>或其派出机构可以在第二支柱下提高监管资本要求或采取</w:t>
      </w:r>
      <w:r>
        <w:rPr>
          <w:rFonts w:ascii="仿宋_GB2312" w:eastAsia="仿宋_GB2312" w:hint="eastAsia"/>
          <w:sz w:val="30"/>
          <w:szCs w:val="30"/>
        </w:rPr>
        <w:t>其他适当的监管措施。如商业银行在限期结束后仍未能达到监管要求，</w:t>
      </w:r>
      <w:r>
        <w:rPr>
          <w:rFonts w:ascii="仿宋_GB2312" w:eastAsia="仿宋_GB2312" w:hint="eastAsia"/>
          <w:sz w:val="30"/>
          <w:szCs w:val="30"/>
        </w:rPr>
        <w:t>国家金融监督管理总局</w:t>
      </w:r>
      <w:r>
        <w:rPr>
          <w:rFonts w:ascii="仿宋_GB2312" w:eastAsia="仿宋_GB2312" w:hint="eastAsia"/>
          <w:sz w:val="30"/>
          <w:szCs w:val="30"/>
        </w:rPr>
        <w:t>或其派出机构有权取消商业银行实施资本计量高级方法的资格。</w:t>
      </w:r>
    </w:p>
    <w:p w14:paraId="33DE75DE" w14:textId="5F441558"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其中，内部模型法全行层面返回检验结果在最近</w:t>
      </w:r>
      <w:r>
        <w:rPr>
          <w:rFonts w:ascii="仿宋_GB2312" w:eastAsia="仿宋_GB2312" w:hint="eastAsia"/>
          <w:sz w:val="30"/>
          <w:szCs w:val="30"/>
        </w:rPr>
        <w:t>250</w:t>
      </w:r>
      <w:r>
        <w:rPr>
          <w:rFonts w:ascii="仿宋_GB2312" w:eastAsia="仿宋_GB2312" w:hint="eastAsia"/>
          <w:sz w:val="30"/>
          <w:szCs w:val="30"/>
        </w:rPr>
        <w:t>个交易日内</w:t>
      </w:r>
      <w:r>
        <w:rPr>
          <w:rFonts w:ascii="仿宋_GB2312" w:eastAsia="仿宋_GB2312" w:hint="eastAsia"/>
          <w:sz w:val="30"/>
          <w:szCs w:val="30"/>
        </w:rPr>
        <w:t>99%</w:t>
      </w:r>
      <w:r>
        <w:rPr>
          <w:rFonts w:ascii="仿宋_GB2312" w:eastAsia="仿宋_GB2312" w:hint="eastAsia"/>
          <w:sz w:val="30"/>
          <w:szCs w:val="30"/>
        </w:rPr>
        <w:t>的置信水平下出现</w:t>
      </w:r>
      <w:r>
        <w:rPr>
          <w:rFonts w:ascii="仿宋_GB2312" w:eastAsia="仿宋_GB2312" w:hint="eastAsia"/>
          <w:sz w:val="30"/>
          <w:szCs w:val="30"/>
        </w:rPr>
        <w:t>10</w:t>
      </w:r>
      <w:r>
        <w:rPr>
          <w:rFonts w:ascii="仿宋_GB2312" w:eastAsia="仿宋_GB2312" w:hint="eastAsia"/>
          <w:sz w:val="30"/>
          <w:szCs w:val="30"/>
        </w:rPr>
        <w:t>次或以上的突破后，商业银行应当立即报告</w:t>
      </w:r>
      <w:r>
        <w:rPr>
          <w:rFonts w:ascii="仿宋_GB2312" w:eastAsia="仿宋_GB2312" w:hint="eastAsia"/>
          <w:sz w:val="30"/>
          <w:szCs w:val="30"/>
        </w:rPr>
        <w:t>国家金融监督管理总局</w:t>
      </w:r>
      <w:r>
        <w:rPr>
          <w:rFonts w:ascii="仿宋_GB2312" w:eastAsia="仿宋_GB2312" w:hint="eastAsia"/>
          <w:sz w:val="30"/>
          <w:szCs w:val="30"/>
        </w:rPr>
        <w:t>或其派出机构。</w:t>
      </w:r>
      <w:r>
        <w:rPr>
          <w:rFonts w:ascii="仿宋_GB2312" w:eastAsia="仿宋_GB2312" w:hint="eastAsia"/>
          <w:sz w:val="30"/>
          <w:szCs w:val="30"/>
        </w:rPr>
        <w:t>国家金融监督管理总局</w:t>
      </w:r>
      <w:r>
        <w:rPr>
          <w:rFonts w:ascii="仿宋_GB2312" w:eastAsia="仿宋_GB2312" w:hint="eastAsia"/>
          <w:sz w:val="30"/>
          <w:szCs w:val="30"/>
        </w:rPr>
        <w:t>或其派出机构应当要求商业银行进行整改，并设立</w:t>
      </w:r>
      <w:r>
        <w:rPr>
          <w:rFonts w:ascii="仿宋_GB2312" w:eastAsia="仿宋_GB2312" w:hint="eastAsia"/>
          <w:sz w:val="30"/>
          <w:szCs w:val="30"/>
        </w:rPr>
        <w:t>6</w:t>
      </w:r>
      <w:r>
        <w:rPr>
          <w:rFonts w:ascii="仿宋_GB2312" w:eastAsia="仿宋_GB2312" w:hint="eastAsia"/>
          <w:sz w:val="30"/>
          <w:szCs w:val="30"/>
        </w:rPr>
        <w:t>个月观测期。观测期内，商业银行仍不能进行有效整改的，</w:t>
      </w:r>
      <w:r>
        <w:rPr>
          <w:rFonts w:ascii="仿宋_GB2312" w:eastAsia="仿宋_GB2312" w:hint="eastAsia"/>
          <w:sz w:val="30"/>
          <w:szCs w:val="30"/>
        </w:rPr>
        <w:t>国家金融监督管理总局</w:t>
      </w:r>
      <w:r>
        <w:rPr>
          <w:rFonts w:ascii="仿宋_GB2312" w:eastAsia="仿宋_GB2312" w:hint="eastAsia"/>
          <w:sz w:val="30"/>
          <w:szCs w:val="30"/>
        </w:rPr>
        <w:t>或其派出机构应当取消商业银行使用内部模型法计量市场风险资本要求的资格。</w:t>
      </w:r>
    </w:p>
    <w:p w14:paraId="785C8988" w14:textId="105EE5A9"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若某个交易台返回检验结果在</w:t>
      </w:r>
      <w:r>
        <w:rPr>
          <w:rFonts w:ascii="仿宋_GB2312" w:eastAsia="仿宋_GB2312" w:hint="eastAsia"/>
          <w:sz w:val="30"/>
          <w:szCs w:val="30"/>
        </w:rPr>
        <w:t>最近</w:t>
      </w:r>
      <w:r>
        <w:rPr>
          <w:rFonts w:ascii="仿宋_GB2312" w:eastAsia="仿宋_GB2312" w:hint="eastAsia"/>
          <w:sz w:val="30"/>
          <w:szCs w:val="30"/>
        </w:rPr>
        <w:t>250</w:t>
      </w:r>
      <w:r>
        <w:rPr>
          <w:rFonts w:ascii="仿宋_GB2312" w:eastAsia="仿宋_GB2312" w:hint="eastAsia"/>
          <w:sz w:val="30"/>
          <w:szCs w:val="30"/>
        </w:rPr>
        <w:t>个交易日</w:t>
      </w:r>
      <w:r>
        <w:rPr>
          <w:rFonts w:ascii="仿宋_GB2312" w:eastAsia="仿宋_GB2312" w:hint="eastAsia"/>
          <w:sz w:val="30"/>
          <w:szCs w:val="30"/>
        </w:rPr>
        <w:t>99%</w:t>
      </w:r>
      <w:r>
        <w:rPr>
          <w:rFonts w:ascii="仿宋_GB2312" w:eastAsia="仿宋_GB2312" w:hint="eastAsia"/>
          <w:sz w:val="30"/>
          <w:szCs w:val="30"/>
        </w:rPr>
        <w:t>的置信水平下突破次数</w:t>
      </w:r>
      <w:r>
        <w:rPr>
          <w:rFonts w:ascii="仿宋_GB2312" w:eastAsia="仿宋_GB2312" w:hint="eastAsia"/>
          <w:color w:val="000000"/>
          <w:sz w:val="30"/>
          <w:szCs w:val="30"/>
        </w:rPr>
        <w:t>超过</w:t>
      </w:r>
      <w:r>
        <w:rPr>
          <w:rFonts w:ascii="仿宋_GB2312" w:eastAsia="仿宋_GB2312" w:hint="eastAsia"/>
          <w:sz w:val="30"/>
          <w:szCs w:val="30"/>
        </w:rPr>
        <w:t>12</w:t>
      </w:r>
      <w:r>
        <w:rPr>
          <w:rFonts w:ascii="仿宋_GB2312" w:eastAsia="仿宋_GB2312" w:hint="eastAsia"/>
          <w:sz w:val="30"/>
          <w:szCs w:val="30"/>
        </w:rPr>
        <w:t>次，或在</w:t>
      </w:r>
      <w:r>
        <w:rPr>
          <w:rFonts w:ascii="仿宋_GB2312" w:eastAsia="仿宋_GB2312" w:hint="eastAsia"/>
          <w:sz w:val="30"/>
          <w:szCs w:val="30"/>
        </w:rPr>
        <w:t>97.5%</w:t>
      </w:r>
      <w:r>
        <w:rPr>
          <w:rFonts w:ascii="仿宋_GB2312" w:eastAsia="仿宋_GB2312" w:hint="eastAsia"/>
          <w:sz w:val="30"/>
          <w:szCs w:val="30"/>
        </w:rPr>
        <w:t>的置信水平下突破次数</w:t>
      </w:r>
      <w:r>
        <w:rPr>
          <w:rFonts w:ascii="仿宋_GB2312" w:eastAsia="仿宋_GB2312" w:hint="eastAsia"/>
          <w:color w:val="000000"/>
          <w:sz w:val="30"/>
          <w:szCs w:val="30"/>
        </w:rPr>
        <w:t>超过</w:t>
      </w:r>
      <w:r>
        <w:rPr>
          <w:rFonts w:ascii="仿宋_GB2312" w:eastAsia="仿宋_GB2312" w:hint="eastAsia"/>
          <w:sz w:val="30"/>
          <w:szCs w:val="30"/>
        </w:rPr>
        <w:t>30</w:t>
      </w:r>
      <w:r>
        <w:rPr>
          <w:rFonts w:ascii="仿宋_GB2312" w:eastAsia="仿宋_GB2312" w:hint="eastAsia"/>
          <w:sz w:val="30"/>
          <w:szCs w:val="30"/>
        </w:rPr>
        <w:t>次，商业银行应按标准法计量该交易台的资本要求</w:t>
      </w:r>
      <w:r>
        <w:rPr>
          <w:rFonts w:ascii="仿宋_GB2312" w:eastAsia="仿宋_GB2312" w:hint="eastAsia"/>
          <w:sz w:val="30"/>
          <w:szCs w:val="30"/>
        </w:rPr>
        <w:t>，并及时向国家金融监督管理总局或其派出机构报告</w:t>
      </w:r>
      <w:r>
        <w:rPr>
          <w:rFonts w:ascii="仿宋_GB2312" w:eastAsia="仿宋_GB2312" w:hint="eastAsia"/>
          <w:sz w:val="30"/>
          <w:szCs w:val="30"/>
        </w:rPr>
        <w:t>。若重新采用内部模型法，应经</w:t>
      </w:r>
      <w:r>
        <w:rPr>
          <w:rFonts w:ascii="仿宋_GB2312" w:eastAsia="仿宋_GB2312" w:hint="eastAsia"/>
          <w:sz w:val="30"/>
          <w:szCs w:val="30"/>
        </w:rPr>
        <w:t>国家金融监督管理总局</w:t>
      </w:r>
      <w:r>
        <w:rPr>
          <w:rFonts w:ascii="仿宋_GB2312" w:eastAsia="仿宋_GB2312" w:hint="eastAsia"/>
          <w:sz w:val="30"/>
          <w:szCs w:val="30"/>
        </w:rPr>
        <w:t>或其派出机构认可。</w:t>
      </w:r>
    </w:p>
    <w:p w14:paraId="111515FA" w14:textId="0F9F2455"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若某个交易台损益归因测试结果为红区，商业银行应按标准法计量该交易台的资本要求，</w:t>
      </w:r>
      <w:r>
        <w:rPr>
          <w:rFonts w:ascii="仿宋_GB2312" w:eastAsia="仿宋_GB2312" w:hint="eastAsia"/>
          <w:sz w:val="30"/>
          <w:szCs w:val="30"/>
        </w:rPr>
        <w:t>并及时向国家金融监督管理总局或其派出机构报告</w:t>
      </w:r>
      <w:r>
        <w:rPr>
          <w:rFonts w:ascii="仿宋_GB2312" w:eastAsia="仿宋_GB2312" w:hint="eastAsia"/>
          <w:sz w:val="30"/>
          <w:szCs w:val="30"/>
        </w:rPr>
        <w:t>。若连续</w:t>
      </w:r>
      <w:r>
        <w:rPr>
          <w:rFonts w:ascii="仿宋_GB2312" w:eastAsia="仿宋_GB2312" w:hint="eastAsia"/>
          <w:sz w:val="30"/>
          <w:szCs w:val="30"/>
        </w:rPr>
        <w:t>6</w:t>
      </w:r>
      <w:r>
        <w:rPr>
          <w:rFonts w:ascii="仿宋_GB2312" w:eastAsia="仿宋_GB2312" w:hint="eastAsia"/>
          <w:sz w:val="30"/>
          <w:szCs w:val="30"/>
        </w:rPr>
        <w:t>个月</w:t>
      </w:r>
      <w:r>
        <w:rPr>
          <w:rFonts w:ascii="仿宋_GB2312" w:eastAsia="仿宋_GB2312" w:hint="eastAsia"/>
          <w:sz w:val="30"/>
          <w:szCs w:val="30"/>
        </w:rPr>
        <w:t>损益归因测试结果为绿区，</w:t>
      </w:r>
      <w:r>
        <w:rPr>
          <w:rFonts w:ascii="仿宋_GB2312" w:eastAsia="仿宋_GB2312" w:hint="eastAsia"/>
          <w:sz w:val="30"/>
          <w:szCs w:val="30"/>
        </w:rPr>
        <w:t>期间每日交易台层面</w:t>
      </w:r>
      <w:r>
        <w:rPr>
          <w:rFonts w:ascii="仿宋_GB2312" w:eastAsia="仿宋_GB2312" w:hint="eastAsia"/>
          <w:sz w:val="30"/>
          <w:szCs w:val="30"/>
        </w:rPr>
        <w:t>最近</w:t>
      </w:r>
      <w:r>
        <w:rPr>
          <w:rFonts w:ascii="仿宋_GB2312" w:eastAsia="仿宋_GB2312" w:hint="eastAsia"/>
          <w:sz w:val="30"/>
          <w:szCs w:val="30"/>
        </w:rPr>
        <w:t>250</w:t>
      </w:r>
      <w:r>
        <w:rPr>
          <w:rFonts w:ascii="仿宋_GB2312" w:eastAsia="仿宋_GB2312" w:hint="eastAsia"/>
          <w:sz w:val="30"/>
          <w:szCs w:val="30"/>
        </w:rPr>
        <w:t>个交易日</w:t>
      </w:r>
      <w:r>
        <w:rPr>
          <w:rFonts w:ascii="仿宋_GB2312" w:eastAsia="仿宋_GB2312" w:hint="eastAsia"/>
          <w:sz w:val="30"/>
          <w:szCs w:val="30"/>
        </w:rPr>
        <w:t>返回检验</w:t>
      </w:r>
      <w:r>
        <w:rPr>
          <w:rFonts w:ascii="仿宋_GB2312" w:eastAsia="仿宋_GB2312" w:hint="eastAsia"/>
          <w:sz w:val="30"/>
          <w:szCs w:val="30"/>
        </w:rPr>
        <w:t>突破次数不超过</w:t>
      </w:r>
      <w:r>
        <w:rPr>
          <w:rFonts w:ascii="仿宋_GB2312" w:eastAsia="仿宋_GB2312" w:hint="eastAsia"/>
          <w:sz w:val="30"/>
          <w:szCs w:val="30"/>
        </w:rPr>
        <w:t>4</w:t>
      </w:r>
      <w:r>
        <w:rPr>
          <w:rFonts w:ascii="仿宋_GB2312" w:eastAsia="仿宋_GB2312" w:hint="eastAsia"/>
          <w:sz w:val="30"/>
          <w:szCs w:val="30"/>
        </w:rPr>
        <w:t>次</w:t>
      </w:r>
      <w:r>
        <w:rPr>
          <w:rFonts w:ascii="仿宋_GB2312" w:eastAsia="仿宋_GB2312" w:hint="eastAsia"/>
          <w:sz w:val="30"/>
          <w:szCs w:val="30"/>
        </w:rPr>
        <w:t>，</w:t>
      </w:r>
      <w:r>
        <w:rPr>
          <w:rFonts w:ascii="仿宋_GB2312" w:eastAsia="仿宋_GB2312" w:hint="eastAsia"/>
          <w:color w:val="000000"/>
          <w:sz w:val="30"/>
          <w:szCs w:val="30"/>
        </w:rPr>
        <w:t>且下个月末交易台符合内部模型法使用条件，</w:t>
      </w:r>
      <w:r>
        <w:rPr>
          <w:rFonts w:ascii="仿宋_GB2312" w:eastAsia="仿宋_GB2312" w:hint="eastAsia"/>
          <w:sz w:val="30"/>
          <w:szCs w:val="30"/>
        </w:rPr>
        <w:t>应</w:t>
      </w:r>
      <w:r>
        <w:rPr>
          <w:rFonts w:ascii="仿宋_GB2312" w:eastAsia="仿宋_GB2312" w:hint="eastAsia"/>
          <w:sz w:val="30"/>
          <w:szCs w:val="30"/>
        </w:rPr>
        <w:t>恢复采用内部模</w:t>
      </w:r>
      <w:r>
        <w:rPr>
          <w:rFonts w:ascii="仿宋_GB2312" w:eastAsia="仿宋_GB2312" w:hint="eastAsia"/>
          <w:sz w:val="30"/>
          <w:szCs w:val="30"/>
        </w:rPr>
        <w:lastRenderedPageBreak/>
        <w:t>型法，并向</w:t>
      </w:r>
      <w:r>
        <w:rPr>
          <w:rFonts w:ascii="仿宋_GB2312" w:eastAsia="仿宋_GB2312" w:hint="eastAsia"/>
          <w:sz w:val="30"/>
          <w:szCs w:val="30"/>
        </w:rPr>
        <w:t>国家金融监督管理总局</w:t>
      </w:r>
      <w:r>
        <w:rPr>
          <w:rFonts w:ascii="仿宋_GB2312" w:eastAsia="仿宋_GB2312" w:hint="eastAsia"/>
          <w:sz w:val="30"/>
          <w:szCs w:val="30"/>
        </w:rPr>
        <w:t>或其派出机构报告。</w:t>
      </w:r>
    </w:p>
    <w:p w14:paraId="70F8DD20" w14:textId="595113C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（六）被</w:t>
      </w:r>
      <w:r>
        <w:rPr>
          <w:rFonts w:ascii="仿宋_GB2312" w:eastAsia="仿宋_GB2312" w:hint="eastAsia"/>
          <w:sz w:val="30"/>
          <w:szCs w:val="30"/>
        </w:rPr>
        <w:t>国家金融监督管理总局</w:t>
      </w:r>
      <w:r>
        <w:rPr>
          <w:rFonts w:ascii="仿宋_GB2312" w:eastAsia="仿宋_GB2312" w:hint="eastAsia"/>
          <w:sz w:val="30"/>
          <w:szCs w:val="30"/>
        </w:rPr>
        <w:t>或其派出机构取消采用资本计量高级方法资格的商业银行，自取消之日起，</w:t>
      </w:r>
      <w:r>
        <w:rPr>
          <w:rFonts w:ascii="仿宋_GB2312" w:eastAsia="仿宋_GB2312" w:hint="eastAsia"/>
          <w:sz w:val="30"/>
          <w:szCs w:val="30"/>
        </w:rPr>
        <w:t>3</w:t>
      </w:r>
      <w:r>
        <w:rPr>
          <w:rFonts w:ascii="仿宋_GB2312" w:eastAsia="仿宋_GB2312" w:hint="eastAsia"/>
          <w:sz w:val="30"/>
          <w:szCs w:val="30"/>
        </w:rPr>
        <w:t>年之内不得再向</w:t>
      </w:r>
      <w:r>
        <w:rPr>
          <w:rFonts w:ascii="仿宋_GB2312" w:eastAsia="仿宋_GB2312" w:hint="eastAsia"/>
          <w:sz w:val="30"/>
          <w:szCs w:val="30"/>
        </w:rPr>
        <w:t>国家金融监督管理总局</w:t>
      </w:r>
      <w:r>
        <w:rPr>
          <w:rFonts w:ascii="仿宋_GB2312" w:eastAsia="仿宋_GB2312" w:hint="eastAsia"/>
          <w:sz w:val="30"/>
          <w:szCs w:val="30"/>
        </w:rPr>
        <w:t>或其派出机构申请采用资本计量高级方法。</w:t>
      </w:r>
    </w:p>
    <w:p w14:paraId="16481581" w14:textId="1670A99D"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（七）未经</w:t>
      </w:r>
      <w:r>
        <w:rPr>
          <w:rFonts w:ascii="仿宋_GB2312" w:eastAsia="仿宋_GB2312" w:hint="eastAsia"/>
          <w:sz w:val="30"/>
          <w:szCs w:val="30"/>
        </w:rPr>
        <w:t>国家金融监督管理总局</w:t>
      </w:r>
      <w:r>
        <w:rPr>
          <w:rFonts w:ascii="仿宋_GB2312" w:eastAsia="仿宋_GB2312" w:hint="eastAsia"/>
          <w:sz w:val="30"/>
          <w:szCs w:val="30"/>
        </w:rPr>
        <w:t>或其派出机构认可，实施资本计量高级方法的商业银行不得变更风险加权资产计量方法，另有规定的从其规定。</w:t>
      </w:r>
    </w:p>
    <w:p w14:paraId="666DB986" w14:textId="272E5E07" w:rsidR="00177427" w:rsidRDefault="004925AF">
      <w:pPr>
        <w:spacing w:line="480" w:lineRule="exact"/>
        <w:ind w:firstLineChars="200" w:firstLine="600"/>
        <w:rPr>
          <w:rFonts w:ascii="仿宋_GB2312" w:eastAsia="仿宋_GB2312"/>
          <w:sz w:val="30"/>
          <w:szCs w:val="30"/>
        </w:rPr>
      </w:pPr>
      <w:r>
        <w:rPr>
          <w:rFonts w:ascii="仿宋_GB2312" w:eastAsia="仿宋_GB2312" w:hint="eastAsia"/>
          <w:sz w:val="30"/>
          <w:szCs w:val="30"/>
        </w:rPr>
        <w:t>其中，对采用内部评级法的风险暴露，未经</w:t>
      </w:r>
      <w:r>
        <w:rPr>
          <w:rFonts w:ascii="仿宋_GB2312" w:eastAsia="仿宋_GB2312" w:hint="eastAsia"/>
          <w:sz w:val="30"/>
          <w:szCs w:val="30"/>
        </w:rPr>
        <w:t>国家金融监督管理总局</w:t>
      </w:r>
      <w:r>
        <w:rPr>
          <w:rFonts w:ascii="仿宋_GB2312" w:eastAsia="仿宋_GB2312" w:hint="eastAsia"/>
          <w:sz w:val="30"/>
          <w:szCs w:val="30"/>
        </w:rPr>
        <w:t>或其派出机构认可商业银行不得退回到权重法；对采用高级内部评级法的，未经</w:t>
      </w:r>
      <w:r>
        <w:rPr>
          <w:rFonts w:ascii="仿宋_GB2312" w:eastAsia="仿宋_GB2312" w:hint="eastAsia"/>
          <w:sz w:val="30"/>
          <w:szCs w:val="30"/>
        </w:rPr>
        <w:t>国家金融监督管理总局</w:t>
      </w:r>
      <w:r>
        <w:rPr>
          <w:rFonts w:ascii="仿宋_GB2312" w:eastAsia="仿宋_GB2312" w:hint="eastAsia"/>
          <w:sz w:val="30"/>
          <w:szCs w:val="30"/>
        </w:rPr>
        <w:t>或其派出机构认可不得退回到初级内部评级法。商</w:t>
      </w:r>
      <w:r>
        <w:rPr>
          <w:rFonts w:ascii="仿宋_GB2312" w:eastAsia="仿宋_GB2312" w:hint="eastAsia"/>
          <w:sz w:val="30"/>
          <w:szCs w:val="30"/>
        </w:rPr>
        <w:t>业银行能够估计专业贷款的违约概率并采用内部评级法计算风险加权资产的，未经</w:t>
      </w:r>
      <w:r>
        <w:rPr>
          <w:rFonts w:ascii="仿宋_GB2312" w:eastAsia="仿宋_GB2312" w:hint="eastAsia"/>
          <w:sz w:val="30"/>
          <w:szCs w:val="30"/>
        </w:rPr>
        <w:t>国家金融监督管理总局</w:t>
      </w:r>
      <w:r>
        <w:rPr>
          <w:rFonts w:ascii="仿宋_GB2312" w:eastAsia="仿宋_GB2312" w:hint="eastAsia"/>
          <w:sz w:val="30"/>
          <w:szCs w:val="30"/>
        </w:rPr>
        <w:t>或其派出机构认可不得采用监管映射法。对特定风险暴露采用内部评级法后，若商业银行不再从事该类业务或该类风险暴露的重要性显著降低，商业银行可向</w:t>
      </w:r>
      <w:r>
        <w:rPr>
          <w:rFonts w:ascii="仿宋_GB2312" w:eastAsia="仿宋_GB2312" w:hint="eastAsia"/>
          <w:sz w:val="30"/>
          <w:szCs w:val="30"/>
        </w:rPr>
        <w:t>国家金融监督管理总局</w:t>
      </w:r>
      <w:r>
        <w:rPr>
          <w:rFonts w:ascii="仿宋_GB2312" w:eastAsia="仿宋_GB2312" w:hint="eastAsia"/>
          <w:sz w:val="30"/>
          <w:szCs w:val="30"/>
        </w:rPr>
        <w:t>或其派出机构申请退回到权重法。</w:t>
      </w:r>
    </w:p>
    <w:sectPr w:rsidR="00177427">
      <w:footerReference w:type="even" r:id="rId6"/>
      <w:footerReference w:type="default" r:id="rId7"/>
      <w:footnotePr>
        <w:numFmt w:val="decimalEnclosedCircleChinese"/>
      </w:footnotePr>
      <w:pgSz w:w="11906" w:h="16838"/>
      <w:pgMar w:top="2268" w:right="1701" w:bottom="1701"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352DD" w14:textId="77777777" w:rsidR="004925AF" w:rsidRDefault="004925AF">
      <w:r>
        <w:separator/>
      </w:r>
    </w:p>
  </w:endnote>
  <w:endnote w:type="continuationSeparator" w:id="0">
    <w:p w14:paraId="6DA04D43" w14:textId="77777777" w:rsidR="004925AF" w:rsidRDefault="0049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B0604020202020204"/>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B0604020202020204"/>
    <w:charset w:val="86"/>
    <w:family w:val="modern"/>
    <w:pitch w:val="fixed"/>
    <w:sig w:usb0="00000003" w:usb1="080E0000" w:usb2="00000010" w:usb3="00000000" w:csb0="00040001" w:csb1="00000000"/>
  </w:font>
  <w:font w:name="方正小标宋简体">
    <w:panose1 w:val="02010601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A441" w14:textId="77777777" w:rsidR="00177427" w:rsidRDefault="004925AF">
    <w:pPr>
      <w:pStyle w:val="a7"/>
      <w:framePr w:wrap="around" w:vAnchor="text" w:hAnchor="margin" w:xAlign="right" w:y="1"/>
      <w:rPr>
        <w:rStyle w:val="ae"/>
      </w:rPr>
    </w:pPr>
    <w:r>
      <w:fldChar w:fldCharType="begin"/>
    </w:r>
    <w:r>
      <w:rPr>
        <w:rStyle w:val="ae"/>
      </w:rPr>
      <w:instrText xml:space="preserve">PAGE  </w:instrText>
    </w:r>
    <w:r>
      <w:fldChar w:fldCharType="end"/>
    </w:r>
  </w:p>
  <w:p w14:paraId="07F32217" w14:textId="77777777" w:rsidR="00177427" w:rsidRDefault="0017742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160783"/>
    </w:sdtPr>
    <w:sdtEndPr>
      <w:rPr>
        <w:rFonts w:ascii="宋体" w:hAnsi="宋体"/>
        <w:sz w:val="21"/>
        <w:szCs w:val="21"/>
      </w:rPr>
    </w:sdtEndPr>
    <w:sdtContent>
      <w:p w14:paraId="72009A9E" w14:textId="77777777" w:rsidR="00177427" w:rsidRDefault="004925AF">
        <w:pPr>
          <w:pStyle w:val="a7"/>
          <w:jc w:val="center"/>
          <w:rPr>
            <w:rFonts w:ascii="宋体" w:hAnsi="宋体"/>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lang w:val="zh-CN"/>
          </w:rPr>
          <w:t>1</w:t>
        </w:r>
        <w:r>
          <w:rPr>
            <w:rFonts w:ascii="宋体" w:hAnsi="宋体"/>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163E9" w14:textId="77777777" w:rsidR="004925AF" w:rsidRDefault="004925AF">
      <w:r>
        <w:separator/>
      </w:r>
    </w:p>
  </w:footnote>
  <w:footnote w:type="continuationSeparator" w:id="0">
    <w:p w14:paraId="543C0E46" w14:textId="77777777" w:rsidR="004925AF" w:rsidRDefault="00492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RkZTUwZDg4OGNlMmFiY2NmMGY3MjY4MWFhMmM1YjIifQ=="/>
  </w:docVars>
  <w:rsids>
    <w:rsidRoot w:val="00C34525"/>
    <w:rsid w:val="9FCB6E22"/>
    <w:rsid w:val="EB7B7F69"/>
    <w:rsid w:val="FBED0E88"/>
    <w:rsid w:val="FFE933B7"/>
    <w:rsid w:val="000003F8"/>
    <w:rsid w:val="00002B08"/>
    <w:rsid w:val="00002B12"/>
    <w:rsid w:val="00002C80"/>
    <w:rsid w:val="00005093"/>
    <w:rsid w:val="00005C29"/>
    <w:rsid w:val="000104B0"/>
    <w:rsid w:val="00011516"/>
    <w:rsid w:val="000118F4"/>
    <w:rsid w:val="000127B4"/>
    <w:rsid w:val="00012E1F"/>
    <w:rsid w:val="000143C6"/>
    <w:rsid w:val="000159F5"/>
    <w:rsid w:val="000164A8"/>
    <w:rsid w:val="0001726B"/>
    <w:rsid w:val="00017B90"/>
    <w:rsid w:val="00022450"/>
    <w:rsid w:val="00022E8B"/>
    <w:rsid w:val="000242A9"/>
    <w:rsid w:val="000263B9"/>
    <w:rsid w:val="000320BB"/>
    <w:rsid w:val="0003332D"/>
    <w:rsid w:val="00035120"/>
    <w:rsid w:val="000359BB"/>
    <w:rsid w:val="0003600E"/>
    <w:rsid w:val="00036904"/>
    <w:rsid w:val="000402A4"/>
    <w:rsid w:val="00040F15"/>
    <w:rsid w:val="00041010"/>
    <w:rsid w:val="0004228E"/>
    <w:rsid w:val="00043146"/>
    <w:rsid w:val="00043C86"/>
    <w:rsid w:val="00044A9B"/>
    <w:rsid w:val="00045436"/>
    <w:rsid w:val="00045A5D"/>
    <w:rsid w:val="00045CC7"/>
    <w:rsid w:val="000509CC"/>
    <w:rsid w:val="00050DD8"/>
    <w:rsid w:val="00052841"/>
    <w:rsid w:val="00053031"/>
    <w:rsid w:val="00053C92"/>
    <w:rsid w:val="00053DD6"/>
    <w:rsid w:val="000547B0"/>
    <w:rsid w:val="000561B2"/>
    <w:rsid w:val="00056F4A"/>
    <w:rsid w:val="00057339"/>
    <w:rsid w:val="00057728"/>
    <w:rsid w:val="00061791"/>
    <w:rsid w:val="00061936"/>
    <w:rsid w:val="000624B9"/>
    <w:rsid w:val="00062763"/>
    <w:rsid w:val="00062BE3"/>
    <w:rsid w:val="00062FDC"/>
    <w:rsid w:val="00063066"/>
    <w:rsid w:val="000644D0"/>
    <w:rsid w:val="00064ED4"/>
    <w:rsid w:val="0006642D"/>
    <w:rsid w:val="00066F3E"/>
    <w:rsid w:val="00070415"/>
    <w:rsid w:val="000712DA"/>
    <w:rsid w:val="00072944"/>
    <w:rsid w:val="00073446"/>
    <w:rsid w:val="00074643"/>
    <w:rsid w:val="00076F83"/>
    <w:rsid w:val="00076FDF"/>
    <w:rsid w:val="000777CD"/>
    <w:rsid w:val="00077C5F"/>
    <w:rsid w:val="000808C3"/>
    <w:rsid w:val="000829CF"/>
    <w:rsid w:val="00082F2C"/>
    <w:rsid w:val="00084598"/>
    <w:rsid w:val="00084EC8"/>
    <w:rsid w:val="00086294"/>
    <w:rsid w:val="00086415"/>
    <w:rsid w:val="00095099"/>
    <w:rsid w:val="000957A5"/>
    <w:rsid w:val="000960BA"/>
    <w:rsid w:val="00096B8F"/>
    <w:rsid w:val="00097D30"/>
    <w:rsid w:val="000A0C82"/>
    <w:rsid w:val="000A1C76"/>
    <w:rsid w:val="000A287B"/>
    <w:rsid w:val="000A28D4"/>
    <w:rsid w:val="000A3670"/>
    <w:rsid w:val="000A4262"/>
    <w:rsid w:val="000A4731"/>
    <w:rsid w:val="000A6FB0"/>
    <w:rsid w:val="000A7EB3"/>
    <w:rsid w:val="000B017A"/>
    <w:rsid w:val="000B127F"/>
    <w:rsid w:val="000B3CC1"/>
    <w:rsid w:val="000B3E28"/>
    <w:rsid w:val="000B473E"/>
    <w:rsid w:val="000B4C38"/>
    <w:rsid w:val="000B6193"/>
    <w:rsid w:val="000B65A2"/>
    <w:rsid w:val="000B7246"/>
    <w:rsid w:val="000C00F6"/>
    <w:rsid w:val="000C0194"/>
    <w:rsid w:val="000C10CF"/>
    <w:rsid w:val="000C2E4F"/>
    <w:rsid w:val="000C325B"/>
    <w:rsid w:val="000C391C"/>
    <w:rsid w:val="000C47DD"/>
    <w:rsid w:val="000C52D9"/>
    <w:rsid w:val="000C5436"/>
    <w:rsid w:val="000C683D"/>
    <w:rsid w:val="000D01E5"/>
    <w:rsid w:val="000D2A54"/>
    <w:rsid w:val="000D3D57"/>
    <w:rsid w:val="000D6026"/>
    <w:rsid w:val="000D6783"/>
    <w:rsid w:val="000D70B9"/>
    <w:rsid w:val="000D7758"/>
    <w:rsid w:val="000D7A3B"/>
    <w:rsid w:val="000E027A"/>
    <w:rsid w:val="000E054A"/>
    <w:rsid w:val="000E158B"/>
    <w:rsid w:val="000E1BDF"/>
    <w:rsid w:val="000E2B47"/>
    <w:rsid w:val="000E38E4"/>
    <w:rsid w:val="000E4A73"/>
    <w:rsid w:val="000E5480"/>
    <w:rsid w:val="000E5C0A"/>
    <w:rsid w:val="000E5C35"/>
    <w:rsid w:val="000E78FF"/>
    <w:rsid w:val="000E792E"/>
    <w:rsid w:val="000F07D2"/>
    <w:rsid w:val="000F147B"/>
    <w:rsid w:val="000F35E6"/>
    <w:rsid w:val="000F37A3"/>
    <w:rsid w:val="000F3DC6"/>
    <w:rsid w:val="000F4EFC"/>
    <w:rsid w:val="000F5306"/>
    <w:rsid w:val="000F6F7A"/>
    <w:rsid w:val="000F73F9"/>
    <w:rsid w:val="00100F45"/>
    <w:rsid w:val="001010C3"/>
    <w:rsid w:val="001020EB"/>
    <w:rsid w:val="00102B8D"/>
    <w:rsid w:val="001038BF"/>
    <w:rsid w:val="00103E77"/>
    <w:rsid w:val="001040E6"/>
    <w:rsid w:val="00106D51"/>
    <w:rsid w:val="00106FB9"/>
    <w:rsid w:val="00110A1C"/>
    <w:rsid w:val="00115E75"/>
    <w:rsid w:val="001205D1"/>
    <w:rsid w:val="001216B2"/>
    <w:rsid w:val="0012274E"/>
    <w:rsid w:val="00123242"/>
    <w:rsid w:val="00125561"/>
    <w:rsid w:val="00125BC9"/>
    <w:rsid w:val="001269AB"/>
    <w:rsid w:val="00131036"/>
    <w:rsid w:val="00135C99"/>
    <w:rsid w:val="00135F61"/>
    <w:rsid w:val="00136882"/>
    <w:rsid w:val="001401DE"/>
    <w:rsid w:val="00141311"/>
    <w:rsid w:val="00141DC5"/>
    <w:rsid w:val="00143589"/>
    <w:rsid w:val="00144173"/>
    <w:rsid w:val="001442B7"/>
    <w:rsid w:val="001459F9"/>
    <w:rsid w:val="0014641E"/>
    <w:rsid w:val="00146DE4"/>
    <w:rsid w:val="00150531"/>
    <w:rsid w:val="00150F5F"/>
    <w:rsid w:val="00151452"/>
    <w:rsid w:val="00151C36"/>
    <w:rsid w:val="00151F2B"/>
    <w:rsid w:val="00152873"/>
    <w:rsid w:val="00153A7C"/>
    <w:rsid w:val="00155664"/>
    <w:rsid w:val="0016256B"/>
    <w:rsid w:val="001627F8"/>
    <w:rsid w:val="00163FC3"/>
    <w:rsid w:val="0016412A"/>
    <w:rsid w:val="001642CF"/>
    <w:rsid w:val="0016525B"/>
    <w:rsid w:val="0016584B"/>
    <w:rsid w:val="00165E7F"/>
    <w:rsid w:val="00166232"/>
    <w:rsid w:val="00167776"/>
    <w:rsid w:val="00167DD6"/>
    <w:rsid w:val="001700E3"/>
    <w:rsid w:val="001717AC"/>
    <w:rsid w:val="00171D26"/>
    <w:rsid w:val="001738E8"/>
    <w:rsid w:val="00174592"/>
    <w:rsid w:val="00175178"/>
    <w:rsid w:val="00177427"/>
    <w:rsid w:val="00181589"/>
    <w:rsid w:val="00183BA0"/>
    <w:rsid w:val="001868B5"/>
    <w:rsid w:val="00186CA5"/>
    <w:rsid w:val="00186E29"/>
    <w:rsid w:val="0018763D"/>
    <w:rsid w:val="0019031A"/>
    <w:rsid w:val="0019075A"/>
    <w:rsid w:val="001908CC"/>
    <w:rsid w:val="00191C09"/>
    <w:rsid w:val="001923C8"/>
    <w:rsid w:val="00192A5D"/>
    <w:rsid w:val="001936E1"/>
    <w:rsid w:val="00193E48"/>
    <w:rsid w:val="00193E8E"/>
    <w:rsid w:val="00195C84"/>
    <w:rsid w:val="00196D59"/>
    <w:rsid w:val="0019747F"/>
    <w:rsid w:val="00197851"/>
    <w:rsid w:val="001A0548"/>
    <w:rsid w:val="001A0E9C"/>
    <w:rsid w:val="001A54D4"/>
    <w:rsid w:val="001B0F84"/>
    <w:rsid w:val="001B15EB"/>
    <w:rsid w:val="001B2E8F"/>
    <w:rsid w:val="001B4202"/>
    <w:rsid w:val="001B4730"/>
    <w:rsid w:val="001B4AE5"/>
    <w:rsid w:val="001B6633"/>
    <w:rsid w:val="001B6BDD"/>
    <w:rsid w:val="001B7174"/>
    <w:rsid w:val="001B7AFA"/>
    <w:rsid w:val="001B7F99"/>
    <w:rsid w:val="001C0CB9"/>
    <w:rsid w:val="001C0F53"/>
    <w:rsid w:val="001C1EC9"/>
    <w:rsid w:val="001C38B9"/>
    <w:rsid w:val="001C42B3"/>
    <w:rsid w:val="001C5EB2"/>
    <w:rsid w:val="001D0271"/>
    <w:rsid w:val="001D035F"/>
    <w:rsid w:val="001D0639"/>
    <w:rsid w:val="001D1423"/>
    <w:rsid w:val="001D236A"/>
    <w:rsid w:val="001D409B"/>
    <w:rsid w:val="001D613A"/>
    <w:rsid w:val="001D7DDC"/>
    <w:rsid w:val="001E0FD4"/>
    <w:rsid w:val="001E1C11"/>
    <w:rsid w:val="001E238A"/>
    <w:rsid w:val="001E24CF"/>
    <w:rsid w:val="001E262D"/>
    <w:rsid w:val="001E33E7"/>
    <w:rsid w:val="001E3A98"/>
    <w:rsid w:val="001E3C6C"/>
    <w:rsid w:val="001F03D4"/>
    <w:rsid w:val="001F05A4"/>
    <w:rsid w:val="001F07B8"/>
    <w:rsid w:val="001F182F"/>
    <w:rsid w:val="001F2596"/>
    <w:rsid w:val="001F38E3"/>
    <w:rsid w:val="001F68FD"/>
    <w:rsid w:val="001F78F8"/>
    <w:rsid w:val="002009BF"/>
    <w:rsid w:val="00200C70"/>
    <w:rsid w:val="00200F2E"/>
    <w:rsid w:val="00201585"/>
    <w:rsid w:val="002053C2"/>
    <w:rsid w:val="002076F3"/>
    <w:rsid w:val="00207BC7"/>
    <w:rsid w:val="00207D6F"/>
    <w:rsid w:val="002101BD"/>
    <w:rsid w:val="002102A9"/>
    <w:rsid w:val="00210A68"/>
    <w:rsid w:val="00211A35"/>
    <w:rsid w:val="00211E65"/>
    <w:rsid w:val="0021275A"/>
    <w:rsid w:val="002136B6"/>
    <w:rsid w:val="00215A83"/>
    <w:rsid w:val="002236F5"/>
    <w:rsid w:val="002247D0"/>
    <w:rsid w:val="00224C1E"/>
    <w:rsid w:val="00227946"/>
    <w:rsid w:val="00231842"/>
    <w:rsid w:val="00231AC6"/>
    <w:rsid w:val="00235171"/>
    <w:rsid w:val="00241035"/>
    <w:rsid w:val="0024116B"/>
    <w:rsid w:val="00241263"/>
    <w:rsid w:val="00241C4C"/>
    <w:rsid w:val="0024272B"/>
    <w:rsid w:val="002440D1"/>
    <w:rsid w:val="00245ECD"/>
    <w:rsid w:val="00246C96"/>
    <w:rsid w:val="00247B0D"/>
    <w:rsid w:val="0025048D"/>
    <w:rsid w:val="002519E9"/>
    <w:rsid w:val="00252C4B"/>
    <w:rsid w:val="0025661F"/>
    <w:rsid w:val="002573D5"/>
    <w:rsid w:val="00257D90"/>
    <w:rsid w:val="00261650"/>
    <w:rsid w:val="00262E86"/>
    <w:rsid w:val="002651DA"/>
    <w:rsid w:val="002651F4"/>
    <w:rsid w:val="002664E9"/>
    <w:rsid w:val="00266F55"/>
    <w:rsid w:val="00267371"/>
    <w:rsid w:val="0026773E"/>
    <w:rsid w:val="002702F8"/>
    <w:rsid w:val="00270C03"/>
    <w:rsid w:val="00270EAC"/>
    <w:rsid w:val="00271755"/>
    <w:rsid w:val="00272262"/>
    <w:rsid w:val="00272AFA"/>
    <w:rsid w:val="00272E81"/>
    <w:rsid w:val="00273E1C"/>
    <w:rsid w:val="00274A8B"/>
    <w:rsid w:val="0027591D"/>
    <w:rsid w:val="00275A1C"/>
    <w:rsid w:val="00280EDA"/>
    <w:rsid w:val="0028120C"/>
    <w:rsid w:val="00282131"/>
    <w:rsid w:val="002833C3"/>
    <w:rsid w:val="0028684E"/>
    <w:rsid w:val="00286CD7"/>
    <w:rsid w:val="002908B0"/>
    <w:rsid w:val="00290E65"/>
    <w:rsid w:val="00294D1E"/>
    <w:rsid w:val="002959A7"/>
    <w:rsid w:val="002962CA"/>
    <w:rsid w:val="00297196"/>
    <w:rsid w:val="0029731B"/>
    <w:rsid w:val="00297DF3"/>
    <w:rsid w:val="002A0AFF"/>
    <w:rsid w:val="002A2CB6"/>
    <w:rsid w:val="002A3410"/>
    <w:rsid w:val="002A3DB1"/>
    <w:rsid w:val="002A425F"/>
    <w:rsid w:val="002A4A6E"/>
    <w:rsid w:val="002B07D9"/>
    <w:rsid w:val="002B0805"/>
    <w:rsid w:val="002B0E9C"/>
    <w:rsid w:val="002B257D"/>
    <w:rsid w:val="002B3E09"/>
    <w:rsid w:val="002B4242"/>
    <w:rsid w:val="002B49D4"/>
    <w:rsid w:val="002B7788"/>
    <w:rsid w:val="002C0777"/>
    <w:rsid w:val="002C15B9"/>
    <w:rsid w:val="002C1CF5"/>
    <w:rsid w:val="002C2644"/>
    <w:rsid w:val="002C2EE6"/>
    <w:rsid w:val="002C39BD"/>
    <w:rsid w:val="002C3B26"/>
    <w:rsid w:val="002C4014"/>
    <w:rsid w:val="002C4E5B"/>
    <w:rsid w:val="002C58C4"/>
    <w:rsid w:val="002C7AF0"/>
    <w:rsid w:val="002C7D41"/>
    <w:rsid w:val="002D02F6"/>
    <w:rsid w:val="002D0F15"/>
    <w:rsid w:val="002D0F7F"/>
    <w:rsid w:val="002D0FDA"/>
    <w:rsid w:val="002D1C2D"/>
    <w:rsid w:val="002D210F"/>
    <w:rsid w:val="002D231E"/>
    <w:rsid w:val="002D4DE1"/>
    <w:rsid w:val="002D4E7B"/>
    <w:rsid w:val="002D4FB8"/>
    <w:rsid w:val="002E0433"/>
    <w:rsid w:val="002E1892"/>
    <w:rsid w:val="002E3F2D"/>
    <w:rsid w:val="002E4F69"/>
    <w:rsid w:val="002E5928"/>
    <w:rsid w:val="002E6329"/>
    <w:rsid w:val="002F05FE"/>
    <w:rsid w:val="002F0FC9"/>
    <w:rsid w:val="002F1C3E"/>
    <w:rsid w:val="002F274B"/>
    <w:rsid w:val="002F3ABE"/>
    <w:rsid w:val="002F43A7"/>
    <w:rsid w:val="002F5C13"/>
    <w:rsid w:val="002F6340"/>
    <w:rsid w:val="002F79F2"/>
    <w:rsid w:val="002F7C47"/>
    <w:rsid w:val="0030022B"/>
    <w:rsid w:val="003013A0"/>
    <w:rsid w:val="00301E64"/>
    <w:rsid w:val="00301EF9"/>
    <w:rsid w:val="00302150"/>
    <w:rsid w:val="003029E8"/>
    <w:rsid w:val="003040BF"/>
    <w:rsid w:val="003042B4"/>
    <w:rsid w:val="003070E0"/>
    <w:rsid w:val="0031016B"/>
    <w:rsid w:val="00310326"/>
    <w:rsid w:val="00312B64"/>
    <w:rsid w:val="003162B6"/>
    <w:rsid w:val="003169C5"/>
    <w:rsid w:val="003175E0"/>
    <w:rsid w:val="00321142"/>
    <w:rsid w:val="00321F74"/>
    <w:rsid w:val="003227F1"/>
    <w:rsid w:val="00323C5F"/>
    <w:rsid w:val="00324519"/>
    <w:rsid w:val="00324DCD"/>
    <w:rsid w:val="0032652E"/>
    <w:rsid w:val="00327642"/>
    <w:rsid w:val="00331B12"/>
    <w:rsid w:val="00333E3A"/>
    <w:rsid w:val="003342AD"/>
    <w:rsid w:val="003343FD"/>
    <w:rsid w:val="00334799"/>
    <w:rsid w:val="003349C2"/>
    <w:rsid w:val="00334DB1"/>
    <w:rsid w:val="0033659F"/>
    <w:rsid w:val="00336BB9"/>
    <w:rsid w:val="003371E0"/>
    <w:rsid w:val="0033754A"/>
    <w:rsid w:val="0034022E"/>
    <w:rsid w:val="003430A8"/>
    <w:rsid w:val="00343768"/>
    <w:rsid w:val="00343C1D"/>
    <w:rsid w:val="00343DE4"/>
    <w:rsid w:val="00345E1B"/>
    <w:rsid w:val="0034701C"/>
    <w:rsid w:val="00347423"/>
    <w:rsid w:val="00347B0C"/>
    <w:rsid w:val="00351365"/>
    <w:rsid w:val="0035332C"/>
    <w:rsid w:val="003535BE"/>
    <w:rsid w:val="00355C3D"/>
    <w:rsid w:val="00356050"/>
    <w:rsid w:val="003565C6"/>
    <w:rsid w:val="00356A21"/>
    <w:rsid w:val="00356BD4"/>
    <w:rsid w:val="00361799"/>
    <w:rsid w:val="003628BD"/>
    <w:rsid w:val="003676C1"/>
    <w:rsid w:val="003700D8"/>
    <w:rsid w:val="00370149"/>
    <w:rsid w:val="00373AD8"/>
    <w:rsid w:val="00374143"/>
    <w:rsid w:val="00375903"/>
    <w:rsid w:val="003763C0"/>
    <w:rsid w:val="00382B4F"/>
    <w:rsid w:val="00382F66"/>
    <w:rsid w:val="0038404A"/>
    <w:rsid w:val="00385889"/>
    <w:rsid w:val="00385EA2"/>
    <w:rsid w:val="003908D7"/>
    <w:rsid w:val="00391334"/>
    <w:rsid w:val="00392068"/>
    <w:rsid w:val="0039340F"/>
    <w:rsid w:val="00395A47"/>
    <w:rsid w:val="00396903"/>
    <w:rsid w:val="003A15E8"/>
    <w:rsid w:val="003A173E"/>
    <w:rsid w:val="003A19E8"/>
    <w:rsid w:val="003A1CFE"/>
    <w:rsid w:val="003A1E95"/>
    <w:rsid w:val="003A358C"/>
    <w:rsid w:val="003A36B8"/>
    <w:rsid w:val="003A5249"/>
    <w:rsid w:val="003A6338"/>
    <w:rsid w:val="003A7626"/>
    <w:rsid w:val="003B04EF"/>
    <w:rsid w:val="003B09F9"/>
    <w:rsid w:val="003B0BCB"/>
    <w:rsid w:val="003B1857"/>
    <w:rsid w:val="003B1AEB"/>
    <w:rsid w:val="003B24CB"/>
    <w:rsid w:val="003B3AB2"/>
    <w:rsid w:val="003B3EC3"/>
    <w:rsid w:val="003B43A2"/>
    <w:rsid w:val="003B5BA5"/>
    <w:rsid w:val="003B600F"/>
    <w:rsid w:val="003B6840"/>
    <w:rsid w:val="003B685D"/>
    <w:rsid w:val="003C07AF"/>
    <w:rsid w:val="003C1269"/>
    <w:rsid w:val="003C2248"/>
    <w:rsid w:val="003C2BF4"/>
    <w:rsid w:val="003C4796"/>
    <w:rsid w:val="003C6EFD"/>
    <w:rsid w:val="003D000C"/>
    <w:rsid w:val="003D00FF"/>
    <w:rsid w:val="003D19E0"/>
    <w:rsid w:val="003D660E"/>
    <w:rsid w:val="003D7148"/>
    <w:rsid w:val="003D77D8"/>
    <w:rsid w:val="003D7D04"/>
    <w:rsid w:val="003E21AD"/>
    <w:rsid w:val="003E61C6"/>
    <w:rsid w:val="003E6C2C"/>
    <w:rsid w:val="003E711C"/>
    <w:rsid w:val="003F0F6F"/>
    <w:rsid w:val="003F1D5E"/>
    <w:rsid w:val="003F392D"/>
    <w:rsid w:val="003F4B0D"/>
    <w:rsid w:val="003F654B"/>
    <w:rsid w:val="003F799E"/>
    <w:rsid w:val="00400C7B"/>
    <w:rsid w:val="0040144D"/>
    <w:rsid w:val="004022AA"/>
    <w:rsid w:val="00402B3C"/>
    <w:rsid w:val="00403CFB"/>
    <w:rsid w:val="00403D91"/>
    <w:rsid w:val="0040473C"/>
    <w:rsid w:val="0040531B"/>
    <w:rsid w:val="00405494"/>
    <w:rsid w:val="00406C79"/>
    <w:rsid w:val="00407179"/>
    <w:rsid w:val="004100F8"/>
    <w:rsid w:val="0041059F"/>
    <w:rsid w:val="00411FC7"/>
    <w:rsid w:val="00416236"/>
    <w:rsid w:val="0041763F"/>
    <w:rsid w:val="00420791"/>
    <w:rsid w:val="00420875"/>
    <w:rsid w:val="004208B3"/>
    <w:rsid w:val="00421068"/>
    <w:rsid w:val="00422908"/>
    <w:rsid w:val="00422EBC"/>
    <w:rsid w:val="00423C89"/>
    <w:rsid w:val="00426661"/>
    <w:rsid w:val="004270E8"/>
    <w:rsid w:val="00427C60"/>
    <w:rsid w:val="00427E2B"/>
    <w:rsid w:val="0043141A"/>
    <w:rsid w:val="00431DB8"/>
    <w:rsid w:val="00431F46"/>
    <w:rsid w:val="00433814"/>
    <w:rsid w:val="00440C95"/>
    <w:rsid w:val="0044273C"/>
    <w:rsid w:val="004427A7"/>
    <w:rsid w:val="00443F8F"/>
    <w:rsid w:val="00444A84"/>
    <w:rsid w:val="00444AEB"/>
    <w:rsid w:val="00444DAB"/>
    <w:rsid w:val="0044634D"/>
    <w:rsid w:val="00446624"/>
    <w:rsid w:val="00447937"/>
    <w:rsid w:val="004515AB"/>
    <w:rsid w:val="0045333D"/>
    <w:rsid w:val="00455739"/>
    <w:rsid w:val="00455944"/>
    <w:rsid w:val="00457CE0"/>
    <w:rsid w:val="004601DF"/>
    <w:rsid w:val="004618AB"/>
    <w:rsid w:val="00461990"/>
    <w:rsid w:val="0046325B"/>
    <w:rsid w:val="004633E5"/>
    <w:rsid w:val="004649DB"/>
    <w:rsid w:val="004674CF"/>
    <w:rsid w:val="004677E8"/>
    <w:rsid w:val="00470DA5"/>
    <w:rsid w:val="0047283C"/>
    <w:rsid w:val="0047291E"/>
    <w:rsid w:val="004729AD"/>
    <w:rsid w:val="00473543"/>
    <w:rsid w:val="00473BBF"/>
    <w:rsid w:val="004771D6"/>
    <w:rsid w:val="004803B4"/>
    <w:rsid w:val="00480437"/>
    <w:rsid w:val="00482968"/>
    <w:rsid w:val="004829D1"/>
    <w:rsid w:val="00482C54"/>
    <w:rsid w:val="00483A5B"/>
    <w:rsid w:val="00484E5A"/>
    <w:rsid w:val="00485B18"/>
    <w:rsid w:val="00490089"/>
    <w:rsid w:val="004912BF"/>
    <w:rsid w:val="004925AF"/>
    <w:rsid w:val="00495FAE"/>
    <w:rsid w:val="0049631E"/>
    <w:rsid w:val="004976EB"/>
    <w:rsid w:val="004A3E42"/>
    <w:rsid w:val="004A4E3F"/>
    <w:rsid w:val="004A544C"/>
    <w:rsid w:val="004A5551"/>
    <w:rsid w:val="004A5707"/>
    <w:rsid w:val="004A5A2E"/>
    <w:rsid w:val="004A71EE"/>
    <w:rsid w:val="004A7793"/>
    <w:rsid w:val="004B04F0"/>
    <w:rsid w:val="004B0B11"/>
    <w:rsid w:val="004B2D88"/>
    <w:rsid w:val="004B3C4B"/>
    <w:rsid w:val="004B4D0C"/>
    <w:rsid w:val="004B557F"/>
    <w:rsid w:val="004B68BE"/>
    <w:rsid w:val="004B6ADF"/>
    <w:rsid w:val="004C0F63"/>
    <w:rsid w:val="004C37BB"/>
    <w:rsid w:val="004C38F2"/>
    <w:rsid w:val="004C3E78"/>
    <w:rsid w:val="004C426A"/>
    <w:rsid w:val="004C5C85"/>
    <w:rsid w:val="004C6632"/>
    <w:rsid w:val="004C7E8F"/>
    <w:rsid w:val="004D0197"/>
    <w:rsid w:val="004D01DC"/>
    <w:rsid w:val="004D06F1"/>
    <w:rsid w:val="004D13EF"/>
    <w:rsid w:val="004D205B"/>
    <w:rsid w:val="004D5933"/>
    <w:rsid w:val="004D7822"/>
    <w:rsid w:val="004D793F"/>
    <w:rsid w:val="004E1050"/>
    <w:rsid w:val="004E16D2"/>
    <w:rsid w:val="004E2C2C"/>
    <w:rsid w:val="004F076D"/>
    <w:rsid w:val="004F0BDD"/>
    <w:rsid w:val="004F0F51"/>
    <w:rsid w:val="004F4166"/>
    <w:rsid w:val="004F4740"/>
    <w:rsid w:val="004F5E47"/>
    <w:rsid w:val="004F6F58"/>
    <w:rsid w:val="005001D4"/>
    <w:rsid w:val="00501636"/>
    <w:rsid w:val="00502374"/>
    <w:rsid w:val="00502FF4"/>
    <w:rsid w:val="00503278"/>
    <w:rsid w:val="0050404A"/>
    <w:rsid w:val="005041DA"/>
    <w:rsid w:val="00505703"/>
    <w:rsid w:val="0050755F"/>
    <w:rsid w:val="005102FA"/>
    <w:rsid w:val="0051092A"/>
    <w:rsid w:val="00511DCB"/>
    <w:rsid w:val="0051207B"/>
    <w:rsid w:val="005128CE"/>
    <w:rsid w:val="00513234"/>
    <w:rsid w:val="00513AB8"/>
    <w:rsid w:val="005145A9"/>
    <w:rsid w:val="00514ADC"/>
    <w:rsid w:val="00515624"/>
    <w:rsid w:val="005168D6"/>
    <w:rsid w:val="00520141"/>
    <w:rsid w:val="00520C07"/>
    <w:rsid w:val="005215A7"/>
    <w:rsid w:val="00521626"/>
    <w:rsid w:val="005216E6"/>
    <w:rsid w:val="00522795"/>
    <w:rsid w:val="00523DB7"/>
    <w:rsid w:val="00527BD0"/>
    <w:rsid w:val="00531349"/>
    <w:rsid w:val="00531E34"/>
    <w:rsid w:val="0053285E"/>
    <w:rsid w:val="005332D9"/>
    <w:rsid w:val="0053397C"/>
    <w:rsid w:val="005343A6"/>
    <w:rsid w:val="00537CFE"/>
    <w:rsid w:val="005407BC"/>
    <w:rsid w:val="0054186C"/>
    <w:rsid w:val="00542599"/>
    <w:rsid w:val="005429D7"/>
    <w:rsid w:val="00545510"/>
    <w:rsid w:val="005474C0"/>
    <w:rsid w:val="00547597"/>
    <w:rsid w:val="0055146D"/>
    <w:rsid w:val="00553414"/>
    <w:rsid w:val="005566D9"/>
    <w:rsid w:val="00556F00"/>
    <w:rsid w:val="005606B1"/>
    <w:rsid w:val="00560940"/>
    <w:rsid w:val="00560FD5"/>
    <w:rsid w:val="00561585"/>
    <w:rsid w:val="00561DAB"/>
    <w:rsid w:val="00563DE3"/>
    <w:rsid w:val="0056462B"/>
    <w:rsid w:val="00565874"/>
    <w:rsid w:val="0056733A"/>
    <w:rsid w:val="00570179"/>
    <w:rsid w:val="00570CCC"/>
    <w:rsid w:val="0057201F"/>
    <w:rsid w:val="0057483F"/>
    <w:rsid w:val="00576150"/>
    <w:rsid w:val="00576631"/>
    <w:rsid w:val="005768A4"/>
    <w:rsid w:val="0057730E"/>
    <w:rsid w:val="0058201F"/>
    <w:rsid w:val="00582023"/>
    <w:rsid w:val="00582B29"/>
    <w:rsid w:val="00583D6F"/>
    <w:rsid w:val="00583E41"/>
    <w:rsid w:val="00586B6E"/>
    <w:rsid w:val="0058704A"/>
    <w:rsid w:val="00587933"/>
    <w:rsid w:val="00590E0D"/>
    <w:rsid w:val="005912EF"/>
    <w:rsid w:val="00591CE0"/>
    <w:rsid w:val="0059251F"/>
    <w:rsid w:val="005951BC"/>
    <w:rsid w:val="005952D9"/>
    <w:rsid w:val="00595678"/>
    <w:rsid w:val="00596395"/>
    <w:rsid w:val="005A02CC"/>
    <w:rsid w:val="005A08E9"/>
    <w:rsid w:val="005A0B19"/>
    <w:rsid w:val="005A0ECB"/>
    <w:rsid w:val="005A1867"/>
    <w:rsid w:val="005A24DA"/>
    <w:rsid w:val="005A25C4"/>
    <w:rsid w:val="005A425E"/>
    <w:rsid w:val="005A4DDA"/>
    <w:rsid w:val="005A55D7"/>
    <w:rsid w:val="005A7A4B"/>
    <w:rsid w:val="005B0EE9"/>
    <w:rsid w:val="005B1BA8"/>
    <w:rsid w:val="005B1C20"/>
    <w:rsid w:val="005B2346"/>
    <w:rsid w:val="005B3750"/>
    <w:rsid w:val="005B4F8F"/>
    <w:rsid w:val="005B503E"/>
    <w:rsid w:val="005B69B0"/>
    <w:rsid w:val="005C0683"/>
    <w:rsid w:val="005C1C18"/>
    <w:rsid w:val="005C2AF8"/>
    <w:rsid w:val="005C44B0"/>
    <w:rsid w:val="005C50FC"/>
    <w:rsid w:val="005C5779"/>
    <w:rsid w:val="005C680B"/>
    <w:rsid w:val="005C695D"/>
    <w:rsid w:val="005D1E4D"/>
    <w:rsid w:val="005D3922"/>
    <w:rsid w:val="005D51DC"/>
    <w:rsid w:val="005D566B"/>
    <w:rsid w:val="005D6000"/>
    <w:rsid w:val="005D6D94"/>
    <w:rsid w:val="005D762C"/>
    <w:rsid w:val="005E06BC"/>
    <w:rsid w:val="005E07FD"/>
    <w:rsid w:val="005E21DF"/>
    <w:rsid w:val="005E2DB3"/>
    <w:rsid w:val="005E390B"/>
    <w:rsid w:val="005E3B1A"/>
    <w:rsid w:val="005E40E5"/>
    <w:rsid w:val="005E4519"/>
    <w:rsid w:val="005E5BBB"/>
    <w:rsid w:val="005E5DAA"/>
    <w:rsid w:val="005E7A04"/>
    <w:rsid w:val="005E7FA9"/>
    <w:rsid w:val="005F124A"/>
    <w:rsid w:val="005F27E1"/>
    <w:rsid w:val="005F2A02"/>
    <w:rsid w:val="005F418B"/>
    <w:rsid w:val="005F42C6"/>
    <w:rsid w:val="005F46CD"/>
    <w:rsid w:val="005F66E6"/>
    <w:rsid w:val="00602E29"/>
    <w:rsid w:val="006031C4"/>
    <w:rsid w:val="006034D7"/>
    <w:rsid w:val="00605A31"/>
    <w:rsid w:val="00606A0B"/>
    <w:rsid w:val="0060702C"/>
    <w:rsid w:val="006078EC"/>
    <w:rsid w:val="0061142A"/>
    <w:rsid w:val="0061200E"/>
    <w:rsid w:val="0061330E"/>
    <w:rsid w:val="00615AD8"/>
    <w:rsid w:val="00615B07"/>
    <w:rsid w:val="00616317"/>
    <w:rsid w:val="00617A7D"/>
    <w:rsid w:val="006200C1"/>
    <w:rsid w:val="006211E9"/>
    <w:rsid w:val="0062187C"/>
    <w:rsid w:val="00621D8E"/>
    <w:rsid w:val="00622558"/>
    <w:rsid w:val="0062383B"/>
    <w:rsid w:val="006238D8"/>
    <w:rsid w:val="00623BA2"/>
    <w:rsid w:val="006266DF"/>
    <w:rsid w:val="00627A13"/>
    <w:rsid w:val="00627D86"/>
    <w:rsid w:val="00630103"/>
    <w:rsid w:val="00630E65"/>
    <w:rsid w:val="00631C75"/>
    <w:rsid w:val="006326CA"/>
    <w:rsid w:val="006329DC"/>
    <w:rsid w:val="00633216"/>
    <w:rsid w:val="00633ED4"/>
    <w:rsid w:val="00635AD5"/>
    <w:rsid w:val="00636899"/>
    <w:rsid w:val="00641D31"/>
    <w:rsid w:val="006433D1"/>
    <w:rsid w:val="00646301"/>
    <w:rsid w:val="006463B0"/>
    <w:rsid w:val="00647080"/>
    <w:rsid w:val="00647314"/>
    <w:rsid w:val="006517ED"/>
    <w:rsid w:val="0065275D"/>
    <w:rsid w:val="00652850"/>
    <w:rsid w:val="00653C0E"/>
    <w:rsid w:val="006543D7"/>
    <w:rsid w:val="00654E2E"/>
    <w:rsid w:val="006615D2"/>
    <w:rsid w:val="00661D33"/>
    <w:rsid w:val="00662339"/>
    <w:rsid w:val="00665A8B"/>
    <w:rsid w:val="00665DA4"/>
    <w:rsid w:val="00667365"/>
    <w:rsid w:val="00667AE0"/>
    <w:rsid w:val="00672E9F"/>
    <w:rsid w:val="00673DF6"/>
    <w:rsid w:val="00674647"/>
    <w:rsid w:val="00675D5D"/>
    <w:rsid w:val="00675E7E"/>
    <w:rsid w:val="00676099"/>
    <w:rsid w:val="006761C9"/>
    <w:rsid w:val="0067743A"/>
    <w:rsid w:val="00677A98"/>
    <w:rsid w:val="00677E2A"/>
    <w:rsid w:val="00680AAA"/>
    <w:rsid w:val="00680DE8"/>
    <w:rsid w:val="00681C9A"/>
    <w:rsid w:val="00681DEC"/>
    <w:rsid w:val="00681E46"/>
    <w:rsid w:val="006833D0"/>
    <w:rsid w:val="00683FDB"/>
    <w:rsid w:val="00684855"/>
    <w:rsid w:val="006856FD"/>
    <w:rsid w:val="006871A2"/>
    <w:rsid w:val="00687A90"/>
    <w:rsid w:val="00690E66"/>
    <w:rsid w:val="00692D12"/>
    <w:rsid w:val="0069456B"/>
    <w:rsid w:val="00694CFE"/>
    <w:rsid w:val="00696B2A"/>
    <w:rsid w:val="00697D14"/>
    <w:rsid w:val="006A1C89"/>
    <w:rsid w:val="006A326A"/>
    <w:rsid w:val="006A39DC"/>
    <w:rsid w:val="006A3EE2"/>
    <w:rsid w:val="006A52BF"/>
    <w:rsid w:val="006A61FD"/>
    <w:rsid w:val="006A6DBA"/>
    <w:rsid w:val="006A788C"/>
    <w:rsid w:val="006A7D63"/>
    <w:rsid w:val="006B1333"/>
    <w:rsid w:val="006B3401"/>
    <w:rsid w:val="006B4D76"/>
    <w:rsid w:val="006B5154"/>
    <w:rsid w:val="006B5A5F"/>
    <w:rsid w:val="006C0685"/>
    <w:rsid w:val="006C0878"/>
    <w:rsid w:val="006C143C"/>
    <w:rsid w:val="006C1F1C"/>
    <w:rsid w:val="006C74B7"/>
    <w:rsid w:val="006D00DB"/>
    <w:rsid w:val="006D09A6"/>
    <w:rsid w:val="006D09C5"/>
    <w:rsid w:val="006D1139"/>
    <w:rsid w:val="006D1362"/>
    <w:rsid w:val="006D17A0"/>
    <w:rsid w:val="006D1DD2"/>
    <w:rsid w:val="006D22E2"/>
    <w:rsid w:val="006D3ED8"/>
    <w:rsid w:val="006D72B5"/>
    <w:rsid w:val="006D7367"/>
    <w:rsid w:val="006D77E6"/>
    <w:rsid w:val="006E0A85"/>
    <w:rsid w:val="006E15A4"/>
    <w:rsid w:val="006E1C3E"/>
    <w:rsid w:val="006E20C4"/>
    <w:rsid w:val="006E40AF"/>
    <w:rsid w:val="006E44E8"/>
    <w:rsid w:val="006E5A4F"/>
    <w:rsid w:val="006E5FF9"/>
    <w:rsid w:val="006E6582"/>
    <w:rsid w:val="006E6BFC"/>
    <w:rsid w:val="006F4B6E"/>
    <w:rsid w:val="006F4DC0"/>
    <w:rsid w:val="006F5C54"/>
    <w:rsid w:val="006F6067"/>
    <w:rsid w:val="006F7070"/>
    <w:rsid w:val="006F7F2B"/>
    <w:rsid w:val="00700884"/>
    <w:rsid w:val="007010D5"/>
    <w:rsid w:val="007018B0"/>
    <w:rsid w:val="007030DA"/>
    <w:rsid w:val="007053E6"/>
    <w:rsid w:val="007067D8"/>
    <w:rsid w:val="00707378"/>
    <w:rsid w:val="00707614"/>
    <w:rsid w:val="0071422E"/>
    <w:rsid w:val="00714263"/>
    <w:rsid w:val="0071673A"/>
    <w:rsid w:val="00717F77"/>
    <w:rsid w:val="00720DBF"/>
    <w:rsid w:val="00721815"/>
    <w:rsid w:val="00721A92"/>
    <w:rsid w:val="007224F8"/>
    <w:rsid w:val="007233C3"/>
    <w:rsid w:val="0072352E"/>
    <w:rsid w:val="0072629F"/>
    <w:rsid w:val="00726B32"/>
    <w:rsid w:val="00730B21"/>
    <w:rsid w:val="00730B70"/>
    <w:rsid w:val="00733C25"/>
    <w:rsid w:val="00735822"/>
    <w:rsid w:val="00737440"/>
    <w:rsid w:val="0073790C"/>
    <w:rsid w:val="00740404"/>
    <w:rsid w:val="00740BB7"/>
    <w:rsid w:val="00742379"/>
    <w:rsid w:val="007442FC"/>
    <w:rsid w:val="00745158"/>
    <w:rsid w:val="00745B33"/>
    <w:rsid w:val="00745BD3"/>
    <w:rsid w:val="00753A4D"/>
    <w:rsid w:val="007544BC"/>
    <w:rsid w:val="00755744"/>
    <w:rsid w:val="0075692E"/>
    <w:rsid w:val="00757C3F"/>
    <w:rsid w:val="00760A59"/>
    <w:rsid w:val="007627F6"/>
    <w:rsid w:val="00764049"/>
    <w:rsid w:val="00764070"/>
    <w:rsid w:val="0076421C"/>
    <w:rsid w:val="0076451C"/>
    <w:rsid w:val="0076483A"/>
    <w:rsid w:val="0076592E"/>
    <w:rsid w:val="00766290"/>
    <w:rsid w:val="0076715A"/>
    <w:rsid w:val="00770D00"/>
    <w:rsid w:val="00771607"/>
    <w:rsid w:val="007720F7"/>
    <w:rsid w:val="00773FFC"/>
    <w:rsid w:val="00774481"/>
    <w:rsid w:val="00775314"/>
    <w:rsid w:val="00775372"/>
    <w:rsid w:val="007768BF"/>
    <w:rsid w:val="00776F5E"/>
    <w:rsid w:val="00781439"/>
    <w:rsid w:val="007816BB"/>
    <w:rsid w:val="00784509"/>
    <w:rsid w:val="00784521"/>
    <w:rsid w:val="007848C6"/>
    <w:rsid w:val="00786144"/>
    <w:rsid w:val="007872D7"/>
    <w:rsid w:val="00790D32"/>
    <w:rsid w:val="00791285"/>
    <w:rsid w:val="00792D5A"/>
    <w:rsid w:val="0079442D"/>
    <w:rsid w:val="0079613C"/>
    <w:rsid w:val="00797054"/>
    <w:rsid w:val="007979A8"/>
    <w:rsid w:val="007A03F1"/>
    <w:rsid w:val="007A0BE3"/>
    <w:rsid w:val="007A1C4C"/>
    <w:rsid w:val="007A64FC"/>
    <w:rsid w:val="007A6A86"/>
    <w:rsid w:val="007A6F88"/>
    <w:rsid w:val="007A77E8"/>
    <w:rsid w:val="007B02BB"/>
    <w:rsid w:val="007B1567"/>
    <w:rsid w:val="007B18A8"/>
    <w:rsid w:val="007B291E"/>
    <w:rsid w:val="007B3692"/>
    <w:rsid w:val="007B3E2D"/>
    <w:rsid w:val="007B3E32"/>
    <w:rsid w:val="007B5843"/>
    <w:rsid w:val="007C2BBB"/>
    <w:rsid w:val="007C49F6"/>
    <w:rsid w:val="007C674E"/>
    <w:rsid w:val="007C683D"/>
    <w:rsid w:val="007C7DED"/>
    <w:rsid w:val="007D1053"/>
    <w:rsid w:val="007D1878"/>
    <w:rsid w:val="007D2415"/>
    <w:rsid w:val="007D3230"/>
    <w:rsid w:val="007D3EA5"/>
    <w:rsid w:val="007D62F6"/>
    <w:rsid w:val="007D6C29"/>
    <w:rsid w:val="007E0264"/>
    <w:rsid w:val="007E3DFA"/>
    <w:rsid w:val="007E77C1"/>
    <w:rsid w:val="007E7C2F"/>
    <w:rsid w:val="007F0197"/>
    <w:rsid w:val="007F05AD"/>
    <w:rsid w:val="007F1EAC"/>
    <w:rsid w:val="007F22ED"/>
    <w:rsid w:val="007F26BC"/>
    <w:rsid w:val="007F2DFE"/>
    <w:rsid w:val="007F3967"/>
    <w:rsid w:val="007F39CD"/>
    <w:rsid w:val="007F3BE6"/>
    <w:rsid w:val="007F456E"/>
    <w:rsid w:val="007F4E30"/>
    <w:rsid w:val="007F5190"/>
    <w:rsid w:val="007F5349"/>
    <w:rsid w:val="007F6EAC"/>
    <w:rsid w:val="008035AF"/>
    <w:rsid w:val="00803ECE"/>
    <w:rsid w:val="00805995"/>
    <w:rsid w:val="008062E8"/>
    <w:rsid w:val="0081067F"/>
    <w:rsid w:val="0081071B"/>
    <w:rsid w:val="00810BB5"/>
    <w:rsid w:val="00814140"/>
    <w:rsid w:val="00814D13"/>
    <w:rsid w:val="008152D9"/>
    <w:rsid w:val="008156A2"/>
    <w:rsid w:val="0082033D"/>
    <w:rsid w:val="008204C0"/>
    <w:rsid w:val="008215D9"/>
    <w:rsid w:val="00821D29"/>
    <w:rsid w:val="0082460C"/>
    <w:rsid w:val="0082500E"/>
    <w:rsid w:val="008276E2"/>
    <w:rsid w:val="008302A8"/>
    <w:rsid w:val="008313A6"/>
    <w:rsid w:val="00831BD8"/>
    <w:rsid w:val="00832844"/>
    <w:rsid w:val="0083330E"/>
    <w:rsid w:val="008344F4"/>
    <w:rsid w:val="008348BB"/>
    <w:rsid w:val="00837499"/>
    <w:rsid w:val="00841E3B"/>
    <w:rsid w:val="00843FFA"/>
    <w:rsid w:val="0084569B"/>
    <w:rsid w:val="00845FBE"/>
    <w:rsid w:val="00846BDF"/>
    <w:rsid w:val="008502AB"/>
    <w:rsid w:val="00850996"/>
    <w:rsid w:val="00852BDA"/>
    <w:rsid w:val="00855482"/>
    <w:rsid w:val="008555E0"/>
    <w:rsid w:val="00855B9D"/>
    <w:rsid w:val="008569CB"/>
    <w:rsid w:val="00857367"/>
    <w:rsid w:val="00857D88"/>
    <w:rsid w:val="00860305"/>
    <w:rsid w:val="008604CB"/>
    <w:rsid w:val="00860861"/>
    <w:rsid w:val="008639AD"/>
    <w:rsid w:val="0086406B"/>
    <w:rsid w:val="00872254"/>
    <w:rsid w:val="008726E1"/>
    <w:rsid w:val="00872A6D"/>
    <w:rsid w:val="00872AC9"/>
    <w:rsid w:val="008730A8"/>
    <w:rsid w:val="008730F5"/>
    <w:rsid w:val="00873B1D"/>
    <w:rsid w:val="00873C2D"/>
    <w:rsid w:val="00873E4A"/>
    <w:rsid w:val="00873F8B"/>
    <w:rsid w:val="0087544A"/>
    <w:rsid w:val="008756A1"/>
    <w:rsid w:val="008758F1"/>
    <w:rsid w:val="00876063"/>
    <w:rsid w:val="0087606A"/>
    <w:rsid w:val="00876A59"/>
    <w:rsid w:val="00876DB9"/>
    <w:rsid w:val="00880B02"/>
    <w:rsid w:val="00880F6E"/>
    <w:rsid w:val="00884A9B"/>
    <w:rsid w:val="00885805"/>
    <w:rsid w:val="00885AED"/>
    <w:rsid w:val="00890160"/>
    <w:rsid w:val="008902F4"/>
    <w:rsid w:val="0089304A"/>
    <w:rsid w:val="008932A6"/>
    <w:rsid w:val="0089480F"/>
    <w:rsid w:val="00895748"/>
    <w:rsid w:val="008959E8"/>
    <w:rsid w:val="00896D34"/>
    <w:rsid w:val="008A04A6"/>
    <w:rsid w:val="008A0A52"/>
    <w:rsid w:val="008A219C"/>
    <w:rsid w:val="008A3D24"/>
    <w:rsid w:val="008B0886"/>
    <w:rsid w:val="008B15B2"/>
    <w:rsid w:val="008B4679"/>
    <w:rsid w:val="008B5386"/>
    <w:rsid w:val="008B5ACA"/>
    <w:rsid w:val="008B72CA"/>
    <w:rsid w:val="008C04CE"/>
    <w:rsid w:val="008C2E0A"/>
    <w:rsid w:val="008C405A"/>
    <w:rsid w:val="008C466A"/>
    <w:rsid w:val="008C5DFE"/>
    <w:rsid w:val="008D08D1"/>
    <w:rsid w:val="008D3272"/>
    <w:rsid w:val="008D3B4F"/>
    <w:rsid w:val="008D4134"/>
    <w:rsid w:val="008D4A50"/>
    <w:rsid w:val="008D6F58"/>
    <w:rsid w:val="008E026A"/>
    <w:rsid w:val="008E0C26"/>
    <w:rsid w:val="008E10A5"/>
    <w:rsid w:val="008E10C2"/>
    <w:rsid w:val="008E1330"/>
    <w:rsid w:val="008E344B"/>
    <w:rsid w:val="008E35C2"/>
    <w:rsid w:val="008E3E8E"/>
    <w:rsid w:val="008E50AA"/>
    <w:rsid w:val="008E58D5"/>
    <w:rsid w:val="008E59A8"/>
    <w:rsid w:val="008E5AE0"/>
    <w:rsid w:val="008E6B0D"/>
    <w:rsid w:val="008F11CD"/>
    <w:rsid w:val="008F17CF"/>
    <w:rsid w:val="008F359D"/>
    <w:rsid w:val="008F5F27"/>
    <w:rsid w:val="008F793F"/>
    <w:rsid w:val="008F7DDD"/>
    <w:rsid w:val="00900EE1"/>
    <w:rsid w:val="00901259"/>
    <w:rsid w:val="009023C8"/>
    <w:rsid w:val="00903056"/>
    <w:rsid w:val="009049AE"/>
    <w:rsid w:val="00905E21"/>
    <w:rsid w:val="00906FF3"/>
    <w:rsid w:val="009133D0"/>
    <w:rsid w:val="00914736"/>
    <w:rsid w:val="00914DEE"/>
    <w:rsid w:val="00915562"/>
    <w:rsid w:val="00916965"/>
    <w:rsid w:val="0092112E"/>
    <w:rsid w:val="00921B67"/>
    <w:rsid w:val="00922555"/>
    <w:rsid w:val="00926017"/>
    <w:rsid w:val="0092665B"/>
    <w:rsid w:val="00930451"/>
    <w:rsid w:val="009319DE"/>
    <w:rsid w:val="00931AB4"/>
    <w:rsid w:val="00931FD4"/>
    <w:rsid w:val="00932830"/>
    <w:rsid w:val="00932FD0"/>
    <w:rsid w:val="0093393D"/>
    <w:rsid w:val="009343A2"/>
    <w:rsid w:val="009374B3"/>
    <w:rsid w:val="00937C53"/>
    <w:rsid w:val="00942685"/>
    <w:rsid w:val="00945924"/>
    <w:rsid w:val="0094648C"/>
    <w:rsid w:val="0094714B"/>
    <w:rsid w:val="00951EAD"/>
    <w:rsid w:val="0095270A"/>
    <w:rsid w:val="009541DD"/>
    <w:rsid w:val="00955215"/>
    <w:rsid w:val="009556A1"/>
    <w:rsid w:val="00957366"/>
    <w:rsid w:val="00957735"/>
    <w:rsid w:val="00960462"/>
    <w:rsid w:val="00960DE0"/>
    <w:rsid w:val="00963A91"/>
    <w:rsid w:val="0096603D"/>
    <w:rsid w:val="009665A9"/>
    <w:rsid w:val="009700A9"/>
    <w:rsid w:val="0097137E"/>
    <w:rsid w:val="009716B6"/>
    <w:rsid w:val="00972594"/>
    <w:rsid w:val="00973A5B"/>
    <w:rsid w:val="0097623A"/>
    <w:rsid w:val="009777DB"/>
    <w:rsid w:val="00981312"/>
    <w:rsid w:val="00981839"/>
    <w:rsid w:val="0098312C"/>
    <w:rsid w:val="009908CD"/>
    <w:rsid w:val="009931F7"/>
    <w:rsid w:val="0099348B"/>
    <w:rsid w:val="00994892"/>
    <w:rsid w:val="00995A99"/>
    <w:rsid w:val="00996D71"/>
    <w:rsid w:val="00997A04"/>
    <w:rsid w:val="009A0454"/>
    <w:rsid w:val="009A0C2C"/>
    <w:rsid w:val="009A12A2"/>
    <w:rsid w:val="009A22FC"/>
    <w:rsid w:val="009A3134"/>
    <w:rsid w:val="009A5802"/>
    <w:rsid w:val="009B0504"/>
    <w:rsid w:val="009B06D7"/>
    <w:rsid w:val="009B28C2"/>
    <w:rsid w:val="009B46DF"/>
    <w:rsid w:val="009B508D"/>
    <w:rsid w:val="009C0666"/>
    <w:rsid w:val="009C06A4"/>
    <w:rsid w:val="009C0820"/>
    <w:rsid w:val="009C27CA"/>
    <w:rsid w:val="009C2FF0"/>
    <w:rsid w:val="009C46B4"/>
    <w:rsid w:val="009C4BD2"/>
    <w:rsid w:val="009C4F5F"/>
    <w:rsid w:val="009C628C"/>
    <w:rsid w:val="009D19BF"/>
    <w:rsid w:val="009D5A4E"/>
    <w:rsid w:val="009D5B2F"/>
    <w:rsid w:val="009D66A6"/>
    <w:rsid w:val="009E2B0C"/>
    <w:rsid w:val="009E3A37"/>
    <w:rsid w:val="009E53E4"/>
    <w:rsid w:val="009E5715"/>
    <w:rsid w:val="009E6316"/>
    <w:rsid w:val="009F04D8"/>
    <w:rsid w:val="009F278E"/>
    <w:rsid w:val="009F4A5B"/>
    <w:rsid w:val="009F4D0E"/>
    <w:rsid w:val="009F53D8"/>
    <w:rsid w:val="009F6ED1"/>
    <w:rsid w:val="009F7042"/>
    <w:rsid w:val="009F7AC2"/>
    <w:rsid w:val="00A01D0E"/>
    <w:rsid w:val="00A0247E"/>
    <w:rsid w:val="00A025E3"/>
    <w:rsid w:val="00A042E9"/>
    <w:rsid w:val="00A0457F"/>
    <w:rsid w:val="00A0496F"/>
    <w:rsid w:val="00A05E4A"/>
    <w:rsid w:val="00A067A7"/>
    <w:rsid w:val="00A11ABE"/>
    <w:rsid w:val="00A11C70"/>
    <w:rsid w:val="00A1347C"/>
    <w:rsid w:val="00A15642"/>
    <w:rsid w:val="00A16B82"/>
    <w:rsid w:val="00A16FBD"/>
    <w:rsid w:val="00A17E00"/>
    <w:rsid w:val="00A21D26"/>
    <w:rsid w:val="00A22786"/>
    <w:rsid w:val="00A23B89"/>
    <w:rsid w:val="00A2492C"/>
    <w:rsid w:val="00A2527D"/>
    <w:rsid w:val="00A26384"/>
    <w:rsid w:val="00A26B36"/>
    <w:rsid w:val="00A271B0"/>
    <w:rsid w:val="00A2727F"/>
    <w:rsid w:val="00A27950"/>
    <w:rsid w:val="00A30044"/>
    <w:rsid w:val="00A30B23"/>
    <w:rsid w:val="00A31B09"/>
    <w:rsid w:val="00A32E89"/>
    <w:rsid w:val="00A33E93"/>
    <w:rsid w:val="00A343F0"/>
    <w:rsid w:val="00A34626"/>
    <w:rsid w:val="00A36BCA"/>
    <w:rsid w:val="00A375B3"/>
    <w:rsid w:val="00A41078"/>
    <w:rsid w:val="00A41975"/>
    <w:rsid w:val="00A4200F"/>
    <w:rsid w:val="00A44414"/>
    <w:rsid w:val="00A45D7B"/>
    <w:rsid w:val="00A45F97"/>
    <w:rsid w:val="00A51C17"/>
    <w:rsid w:val="00A52571"/>
    <w:rsid w:val="00A53520"/>
    <w:rsid w:val="00A54493"/>
    <w:rsid w:val="00A546FB"/>
    <w:rsid w:val="00A54BB5"/>
    <w:rsid w:val="00A57CAC"/>
    <w:rsid w:val="00A6098A"/>
    <w:rsid w:val="00A618A9"/>
    <w:rsid w:val="00A6459A"/>
    <w:rsid w:val="00A66519"/>
    <w:rsid w:val="00A670DA"/>
    <w:rsid w:val="00A67E31"/>
    <w:rsid w:val="00A72551"/>
    <w:rsid w:val="00A725E1"/>
    <w:rsid w:val="00A73CD7"/>
    <w:rsid w:val="00A74FD4"/>
    <w:rsid w:val="00A80E8E"/>
    <w:rsid w:val="00A80EE8"/>
    <w:rsid w:val="00A819A2"/>
    <w:rsid w:val="00A831AD"/>
    <w:rsid w:val="00A83FA9"/>
    <w:rsid w:val="00A849A3"/>
    <w:rsid w:val="00A853C6"/>
    <w:rsid w:val="00A86B4C"/>
    <w:rsid w:val="00A86E43"/>
    <w:rsid w:val="00A875B4"/>
    <w:rsid w:val="00A900A6"/>
    <w:rsid w:val="00A90723"/>
    <w:rsid w:val="00A90ED9"/>
    <w:rsid w:val="00A933E0"/>
    <w:rsid w:val="00A93598"/>
    <w:rsid w:val="00A935FF"/>
    <w:rsid w:val="00A9373B"/>
    <w:rsid w:val="00A94AB1"/>
    <w:rsid w:val="00A94CB9"/>
    <w:rsid w:val="00A96016"/>
    <w:rsid w:val="00A96C4A"/>
    <w:rsid w:val="00AA13D1"/>
    <w:rsid w:val="00AA1B08"/>
    <w:rsid w:val="00AA2776"/>
    <w:rsid w:val="00AA3F47"/>
    <w:rsid w:val="00AA4AA8"/>
    <w:rsid w:val="00AB0E22"/>
    <w:rsid w:val="00AB12CC"/>
    <w:rsid w:val="00AB1DAF"/>
    <w:rsid w:val="00AB6336"/>
    <w:rsid w:val="00AB7922"/>
    <w:rsid w:val="00AB7AED"/>
    <w:rsid w:val="00AC17F0"/>
    <w:rsid w:val="00AC1B23"/>
    <w:rsid w:val="00AC34F5"/>
    <w:rsid w:val="00AC7D32"/>
    <w:rsid w:val="00AC7E74"/>
    <w:rsid w:val="00AD0687"/>
    <w:rsid w:val="00AD39F3"/>
    <w:rsid w:val="00AD450D"/>
    <w:rsid w:val="00AD679C"/>
    <w:rsid w:val="00AD7578"/>
    <w:rsid w:val="00AD761B"/>
    <w:rsid w:val="00AE0201"/>
    <w:rsid w:val="00AE0BD9"/>
    <w:rsid w:val="00AE12B0"/>
    <w:rsid w:val="00AE2E49"/>
    <w:rsid w:val="00AE3867"/>
    <w:rsid w:val="00AE4A53"/>
    <w:rsid w:val="00AE58A1"/>
    <w:rsid w:val="00AE5DAD"/>
    <w:rsid w:val="00AE62E6"/>
    <w:rsid w:val="00AE6346"/>
    <w:rsid w:val="00AE7352"/>
    <w:rsid w:val="00AE7790"/>
    <w:rsid w:val="00AF0521"/>
    <w:rsid w:val="00AF0C1C"/>
    <w:rsid w:val="00AF0D65"/>
    <w:rsid w:val="00AF2B29"/>
    <w:rsid w:val="00AF39DA"/>
    <w:rsid w:val="00AF4BBC"/>
    <w:rsid w:val="00AF610C"/>
    <w:rsid w:val="00AF7EF3"/>
    <w:rsid w:val="00B0122A"/>
    <w:rsid w:val="00B02B2A"/>
    <w:rsid w:val="00B03762"/>
    <w:rsid w:val="00B03C52"/>
    <w:rsid w:val="00B04C4E"/>
    <w:rsid w:val="00B05D1F"/>
    <w:rsid w:val="00B06211"/>
    <w:rsid w:val="00B06F9D"/>
    <w:rsid w:val="00B10302"/>
    <w:rsid w:val="00B14E61"/>
    <w:rsid w:val="00B1626C"/>
    <w:rsid w:val="00B16FD8"/>
    <w:rsid w:val="00B17638"/>
    <w:rsid w:val="00B17EEA"/>
    <w:rsid w:val="00B216E8"/>
    <w:rsid w:val="00B27C50"/>
    <w:rsid w:val="00B30A08"/>
    <w:rsid w:val="00B30E04"/>
    <w:rsid w:val="00B311B5"/>
    <w:rsid w:val="00B32DB1"/>
    <w:rsid w:val="00B333BC"/>
    <w:rsid w:val="00B33AF0"/>
    <w:rsid w:val="00B359A4"/>
    <w:rsid w:val="00B35C29"/>
    <w:rsid w:val="00B360A8"/>
    <w:rsid w:val="00B36A70"/>
    <w:rsid w:val="00B36D13"/>
    <w:rsid w:val="00B37038"/>
    <w:rsid w:val="00B41C61"/>
    <w:rsid w:val="00B42A32"/>
    <w:rsid w:val="00B42B02"/>
    <w:rsid w:val="00B42D11"/>
    <w:rsid w:val="00B43A92"/>
    <w:rsid w:val="00B44DDB"/>
    <w:rsid w:val="00B4662B"/>
    <w:rsid w:val="00B4675F"/>
    <w:rsid w:val="00B47224"/>
    <w:rsid w:val="00B47DA6"/>
    <w:rsid w:val="00B50E8E"/>
    <w:rsid w:val="00B542BA"/>
    <w:rsid w:val="00B5699D"/>
    <w:rsid w:val="00B56E88"/>
    <w:rsid w:val="00B618E3"/>
    <w:rsid w:val="00B61D0D"/>
    <w:rsid w:val="00B63C29"/>
    <w:rsid w:val="00B653EC"/>
    <w:rsid w:val="00B65A7A"/>
    <w:rsid w:val="00B667C5"/>
    <w:rsid w:val="00B6691E"/>
    <w:rsid w:val="00B70C12"/>
    <w:rsid w:val="00B7257F"/>
    <w:rsid w:val="00B7292D"/>
    <w:rsid w:val="00B736C1"/>
    <w:rsid w:val="00B75E3F"/>
    <w:rsid w:val="00B7711B"/>
    <w:rsid w:val="00B803A7"/>
    <w:rsid w:val="00B80DDF"/>
    <w:rsid w:val="00B81035"/>
    <w:rsid w:val="00B81755"/>
    <w:rsid w:val="00B8338E"/>
    <w:rsid w:val="00B84AE5"/>
    <w:rsid w:val="00B84BAF"/>
    <w:rsid w:val="00B85489"/>
    <w:rsid w:val="00B861EE"/>
    <w:rsid w:val="00B8672E"/>
    <w:rsid w:val="00B86DA5"/>
    <w:rsid w:val="00B87E0F"/>
    <w:rsid w:val="00B908C9"/>
    <w:rsid w:val="00B90BA4"/>
    <w:rsid w:val="00B914B6"/>
    <w:rsid w:val="00B92706"/>
    <w:rsid w:val="00B92971"/>
    <w:rsid w:val="00B930B1"/>
    <w:rsid w:val="00B93EBF"/>
    <w:rsid w:val="00B94909"/>
    <w:rsid w:val="00B95763"/>
    <w:rsid w:val="00B961EC"/>
    <w:rsid w:val="00B96AD5"/>
    <w:rsid w:val="00BA0BC5"/>
    <w:rsid w:val="00BA20DC"/>
    <w:rsid w:val="00BA3071"/>
    <w:rsid w:val="00BA3691"/>
    <w:rsid w:val="00BA4365"/>
    <w:rsid w:val="00BA4986"/>
    <w:rsid w:val="00BA4A01"/>
    <w:rsid w:val="00BA6C2E"/>
    <w:rsid w:val="00BA7425"/>
    <w:rsid w:val="00BB1501"/>
    <w:rsid w:val="00BB2B27"/>
    <w:rsid w:val="00BB315B"/>
    <w:rsid w:val="00BB500F"/>
    <w:rsid w:val="00BB767B"/>
    <w:rsid w:val="00BB7F6B"/>
    <w:rsid w:val="00BC08B4"/>
    <w:rsid w:val="00BC2EBD"/>
    <w:rsid w:val="00BC370E"/>
    <w:rsid w:val="00BC3F7D"/>
    <w:rsid w:val="00BC6902"/>
    <w:rsid w:val="00BD0007"/>
    <w:rsid w:val="00BD0E3D"/>
    <w:rsid w:val="00BD2D4E"/>
    <w:rsid w:val="00BD6177"/>
    <w:rsid w:val="00BD7AB7"/>
    <w:rsid w:val="00BE0B04"/>
    <w:rsid w:val="00BE2ADA"/>
    <w:rsid w:val="00BE2C60"/>
    <w:rsid w:val="00BE4D92"/>
    <w:rsid w:val="00BE6436"/>
    <w:rsid w:val="00BE64D0"/>
    <w:rsid w:val="00BE6FCD"/>
    <w:rsid w:val="00BF0F25"/>
    <w:rsid w:val="00BF2B66"/>
    <w:rsid w:val="00BF306B"/>
    <w:rsid w:val="00BF45A2"/>
    <w:rsid w:val="00BF649B"/>
    <w:rsid w:val="00BF6923"/>
    <w:rsid w:val="00BF719D"/>
    <w:rsid w:val="00BF7E70"/>
    <w:rsid w:val="00C0228C"/>
    <w:rsid w:val="00C023E0"/>
    <w:rsid w:val="00C02A4F"/>
    <w:rsid w:val="00C03908"/>
    <w:rsid w:val="00C05899"/>
    <w:rsid w:val="00C06BCD"/>
    <w:rsid w:val="00C07C9B"/>
    <w:rsid w:val="00C13AC8"/>
    <w:rsid w:val="00C13EA6"/>
    <w:rsid w:val="00C15766"/>
    <w:rsid w:val="00C16DF1"/>
    <w:rsid w:val="00C2065F"/>
    <w:rsid w:val="00C22FF6"/>
    <w:rsid w:val="00C23AA8"/>
    <w:rsid w:val="00C23E50"/>
    <w:rsid w:val="00C32F4A"/>
    <w:rsid w:val="00C332E5"/>
    <w:rsid w:val="00C333B5"/>
    <w:rsid w:val="00C33C15"/>
    <w:rsid w:val="00C3409B"/>
    <w:rsid w:val="00C34525"/>
    <w:rsid w:val="00C34D6B"/>
    <w:rsid w:val="00C35692"/>
    <w:rsid w:val="00C35AF0"/>
    <w:rsid w:val="00C35B3A"/>
    <w:rsid w:val="00C35B4B"/>
    <w:rsid w:val="00C36A51"/>
    <w:rsid w:val="00C3700E"/>
    <w:rsid w:val="00C37B2B"/>
    <w:rsid w:val="00C40EFA"/>
    <w:rsid w:val="00C4165D"/>
    <w:rsid w:val="00C4241A"/>
    <w:rsid w:val="00C42636"/>
    <w:rsid w:val="00C42E93"/>
    <w:rsid w:val="00C43148"/>
    <w:rsid w:val="00C44063"/>
    <w:rsid w:val="00C44665"/>
    <w:rsid w:val="00C44DB7"/>
    <w:rsid w:val="00C45943"/>
    <w:rsid w:val="00C45CB8"/>
    <w:rsid w:val="00C45DA7"/>
    <w:rsid w:val="00C46ABD"/>
    <w:rsid w:val="00C46E36"/>
    <w:rsid w:val="00C522E8"/>
    <w:rsid w:val="00C544A1"/>
    <w:rsid w:val="00C553F8"/>
    <w:rsid w:val="00C576E6"/>
    <w:rsid w:val="00C57E79"/>
    <w:rsid w:val="00C61177"/>
    <w:rsid w:val="00C6185D"/>
    <w:rsid w:val="00C63418"/>
    <w:rsid w:val="00C63496"/>
    <w:rsid w:val="00C64580"/>
    <w:rsid w:val="00C647F5"/>
    <w:rsid w:val="00C65E0B"/>
    <w:rsid w:val="00C67127"/>
    <w:rsid w:val="00C704BE"/>
    <w:rsid w:val="00C70D14"/>
    <w:rsid w:val="00C711E0"/>
    <w:rsid w:val="00C720D9"/>
    <w:rsid w:val="00C734BB"/>
    <w:rsid w:val="00C73B08"/>
    <w:rsid w:val="00C747A8"/>
    <w:rsid w:val="00C7698B"/>
    <w:rsid w:val="00C8006D"/>
    <w:rsid w:val="00C81543"/>
    <w:rsid w:val="00C830B3"/>
    <w:rsid w:val="00C833AB"/>
    <w:rsid w:val="00C83F73"/>
    <w:rsid w:val="00C84C51"/>
    <w:rsid w:val="00C87128"/>
    <w:rsid w:val="00C90455"/>
    <w:rsid w:val="00C90C58"/>
    <w:rsid w:val="00C92251"/>
    <w:rsid w:val="00C934F0"/>
    <w:rsid w:val="00C942D3"/>
    <w:rsid w:val="00C95329"/>
    <w:rsid w:val="00C969DD"/>
    <w:rsid w:val="00C975BF"/>
    <w:rsid w:val="00CA0E62"/>
    <w:rsid w:val="00CA25C0"/>
    <w:rsid w:val="00CA31B4"/>
    <w:rsid w:val="00CA5BAE"/>
    <w:rsid w:val="00CA6230"/>
    <w:rsid w:val="00CB02D3"/>
    <w:rsid w:val="00CB128A"/>
    <w:rsid w:val="00CB2E6F"/>
    <w:rsid w:val="00CB5ED5"/>
    <w:rsid w:val="00CB755E"/>
    <w:rsid w:val="00CB773F"/>
    <w:rsid w:val="00CC1F80"/>
    <w:rsid w:val="00CC1FD9"/>
    <w:rsid w:val="00CC22A0"/>
    <w:rsid w:val="00CC330A"/>
    <w:rsid w:val="00CC42F7"/>
    <w:rsid w:val="00CC4604"/>
    <w:rsid w:val="00CC4801"/>
    <w:rsid w:val="00CC4841"/>
    <w:rsid w:val="00CC4A26"/>
    <w:rsid w:val="00CC5281"/>
    <w:rsid w:val="00CC5F9A"/>
    <w:rsid w:val="00CC6541"/>
    <w:rsid w:val="00CC6732"/>
    <w:rsid w:val="00CC6C23"/>
    <w:rsid w:val="00CC7AA4"/>
    <w:rsid w:val="00CC7B8A"/>
    <w:rsid w:val="00CD12E5"/>
    <w:rsid w:val="00CD2871"/>
    <w:rsid w:val="00CD4AF5"/>
    <w:rsid w:val="00CD4BF3"/>
    <w:rsid w:val="00CD4E98"/>
    <w:rsid w:val="00CD5467"/>
    <w:rsid w:val="00CD6B75"/>
    <w:rsid w:val="00CD6B84"/>
    <w:rsid w:val="00CE0681"/>
    <w:rsid w:val="00CE0FE7"/>
    <w:rsid w:val="00CE10C6"/>
    <w:rsid w:val="00CE35D2"/>
    <w:rsid w:val="00CE4E9C"/>
    <w:rsid w:val="00CE7461"/>
    <w:rsid w:val="00CE7A06"/>
    <w:rsid w:val="00CE7A4E"/>
    <w:rsid w:val="00CF10DA"/>
    <w:rsid w:val="00CF2D0D"/>
    <w:rsid w:val="00CF30B6"/>
    <w:rsid w:val="00CF3544"/>
    <w:rsid w:val="00CF592D"/>
    <w:rsid w:val="00CF5E4D"/>
    <w:rsid w:val="00D0009B"/>
    <w:rsid w:val="00D0069A"/>
    <w:rsid w:val="00D00D8A"/>
    <w:rsid w:val="00D011FF"/>
    <w:rsid w:val="00D01331"/>
    <w:rsid w:val="00D025FE"/>
    <w:rsid w:val="00D0388B"/>
    <w:rsid w:val="00D03960"/>
    <w:rsid w:val="00D0440F"/>
    <w:rsid w:val="00D050C4"/>
    <w:rsid w:val="00D06B1F"/>
    <w:rsid w:val="00D06DAF"/>
    <w:rsid w:val="00D10E19"/>
    <w:rsid w:val="00D12C8E"/>
    <w:rsid w:val="00D13714"/>
    <w:rsid w:val="00D13CF0"/>
    <w:rsid w:val="00D15507"/>
    <w:rsid w:val="00D1617F"/>
    <w:rsid w:val="00D1663D"/>
    <w:rsid w:val="00D176CE"/>
    <w:rsid w:val="00D21157"/>
    <w:rsid w:val="00D21C4E"/>
    <w:rsid w:val="00D227DC"/>
    <w:rsid w:val="00D24720"/>
    <w:rsid w:val="00D24776"/>
    <w:rsid w:val="00D252A6"/>
    <w:rsid w:val="00D27AE9"/>
    <w:rsid w:val="00D30214"/>
    <w:rsid w:val="00D30476"/>
    <w:rsid w:val="00D31ACE"/>
    <w:rsid w:val="00D32A17"/>
    <w:rsid w:val="00D34692"/>
    <w:rsid w:val="00D34780"/>
    <w:rsid w:val="00D347A5"/>
    <w:rsid w:val="00D35099"/>
    <w:rsid w:val="00D363FA"/>
    <w:rsid w:val="00D36469"/>
    <w:rsid w:val="00D379D1"/>
    <w:rsid w:val="00D4002D"/>
    <w:rsid w:val="00D40E6F"/>
    <w:rsid w:val="00D4326E"/>
    <w:rsid w:val="00D45A94"/>
    <w:rsid w:val="00D45C3A"/>
    <w:rsid w:val="00D45E14"/>
    <w:rsid w:val="00D50D04"/>
    <w:rsid w:val="00D51CBA"/>
    <w:rsid w:val="00D55F5C"/>
    <w:rsid w:val="00D565B5"/>
    <w:rsid w:val="00D5725E"/>
    <w:rsid w:val="00D6006F"/>
    <w:rsid w:val="00D613AD"/>
    <w:rsid w:val="00D63217"/>
    <w:rsid w:val="00D63F33"/>
    <w:rsid w:val="00D644A7"/>
    <w:rsid w:val="00D65118"/>
    <w:rsid w:val="00D65882"/>
    <w:rsid w:val="00D66B45"/>
    <w:rsid w:val="00D67BE6"/>
    <w:rsid w:val="00D70215"/>
    <w:rsid w:val="00D703AE"/>
    <w:rsid w:val="00D759F4"/>
    <w:rsid w:val="00D7667D"/>
    <w:rsid w:val="00D7682F"/>
    <w:rsid w:val="00D77C17"/>
    <w:rsid w:val="00D80DCF"/>
    <w:rsid w:val="00D815E3"/>
    <w:rsid w:val="00D81BE6"/>
    <w:rsid w:val="00D822BE"/>
    <w:rsid w:val="00D834E8"/>
    <w:rsid w:val="00D90B6E"/>
    <w:rsid w:val="00D915D8"/>
    <w:rsid w:val="00D91DC4"/>
    <w:rsid w:val="00D9258D"/>
    <w:rsid w:val="00D92ECC"/>
    <w:rsid w:val="00D945EA"/>
    <w:rsid w:val="00D94C7E"/>
    <w:rsid w:val="00D95B87"/>
    <w:rsid w:val="00D95EC1"/>
    <w:rsid w:val="00D96181"/>
    <w:rsid w:val="00DA0340"/>
    <w:rsid w:val="00DA2B4E"/>
    <w:rsid w:val="00DA398A"/>
    <w:rsid w:val="00DA48B8"/>
    <w:rsid w:val="00DA546C"/>
    <w:rsid w:val="00DA76B3"/>
    <w:rsid w:val="00DB0400"/>
    <w:rsid w:val="00DB2F22"/>
    <w:rsid w:val="00DB415E"/>
    <w:rsid w:val="00DB5651"/>
    <w:rsid w:val="00DB69EF"/>
    <w:rsid w:val="00DB727D"/>
    <w:rsid w:val="00DC1FEF"/>
    <w:rsid w:val="00DC4EBF"/>
    <w:rsid w:val="00DC542B"/>
    <w:rsid w:val="00DC6B8A"/>
    <w:rsid w:val="00DC7091"/>
    <w:rsid w:val="00DD0562"/>
    <w:rsid w:val="00DD1CD6"/>
    <w:rsid w:val="00DD205A"/>
    <w:rsid w:val="00DD24D1"/>
    <w:rsid w:val="00DD2E52"/>
    <w:rsid w:val="00DD3A10"/>
    <w:rsid w:val="00DD3DAC"/>
    <w:rsid w:val="00DD5C50"/>
    <w:rsid w:val="00DD5DED"/>
    <w:rsid w:val="00DD5FB2"/>
    <w:rsid w:val="00DD630A"/>
    <w:rsid w:val="00DE0905"/>
    <w:rsid w:val="00DE0EB7"/>
    <w:rsid w:val="00DE15B1"/>
    <w:rsid w:val="00DE1EB3"/>
    <w:rsid w:val="00DE24D2"/>
    <w:rsid w:val="00DE305E"/>
    <w:rsid w:val="00DE3C21"/>
    <w:rsid w:val="00DE4750"/>
    <w:rsid w:val="00DE477C"/>
    <w:rsid w:val="00DE6303"/>
    <w:rsid w:val="00DE6674"/>
    <w:rsid w:val="00DE7AC8"/>
    <w:rsid w:val="00DF00E5"/>
    <w:rsid w:val="00DF017E"/>
    <w:rsid w:val="00DF3821"/>
    <w:rsid w:val="00DF3C2A"/>
    <w:rsid w:val="00DF615F"/>
    <w:rsid w:val="00DF65E2"/>
    <w:rsid w:val="00DF7891"/>
    <w:rsid w:val="00E00283"/>
    <w:rsid w:val="00E00A52"/>
    <w:rsid w:val="00E03923"/>
    <w:rsid w:val="00E03C66"/>
    <w:rsid w:val="00E10370"/>
    <w:rsid w:val="00E11548"/>
    <w:rsid w:val="00E11D56"/>
    <w:rsid w:val="00E161B3"/>
    <w:rsid w:val="00E20D46"/>
    <w:rsid w:val="00E21933"/>
    <w:rsid w:val="00E244E1"/>
    <w:rsid w:val="00E24B0B"/>
    <w:rsid w:val="00E2512D"/>
    <w:rsid w:val="00E26CFB"/>
    <w:rsid w:val="00E30651"/>
    <w:rsid w:val="00E32F58"/>
    <w:rsid w:val="00E33373"/>
    <w:rsid w:val="00E33830"/>
    <w:rsid w:val="00E33EF1"/>
    <w:rsid w:val="00E35271"/>
    <w:rsid w:val="00E35DC0"/>
    <w:rsid w:val="00E36E57"/>
    <w:rsid w:val="00E37677"/>
    <w:rsid w:val="00E40533"/>
    <w:rsid w:val="00E4440C"/>
    <w:rsid w:val="00E50389"/>
    <w:rsid w:val="00E521C8"/>
    <w:rsid w:val="00E526F7"/>
    <w:rsid w:val="00E52DCF"/>
    <w:rsid w:val="00E52E60"/>
    <w:rsid w:val="00E550A8"/>
    <w:rsid w:val="00E5538D"/>
    <w:rsid w:val="00E56ED5"/>
    <w:rsid w:val="00E574DB"/>
    <w:rsid w:val="00E6028A"/>
    <w:rsid w:val="00E60FE7"/>
    <w:rsid w:val="00E61B6E"/>
    <w:rsid w:val="00E61DA5"/>
    <w:rsid w:val="00E622CD"/>
    <w:rsid w:val="00E64249"/>
    <w:rsid w:val="00E64DEB"/>
    <w:rsid w:val="00E65AC6"/>
    <w:rsid w:val="00E668A0"/>
    <w:rsid w:val="00E66C2A"/>
    <w:rsid w:val="00E66D0D"/>
    <w:rsid w:val="00E67148"/>
    <w:rsid w:val="00E6789E"/>
    <w:rsid w:val="00E701EB"/>
    <w:rsid w:val="00E709EF"/>
    <w:rsid w:val="00E72C62"/>
    <w:rsid w:val="00E73A09"/>
    <w:rsid w:val="00E75A59"/>
    <w:rsid w:val="00E77E99"/>
    <w:rsid w:val="00E80C9F"/>
    <w:rsid w:val="00E8373D"/>
    <w:rsid w:val="00E8436F"/>
    <w:rsid w:val="00E846BD"/>
    <w:rsid w:val="00E87E38"/>
    <w:rsid w:val="00E91AA9"/>
    <w:rsid w:val="00E928CF"/>
    <w:rsid w:val="00E95F05"/>
    <w:rsid w:val="00E96736"/>
    <w:rsid w:val="00E97C5D"/>
    <w:rsid w:val="00EA0DDD"/>
    <w:rsid w:val="00EA1E67"/>
    <w:rsid w:val="00EB0396"/>
    <w:rsid w:val="00EB0712"/>
    <w:rsid w:val="00EB1136"/>
    <w:rsid w:val="00EB2438"/>
    <w:rsid w:val="00EB2849"/>
    <w:rsid w:val="00EB4226"/>
    <w:rsid w:val="00EB5F7E"/>
    <w:rsid w:val="00EB6722"/>
    <w:rsid w:val="00EB6D9E"/>
    <w:rsid w:val="00EB6DD1"/>
    <w:rsid w:val="00EB7344"/>
    <w:rsid w:val="00EC0354"/>
    <w:rsid w:val="00EC109E"/>
    <w:rsid w:val="00EC1B4C"/>
    <w:rsid w:val="00EC20FC"/>
    <w:rsid w:val="00EC25B0"/>
    <w:rsid w:val="00EC25C6"/>
    <w:rsid w:val="00EC34AC"/>
    <w:rsid w:val="00EC4A6D"/>
    <w:rsid w:val="00EC64FB"/>
    <w:rsid w:val="00ED168A"/>
    <w:rsid w:val="00ED174B"/>
    <w:rsid w:val="00ED29B2"/>
    <w:rsid w:val="00ED2C42"/>
    <w:rsid w:val="00ED5F52"/>
    <w:rsid w:val="00ED6959"/>
    <w:rsid w:val="00ED7B00"/>
    <w:rsid w:val="00EE2472"/>
    <w:rsid w:val="00EE2758"/>
    <w:rsid w:val="00EE55C3"/>
    <w:rsid w:val="00EF090A"/>
    <w:rsid w:val="00EF09F1"/>
    <w:rsid w:val="00EF14F8"/>
    <w:rsid w:val="00EF17EE"/>
    <w:rsid w:val="00EF3030"/>
    <w:rsid w:val="00EF3139"/>
    <w:rsid w:val="00EF3CD4"/>
    <w:rsid w:val="00EF7D6B"/>
    <w:rsid w:val="00F026D8"/>
    <w:rsid w:val="00F034A1"/>
    <w:rsid w:val="00F04BE0"/>
    <w:rsid w:val="00F04C67"/>
    <w:rsid w:val="00F05A17"/>
    <w:rsid w:val="00F07B18"/>
    <w:rsid w:val="00F120FB"/>
    <w:rsid w:val="00F12310"/>
    <w:rsid w:val="00F13849"/>
    <w:rsid w:val="00F1733F"/>
    <w:rsid w:val="00F17D88"/>
    <w:rsid w:val="00F17E2D"/>
    <w:rsid w:val="00F2011E"/>
    <w:rsid w:val="00F22F74"/>
    <w:rsid w:val="00F22FBE"/>
    <w:rsid w:val="00F24BC4"/>
    <w:rsid w:val="00F25687"/>
    <w:rsid w:val="00F2711F"/>
    <w:rsid w:val="00F273EF"/>
    <w:rsid w:val="00F2780F"/>
    <w:rsid w:val="00F27C86"/>
    <w:rsid w:val="00F30724"/>
    <w:rsid w:val="00F30B17"/>
    <w:rsid w:val="00F30D9A"/>
    <w:rsid w:val="00F33E73"/>
    <w:rsid w:val="00F34205"/>
    <w:rsid w:val="00F34762"/>
    <w:rsid w:val="00F354F5"/>
    <w:rsid w:val="00F36612"/>
    <w:rsid w:val="00F372B0"/>
    <w:rsid w:val="00F37547"/>
    <w:rsid w:val="00F37F09"/>
    <w:rsid w:val="00F40801"/>
    <w:rsid w:val="00F41437"/>
    <w:rsid w:val="00F41E4B"/>
    <w:rsid w:val="00F42020"/>
    <w:rsid w:val="00F42413"/>
    <w:rsid w:val="00F42B5E"/>
    <w:rsid w:val="00F43177"/>
    <w:rsid w:val="00F436B1"/>
    <w:rsid w:val="00F449D6"/>
    <w:rsid w:val="00F470A6"/>
    <w:rsid w:val="00F47A04"/>
    <w:rsid w:val="00F47FFE"/>
    <w:rsid w:val="00F50147"/>
    <w:rsid w:val="00F505DF"/>
    <w:rsid w:val="00F52794"/>
    <w:rsid w:val="00F52798"/>
    <w:rsid w:val="00F534CA"/>
    <w:rsid w:val="00F53B53"/>
    <w:rsid w:val="00F54F96"/>
    <w:rsid w:val="00F55240"/>
    <w:rsid w:val="00F55503"/>
    <w:rsid w:val="00F60D8C"/>
    <w:rsid w:val="00F61FC8"/>
    <w:rsid w:val="00F6201C"/>
    <w:rsid w:val="00F625AE"/>
    <w:rsid w:val="00F637B9"/>
    <w:rsid w:val="00F64378"/>
    <w:rsid w:val="00F655F4"/>
    <w:rsid w:val="00F65E7F"/>
    <w:rsid w:val="00F66256"/>
    <w:rsid w:val="00F66295"/>
    <w:rsid w:val="00F66A5A"/>
    <w:rsid w:val="00F66C34"/>
    <w:rsid w:val="00F70825"/>
    <w:rsid w:val="00F72A6B"/>
    <w:rsid w:val="00F74602"/>
    <w:rsid w:val="00F74BFF"/>
    <w:rsid w:val="00F769C5"/>
    <w:rsid w:val="00F810F9"/>
    <w:rsid w:val="00F825A1"/>
    <w:rsid w:val="00F82856"/>
    <w:rsid w:val="00F839F2"/>
    <w:rsid w:val="00F83B7E"/>
    <w:rsid w:val="00F8460F"/>
    <w:rsid w:val="00F8467B"/>
    <w:rsid w:val="00F860A6"/>
    <w:rsid w:val="00F90702"/>
    <w:rsid w:val="00F90745"/>
    <w:rsid w:val="00F917E0"/>
    <w:rsid w:val="00F922F0"/>
    <w:rsid w:val="00F93AC6"/>
    <w:rsid w:val="00F93FF1"/>
    <w:rsid w:val="00F9581C"/>
    <w:rsid w:val="00F96146"/>
    <w:rsid w:val="00F97C43"/>
    <w:rsid w:val="00FA0704"/>
    <w:rsid w:val="00FA2065"/>
    <w:rsid w:val="00FA23DD"/>
    <w:rsid w:val="00FA2EB7"/>
    <w:rsid w:val="00FA300D"/>
    <w:rsid w:val="00FA38A3"/>
    <w:rsid w:val="00FA39D6"/>
    <w:rsid w:val="00FA3C0C"/>
    <w:rsid w:val="00FA46BF"/>
    <w:rsid w:val="00FA47CD"/>
    <w:rsid w:val="00FA62FC"/>
    <w:rsid w:val="00FA6ED3"/>
    <w:rsid w:val="00FB1089"/>
    <w:rsid w:val="00FB2246"/>
    <w:rsid w:val="00FB39C4"/>
    <w:rsid w:val="00FB4D06"/>
    <w:rsid w:val="00FB7BD5"/>
    <w:rsid w:val="00FC108A"/>
    <w:rsid w:val="00FC1238"/>
    <w:rsid w:val="00FC13E9"/>
    <w:rsid w:val="00FC3EDE"/>
    <w:rsid w:val="00FC7E92"/>
    <w:rsid w:val="00FD395A"/>
    <w:rsid w:val="00FD4C7E"/>
    <w:rsid w:val="00FD5B9F"/>
    <w:rsid w:val="00FD688E"/>
    <w:rsid w:val="00FD7ACE"/>
    <w:rsid w:val="00FE092B"/>
    <w:rsid w:val="00FE0C49"/>
    <w:rsid w:val="00FE2E70"/>
    <w:rsid w:val="00FE3560"/>
    <w:rsid w:val="00FE75A5"/>
    <w:rsid w:val="00FE75E0"/>
    <w:rsid w:val="00FF072A"/>
    <w:rsid w:val="00FF1D10"/>
    <w:rsid w:val="00FF1F44"/>
    <w:rsid w:val="00FF217B"/>
    <w:rsid w:val="00FF2753"/>
    <w:rsid w:val="00FF4EE0"/>
    <w:rsid w:val="00FF6F9D"/>
    <w:rsid w:val="011A7A5D"/>
    <w:rsid w:val="01361E7F"/>
    <w:rsid w:val="013F5B52"/>
    <w:rsid w:val="0160258C"/>
    <w:rsid w:val="016330F8"/>
    <w:rsid w:val="01730670"/>
    <w:rsid w:val="0191140C"/>
    <w:rsid w:val="01A65FF6"/>
    <w:rsid w:val="0274049B"/>
    <w:rsid w:val="02D30ED0"/>
    <w:rsid w:val="02DB1A8C"/>
    <w:rsid w:val="03020C24"/>
    <w:rsid w:val="03492CD0"/>
    <w:rsid w:val="035B6FFF"/>
    <w:rsid w:val="03B0537C"/>
    <w:rsid w:val="03D17B77"/>
    <w:rsid w:val="03D94A0B"/>
    <w:rsid w:val="03F15C0C"/>
    <w:rsid w:val="04050BE6"/>
    <w:rsid w:val="044636A4"/>
    <w:rsid w:val="044A0521"/>
    <w:rsid w:val="046430CE"/>
    <w:rsid w:val="04A419EE"/>
    <w:rsid w:val="050A1605"/>
    <w:rsid w:val="05290229"/>
    <w:rsid w:val="056458D3"/>
    <w:rsid w:val="06060C03"/>
    <w:rsid w:val="062437C1"/>
    <w:rsid w:val="06337152"/>
    <w:rsid w:val="0639361E"/>
    <w:rsid w:val="065B741D"/>
    <w:rsid w:val="06E454BA"/>
    <w:rsid w:val="06FD657F"/>
    <w:rsid w:val="07201CEE"/>
    <w:rsid w:val="072C433F"/>
    <w:rsid w:val="07633302"/>
    <w:rsid w:val="07824DF1"/>
    <w:rsid w:val="07AD07A4"/>
    <w:rsid w:val="07BE44E5"/>
    <w:rsid w:val="07D53003"/>
    <w:rsid w:val="082C0B99"/>
    <w:rsid w:val="085E2315"/>
    <w:rsid w:val="08F31410"/>
    <w:rsid w:val="08F97583"/>
    <w:rsid w:val="090970F2"/>
    <w:rsid w:val="09417A37"/>
    <w:rsid w:val="09702902"/>
    <w:rsid w:val="09F55542"/>
    <w:rsid w:val="0A1C284D"/>
    <w:rsid w:val="0A1D763E"/>
    <w:rsid w:val="0A391F49"/>
    <w:rsid w:val="0A746FE6"/>
    <w:rsid w:val="0AD649EC"/>
    <w:rsid w:val="0B3164D1"/>
    <w:rsid w:val="0B8E1685"/>
    <w:rsid w:val="0BA62432"/>
    <w:rsid w:val="0BC86EC0"/>
    <w:rsid w:val="0C461CD9"/>
    <w:rsid w:val="0C9E59EC"/>
    <w:rsid w:val="0CD056D7"/>
    <w:rsid w:val="0CDF44B0"/>
    <w:rsid w:val="0D486579"/>
    <w:rsid w:val="0D751EC9"/>
    <w:rsid w:val="0E12799C"/>
    <w:rsid w:val="0E495A35"/>
    <w:rsid w:val="0EC51CF1"/>
    <w:rsid w:val="0EEA47FB"/>
    <w:rsid w:val="0EF262A5"/>
    <w:rsid w:val="0F4044B0"/>
    <w:rsid w:val="0F622579"/>
    <w:rsid w:val="0F7E548B"/>
    <w:rsid w:val="0F903552"/>
    <w:rsid w:val="0FB621BB"/>
    <w:rsid w:val="0FD6194A"/>
    <w:rsid w:val="100618BC"/>
    <w:rsid w:val="10242C10"/>
    <w:rsid w:val="104C56BC"/>
    <w:rsid w:val="10521533"/>
    <w:rsid w:val="10770E9C"/>
    <w:rsid w:val="10A67D05"/>
    <w:rsid w:val="10E310AD"/>
    <w:rsid w:val="10F67F9B"/>
    <w:rsid w:val="10FF4B76"/>
    <w:rsid w:val="112B463B"/>
    <w:rsid w:val="116A58AF"/>
    <w:rsid w:val="11B549C7"/>
    <w:rsid w:val="11C30BC2"/>
    <w:rsid w:val="12073030"/>
    <w:rsid w:val="1244468C"/>
    <w:rsid w:val="125C1A77"/>
    <w:rsid w:val="12923398"/>
    <w:rsid w:val="12A82518"/>
    <w:rsid w:val="12CF701E"/>
    <w:rsid w:val="131D20D9"/>
    <w:rsid w:val="132818B0"/>
    <w:rsid w:val="138B3C5D"/>
    <w:rsid w:val="13A40A83"/>
    <w:rsid w:val="13C62AA3"/>
    <w:rsid w:val="13DF2D88"/>
    <w:rsid w:val="141B48FC"/>
    <w:rsid w:val="1429556B"/>
    <w:rsid w:val="14912412"/>
    <w:rsid w:val="14A261A5"/>
    <w:rsid w:val="158736FB"/>
    <w:rsid w:val="15B240EF"/>
    <w:rsid w:val="160A7429"/>
    <w:rsid w:val="165304A0"/>
    <w:rsid w:val="16757FF1"/>
    <w:rsid w:val="16A570F7"/>
    <w:rsid w:val="16CE40A2"/>
    <w:rsid w:val="16E733B1"/>
    <w:rsid w:val="16F16001"/>
    <w:rsid w:val="17503AB9"/>
    <w:rsid w:val="178D4C7B"/>
    <w:rsid w:val="17DA2FF2"/>
    <w:rsid w:val="17E1166B"/>
    <w:rsid w:val="180F00C6"/>
    <w:rsid w:val="182126F8"/>
    <w:rsid w:val="18327DC8"/>
    <w:rsid w:val="18371ED8"/>
    <w:rsid w:val="18650475"/>
    <w:rsid w:val="1894263F"/>
    <w:rsid w:val="18A452C4"/>
    <w:rsid w:val="18BF1178"/>
    <w:rsid w:val="193E422E"/>
    <w:rsid w:val="196E7898"/>
    <w:rsid w:val="198C0288"/>
    <w:rsid w:val="1999326F"/>
    <w:rsid w:val="19D12512"/>
    <w:rsid w:val="19DD295D"/>
    <w:rsid w:val="19F8331A"/>
    <w:rsid w:val="1A140D40"/>
    <w:rsid w:val="1A2D56CE"/>
    <w:rsid w:val="1A332F0F"/>
    <w:rsid w:val="1AA51342"/>
    <w:rsid w:val="1AD745BF"/>
    <w:rsid w:val="1B111FE2"/>
    <w:rsid w:val="1B2940EA"/>
    <w:rsid w:val="1B381F13"/>
    <w:rsid w:val="1B7428B5"/>
    <w:rsid w:val="1B904C0D"/>
    <w:rsid w:val="1BA04175"/>
    <w:rsid w:val="1BCF1178"/>
    <w:rsid w:val="1BE0258F"/>
    <w:rsid w:val="1BF42D72"/>
    <w:rsid w:val="1C2A14B4"/>
    <w:rsid w:val="1C6819C8"/>
    <w:rsid w:val="1CA34A55"/>
    <w:rsid w:val="1D134C80"/>
    <w:rsid w:val="1D4B1771"/>
    <w:rsid w:val="1D50410E"/>
    <w:rsid w:val="1DA438FD"/>
    <w:rsid w:val="1DBF1BD2"/>
    <w:rsid w:val="1DC050EC"/>
    <w:rsid w:val="1E220D4B"/>
    <w:rsid w:val="1E4F5B29"/>
    <w:rsid w:val="1E846FBB"/>
    <w:rsid w:val="1E9C6486"/>
    <w:rsid w:val="1F08273D"/>
    <w:rsid w:val="1F4718C6"/>
    <w:rsid w:val="1F5A2832"/>
    <w:rsid w:val="1F5C7CA9"/>
    <w:rsid w:val="1FE1394D"/>
    <w:rsid w:val="20135D46"/>
    <w:rsid w:val="20A75413"/>
    <w:rsid w:val="20F9084C"/>
    <w:rsid w:val="21306FAE"/>
    <w:rsid w:val="213154EF"/>
    <w:rsid w:val="213C3083"/>
    <w:rsid w:val="21417D6E"/>
    <w:rsid w:val="217D44A2"/>
    <w:rsid w:val="21D16FA5"/>
    <w:rsid w:val="21F30C7E"/>
    <w:rsid w:val="221B6794"/>
    <w:rsid w:val="221D6CD2"/>
    <w:rsid w:val="22221363"/>
    <w:rsid w:val="22642D81"/>
    <w:rsid w:val="22A60007"/>
    <w:rsid w:val="22A93A8E"/>
    <w:rsid w:val="22CE31BB"/>
    <w:rsid w:val="22DE7D4B"/>
    <w:rsid w:val="230E593A"/>
    <w:rsid w:val="2359043D"/>
    <w:rsid w:val="23AA0447"/>
    <w:rsid w:val="23C835D1"/>
    <w:rsid w:val="24191DC1"/>
    <w:rsid w:val="24484DC7"/>
    <w:rsid w:val="2456550E"/>
    <w:rsid w:val="25C61F56"/>
    <w:rsid w:val="26195F58"/>
    <w:rsid w:val="2655259F"/>
    <w:rsid w:val="266B3C82"/>
    <w:rsid w:val="26A9441E"/>
    <w:rsid w:val="26BB74E1"/>
    <w:rsid w:val="26C35CF5"/>
    <w:rsid w:val="274A4314"/>
    <w:rsid w:val="27672A0F"/>
    <w:rsid w:val="280247EC"/>
    <w:rsid w:val="28081D34"/>
    <w:rsid w:val="284A0387"/>
    <w:rsid w:val="284D0F6C"/>
    <w:rsid w:val="286C20A7"/>
    <w:rsid w:val="289E4476"/>
    <w:rsid w:val="28B3095D"/>
    <w:rsid w:val="28CE35C5"/>
    <w:rsid w:val="28DC64B4"/>
    <w:rsid w:val="28F838F4"/>
    <w:rsid w:val="290F1274"/>
    <w:rsid w:val="29160FB0"/>
    <w:rsid w:val="292C6381"/>
    <w:rsid w:val="294F36C8"/>
    <w:rsid w:val="29642FCA"/>
    <w:rsid w:val="29BD6AA5"/>
    <w:rsid w:val="29EF1C10"/>
    <w:rsid w:val="2A40107F"/>
    <w:rsid w:val="2A48212D"/>
    <w:rsid w:val="2A54292A"/>
    <w:rsid w:val="2A6970A2"/>
    <w:rsid w:val="2A816E2A"/>
    <w:rsid w:val="2AF83996"/>
    <w:rsid w:val="2B001174"/>
    <w:rsid w:val="2B0D3223"/>
    <w:rsid w:val="2B275A60"/>
    <w:rsid w:val="2B3E419F"/>
    <w:rsid w:val="2B4951A6"/>
    <w:rsid w:val="2B542B73"/>
    <w:rsid w:val="2B5D3216"/>
    <w:rsid w:val="2B717966"/>
    <w:rsid w:val="2B9364FC"/>
    <w:rsid w:val="2BBE2C89"/>
    <w:rsid w:val="2BFD77A3"/>
    <w:rsid w:val="2C002793"/>
    <w:rsid w:val="2C283FB8"/>
    <w:rsid w:val="2C6C3918"/>
    <w:rsid w:val="2C9B3B0F"/>
    <w:rsid w:val="2CAE4244"/>
    <w:rsid w:val="2CDE36B8"/>
    <w:rsid w:val="2D042383"/>
    <w:rsid w:val="2D075ACB"/>
    <w:rsid w:val="2D1F05F2"/>
    <w:rsid w:val="2D393F7A"/>
    <w:rsid w:val="2D7E2105"/>
    <w:rsid w:val="2DCF758D"/>
    <w:rsid w:val="2E1613A8"/>
    <w:rsid w:val="2E266669"/>
    <w:rsid w:val="2E423520"/>
    <w:rsid w:val="2E4B49AE"/>
    <w:rsid w:val="2E4C0656"/>
    <w:rsid w:val="2E610AEB"/>
    <w:rsid w:val="2E67196B"/>
    <w:rsid w:val="2E862FCA"/>
    <w:rsid w:val="2E8E209C"/>
    <w:rsid w:val="2EE72ABB"/>
    <w:rsid w:val="2F265167"/>
    <w:rsid w:val="2F51473A"/>
    <w:rsid w:val="2FAE3803"/>
    <w:rsid w:val="2FF53976"/>
    <w:rsid w:val="2FF90F3C"/>
    <w:rsid w:val="30182A4F"/>
    <w:rsid w:val="301E51CE"/>
    <w:rsid w:val="30492740"/>
    <w:rsid w:val="305F206E"/>
    <w:rsid w:val="307E3180"/>
    <w:rsid w:val="30F06C0C"/>
    <w:rsid w:val="312F14E3"/>
    <w:rsid w:val="31440F8C"/>
    <w:rsid w:val="314B55CC"/>
    <w:rsid w:val="31866088"/>
    <w:rsid w:val="318F4907"/>
    <w:rsid w:val="31966B8A"/>
    <w:rsid w:val="32401B64"/>
    <w:rsid w:val="32477000"/>
    <w:rsid w:val="329715D0"/>
    <w:rsid w:val="32D25E13"/>
    <w:rsid w:val="33091723"/>
    <w:rsid w:val="33282B57"/>
    <w:rsid w:val="336D28AF"/>
    <w:rsid w:val="339F390E"/>
    <w:rsid w:val="33A44A6E"/>
    <w:rsid w:val="33B57CBD"/>
    <w:rsid w:val="34426C25"/>
    <w:rsid w:val="344D24BB"/>
    <w:rsid w:val="34527168"/>
    <w:rsid w:val="345C17D7"/>
    <w:rsid w:val="349615ED"/>
    <w:rsid w:val="350A4A05"/>
    <w:rsid w:val="35600917"/>
    <w:rsid w:val="358A7344"/>
    <w:rsid w:val="359A41AB"/>
    <w:rsid w:val="35B94732"/>
    <w:rsid w:val="35EC07D1"/>
    <w:rsid w:val="36251981"/>
    <w:rsid w:val="36846BE3"/>
    <w:rsid w:val="36D42837"/>
    <w:rsid w:val="37812E8C"/>
    <w:rsid w:val="378F3B09"/>
    <w:rsid w:val="37AA7889"/>
    <w:rsid w:val="37B15958"/>
    <w:rsid w:val="38153CF2"/>
    <w:rsid w:val="386C2DA8"/>
    <w:rsid w:val="38AB0DC7"/>
    <w:rsid w:val="38F854DD"/>
    <w:rsid w:val="396637B7"/>
    <w:rsid w:val="39983293"/>
    <w:rsid w:val="39D23186"/>
    <w:rsid w:val="39FF4A65"/>
    <w:rsid w:val="3A2832E8"/>
    <w:rsid w:val="3B121E08"/>
    <w:rsid w:val="3B217D73"/>
    <w:rsid w:val="3B396874"/>
    <w:rsid w:val="3B537FE2"/>
    <w:rsid w:val="3B7242D8"/>
    <w:rsid w:val="3BE97308"/>
    <w:rsid w:val="3C116079"/>
    <w:rsid w:val="3C7E544E"/>
    <w:rsid w:val="3C9453BE"/>
    <w:rsid w:val="3CA43D56"/>
    <w:rsid w:val="3CD020FF"/>
    <w:rsid w:val="3CE963EE"/>
    <w:rsid w:val="3CEF0E4A"/>
    <w:rsid w:val="3CF3290E"/>
    <w:rsid w:val="3D062004"/>
    <w:rsid w:val="3D127256"/>
    <w:rsid w:val="3D551F0E"/>
    <w:rsid w:val="3D9F2B92"/>
    <w:rsid w:val="3E2C2C06"/>
    <w:rsid w:val="3E384D8C"/>
    <w:rsid w:val="3E9D0875"/>
    <w:rsid w:val="3EE27368"/>
    <w:rsid w:val="3F581BD1"/>
    <w:rsid w:val="40280E63"/>
    <w:rsid w:val="407B0827"/>
    <w:rsid w:val="4085122B"/>
    <w:rsid w:val="408D296C"/>
    <w:rsid w:val="40B15340"/>
    <w:rsid w:val="40DE04E3"/>
    <w:rsid w:val="40FA43C7"/>
    <w:rsid w:val="410A70F7"/>
    <w:rsid w:val="41294740"/>
    <w:rsid w:val="4136471D"/>
    <w:rsid w:val="41616B4C"/>
    <w:rsid w:val="4188720B"/>
    <w:rsid w:val="418E35BC"/>
    <w:rsid w:val="418E38E2"/>
    <w:rsid w:val="420C654E"/>
    <w:rsid w:val="4227727E"/>
    <w:rsid w:val="42746313"/>
    <w:rsid w:val="43235F4F"/>
    <w:rsid w:val="432C25D0"/>
    <w:rsid w:val="433D01B8"/>
    <w:rsid w:val="437C31A9"/>
    <w:rsid w:val="439053BF"/>
    <w:rsid w:val="43B332A3"/>
    <w:rsid w:val="43FE4ED0"/>
    <w:rsid w:val="44256C1E"/>
    <w:rsid w:val="449A676A"/>
    <w:rsid w:val="44E11CA1"/>
    <w:rsid w:val="45EB6C9E"/>
    <w:rsid w:val="46310F82"/>
    <w:rsid w:val="46511915"/>
    <w:rsid w:val="467724C8"/>
    <w:rsid w:val="46786E09"/>
    <w:rsid w:val="46797D99"/>
    <w:rsid w:val="46B57423"/>
    <w:rsid w:val="479950B2"/>
    <w:rsid w:val="47E11257"/>
    <w:rsid w:val="48421019"/>
    <w:rsid w:val="48EB1A72"/>
    <w:rsid w:val="48F107ED"/>
    <w:rsid w:val="492B4BCB"/>
    <w:rsid w:val="495A3E4E"/>
    <w:rsid w:val="497B0088"/>
    <w:rsid w:val="49C270BC"/>
    <w:rsid w:val="49CD1610"/>
    <w:rsid w:val="49E10F2E"/>
    <w:rsid w:val="4A1B4DE5"/>
    <w:rsid w:val="4A320146"/>
    <w:rsid w:val="4A752429"/>
    <w:rsid w:val="4AA7138D"/>
    <w:rsid w:val="4AD14255"/>
    <w:rsid w:val="4B9A23EC"/>
    <w:rsid w:val="4BA25BD4"/>
    <w:rsid w:val="4BE05AB0"/>
    <w:rsid w:val="4C210756"/>
    <w:rsid w:val="4C5C46D0"/>
    <w:rsid w:val="4C5F69BE"/>
    <w:rsid w:val="4D0D044E"/>
    <w:rsid w:val="4D66111A"/>
    <w:rsid w:val="4D667EBB"/>
    <w:rsid w:val="4DB12904"/>
    <w:rsid w:val="4DF1629F"/>
    <w:rsid w:val="4DFD468B"/>
    <w:rsid w:val="4E2435AE"/>
    <w:rsid w:val="4E4928AB"/>
    <w:rsid w:val="4E655932"/>
    <w:rsid w:val="4E712126"/>
    <w:rsid w:val="4E7C128F"/>
    <w:rsid w:val="4EA34867"/>
    <w:rsid w:val="4EB41585"/>
    <w:rsid w:val="4EBA5F34"/>
    <w:rsid w:val="4ECF0828"/>
    <w:rsid w:val="4F5E238E"/>
    <w:rsid w:val="4F80373E"/>
    <w:rsid w:val="4F984940"/>
    <w:rsid w:val="4FA32FA8"/>
    <w:rsid w:val="4FA441AD"/>
    <w:rsid w:val="4FB06EA0"/>
    <w:rsid w:val="4FDD7637"/>
    <w:rsid w:val="50116CDC"/>
    <w:rsid w:val="501810FA"/>
    <w:rsid w:val="505517A1"/>
    <w:rsid w:val="50A815AA"/>
    <w:rsid w:val="50E266C8"/>
    <w:rsid w:val="50FF6181"/>
    <w:rsid w:val="511339CB"/>
    <w:rsid w:val="511D1FFB"/>
    <w:rsid w:val="514313F9"/>
    <w:rsid w:val="514C4D48"/>
    <w:rsid w:val="514F601C"/>
    <w:rsid w:val="51791B06"/>
    <w:rsid w:val="51D75162"/>
    <w:rsid w:val="521528CF"/>
    <w:rsid w:val="52272ECC"/>
    <w:rsid w:val="522A6043"/>
    <w:rsid w:val="52861DD8"/>
    <w:rsid w:val="52E21EAE"/>
    <w:rsid w:val="537539AD"/>
    <w:rsid w:val="538E1DF6"/>
    <w:rsid w:val="539969BF"/>
    <w:rsid w:val="53AF1889"/>
    <w:rsid w:val="53B15D1A"/>
    <w:rsid w:val="53CF04B5"/>
    <w:rsid w:val="53E57169"/>
    <w:rsid w:val="54027684"/>
    <w:rsid w:val="54185775"/>
    <w:rsid w:val="5428726A"/>
    <w:rsid w:val="544E0014"/>
    <w:rsid w:val="547232DC"/>
    <w:rsid w:val="54A61BE2"/>
    <w:rsid w:val="54A80F5D"/>
    <w:rsid w:val="54B71444"/>
    <w:rsid w:val="54FB0C34"/>
    <w:rsid w:val="55141D0D"/>
    <w:rsid w:val="552306C1"/>
    <w:rsid w:val="55235DDE"/>
    <w:rsid w:val="55363F22"/>
    <w:rsid w:val="5612184C"/>
    <w:rsid w:val="561B53BB"/>
    <w:rsid w:val="563F3492"/>
    <w:rsid w:val="565F2642"/>
    <w:rsid w:val="567A6972"/>
    <w:rsid w:val="569A2222"/>
    <w:rsid w:val="56B81C94"/>
    <w:rsid w:val="56F15A85"/>
    <w:rsid w:val="56FE7FF9"/>
    <w:rsid w:val="5726027C"/>
    <w:rsid w:val="57FBABA8"/>
    <w:rsid w:val="58551DE6"/>
    <w:rsid w:val="58B838E3"/>
    <w:rsid w:val="58C2107C"/>
    <w:rsid w:val="58FA4543"/>
    <w:rsid w:val="59112E19"/>
    <w:rsid w:val="59235E80"/>
    <w:rsid w:val="5926108A"/>
    <w:rsid w:val="5A0870BF"/>
    <w:rsid w:val="5A0C2BEE"/>
    <w:rsid w:val="5A4C688F"/>
    <w:rsid w:val="5A7B0575"/>
    <w:rsid w:val="5AC52D2E"/>
    <w:rsid w:val="5AD61054"/>
    <w:rsid w:val="5ADB44D2"/>
    <w:rsid w:val="5AE11CD8"/>
    <w:rsid w:val="5AF15C3A"/>
    <w:rsid w:val="5AF25824"/>
    <w:rsid w:val="5AFFD579"/>
    <w:rsid w:val="5B213F27"/>
    <w:rsid w:val="5B627E37"/>
    <w:rsid w:val="5B8007BA"/>
    <w:rsid w:val="5B84017C"/>
    <w:rsid w:val="5BC02B30"/>
    <w:rsid w:val="5C6373E6"/>
    <w:rsid w:val="5C8E6E2C"/>
    <w:rsid w:val="5CAA61DF"/>
    <w:rsid w:val="5CD859C5"/>
    <w:rsid w:val="5CE4750E"/>
    <w:rsid w:val="5D07068A"/>
    <w:rsid w:val="5D114823"/>
    <w:rsid w:val="5D5D23B8"/>
    <w:rsid w:val="5D7F6A91"/>
    <w:rsid w:val="5D8E2889"/>
    <w:rsid w:val="5E1C5D82"/>
    <w:rsid w:val="5E31376A"/>
    <w:rsid w:val="5E396789"/>
    <w:rsid w:val="5E4B7708"/>
    <w:rsid w:val="5E5F1797"/>
    <w:rsid w:val="5E816106"/>
    <w:rsid w:val="5E9F690C"/>
    <w:rsid w:val="5EAE64A1"/>
    <w:rsid w:val="5F3A2426"/>
    <w:rsid w:val="5F8B324B"/>
    <w:rsid w:val="5F8B3B99"/>
    <w:rsid w:val="5FD94EF3"/>
    <w:rsid w:val="601F7145"/>
    <w:rsid w:val="6039127F"/>
    <w:rsid w:val="60521B72"/>
    <w:rsid w:val="60830FDC"/>
    <w:rsid w:val="60A06DE4"/>
    <w:rsid w:val="60DC56FD"/>
    <w:rsid w:val="61FF2F6F"/>
    <w:rsid w:val="62131DE4"/>
    <w:rsid w:val="62834ADA"/>
    <w:rsid w:val="62B05BCA"/>
    <w:rsid w:val="62BC751D"/>
    <w:rsid w:val="62D423E8"/>
    <w:rsid w:val="62D82970"/>
    <w:rsid w:val="62DB6DD0"/>
    <w:rsid w:val="634549EB"/>
    <w:rsid w:val="634C6FF0"/>
    <w:rsid w:val="63866C92"/>
    <w:rsid w:val="63B125DC"/>
    <w:rsid w:val="63BD7971"/>
    <w:rsid w:val="63D42141"/>
    <w:rsid w:val="643F1745"/>
    <w:rsid w:val="644649C9"/>
    <w:rsid w:val="64473CC0"/>
    <w:rsid w:val="64B4455A"/>
    <w:rsid w:val="64D362DC"/>
    <w:rsid w:val="650E6742"/>
    <w:rsid w:val="651816DC"/>
    <w:rsid w:val="65573340"/>
    <w:rsid w:val="659063C1"/>
    <w:rsid w:val="65986C95"/>
    <w:rsid w:val="66077455"/>
    <w:rsid w:val="66775DFB"/>
    <w:rsid w:val="67222077"/>
    <w:rsid w:val="675734D7"/>
    <w:rsid w:val="676169F1"/>
    <w:rsid w:val="67E823F5"/>
    <w:rsid w:val="67EC304F"/>
    <w:rsid w:val="67F72E6A"/>
    <w:rsid w:val="68202525"/>
    <w:rsid w:val="68BF034E"/>
    <w:rsid w:val="68C0717E"/>
    <w:rsid w:val="68C15E0C"/>
    <w:rsid w:val="68E21662"/>
    <w:rsid w:val="68E42E20"/>
    <w:rsid w:val="68F12E48"/>
    <w:rsid w:val="68F7077C"/>
    <w:rsid w:val="69491D1E"/>
    <w:rsid w:val="696617FA"/>
    <w:rsid w:val="69A2641E"/>
    <w:rsid w:val="69AA4D90"/>
    <w:rsid w:val="69AC74A0"/>
    <w:rsid w:val="6A2E2168"/>
    <w:rsid w:val="6A3D1BA3"/>
    <w:rsid w:val="6A45737E"/>
    <w:rsid w:val="6A4C5DB9"/>
    <w:rsid w:val="6A6041AD"/>
    <w:rsid w:val="6A7D3DD9"/>
    <w:rsid w:val="6AA23F8D"/>
    <w:rsid w:val="6ABD34A9"/>
    <w:rsid w:val="6ADEEC18"/>
    <w:rsid w:val="6ADF5698"/>
    <w:rsid w:val="6C0B7A41"/>
    <w:rsid w:val="6C0E3462"/>
    <w:rsid w:val="6CAC0F8E"/>
    <w:rsid w:val="6CC15627"/>
    <w:rsid w:val="6DB40152"/>
    <w:rsid w:val="6DBB012F"/>
    <w:rsid w:val="6DE30D6C"/>
    <w:rsid w:val="6E591FDD"/>
    <w:rsid w:val="6E5E7046"/>
    <w:rsid w:val="6EE42AE0"/>
    <w:rsid w:val="6F151604"/>
    <w:rsid w:val="6F1852F1"/>
    <w:rsid w:val="6F3E176C"/>
    <w:rsid w:val="6F757425"/>
    <w:rsid w:val="6FA271AD"/>
    <w:rsid w:val="6FBE5DAA"/>
    <w:rsid w:val="700001B4"/>
    <w:rsid w:val="70191E35"/>
    <w:rsid w:val="70300228"/>
    <w:rsid w:val="704D3CAE"/>
    <w:rsid w:val="70EB3348"/>
    <w:rsid w:val="71326BD7"/>
    <w:rsid w:val="714C50E6"/>
    <w:rsid w:val="71742DF2"/>
    <w:rsid w:val="71C369A1"/>
    <w:rsid w:val="71C8448F"/>
    <w:rsid w:val="71E71028"/>
    <w:rsid w:val="71F37C18"/>
    <w:rsid w:val="723C71DD"/>
    <w:rsid w:val="7240245D"/>
    <w:rsid w:val="724B54C8"/>
    <w:rsid w:val="72AF1475"/>
    <w:rsid w:val="72D8588A"/>
    <w:rsid w:val="72ED28A7"/>
    <w:rsid w:val="735B669E"/>
    <w:rsid w:val="73A41D69"/>
    <w:rsid w:val="73EC7EFE"/>
    <w:rsid w:val="74914886"/>
    <w:rsid w:val="758076D9"/>
    <w:rsid w:val="75883599"/>
    <w:rsid w:val="75EF600F"/>
    <w:rsid w:val="75F865D8"/>
    <w:rsid w:val="76A56583"/>
    <w:rsid w:val="76A62F59"/>
    <w:rsid w:val="76FF5C9A"/>
    <w:rsid w:val="770F63F8"/>
    <w:rsid w:val="77135145"/>
    <w:rsid w:val="77320E8A"/>
    <w:rsid w:val="773A3765"/>
    <w:rsid w:val="77951F7C"/>
    <w:rsid w:val="78172A0B"/>
    <w:rsid w:val="78675B4B"/>
    <w:rsid w:val="78A71D84"/>
    <w:rsid w:val="78CE4383"/>
    <w:rsid w:val="79054AA0"/>
    <w:rsid w:val="799E52A4"/>
    <w:rsid w:val="7A234F92"/>
    <w:rsid w:val="7A2877D3"/>
    <w:rsid w:val="7A5A25AD"/>
    <w:rsid w:val="7AB6687B"/>
    <w:rsid w:val="7AB83B51"/>
    <w:rsid w:val="7ACA3E00"/>
    <w:rsid w:val="7AD006E5"/>
    <w:rsid w:val="7BCE793E"/>
    <w:rsid w:val="7BDE7EB2"/>
    <w:rsid w:val="7BEB7061"/>
    <w:rsid w:val="7C7926FB"/>
    <w:rsid w:val="7CC1007F"/>
    <w:rsid w:val="7CF24C2C"/>
    <w:rsid w:val="7D2923D8"/>
    <w:rsid w:val="7DAF08B4"/>
    <w:rsid w:val="7DC43730"/>
    <w:rsid w:val="7E221CC8"/>
    <w:rsid w:val="7E2B4203"/>
    <w:rsid w:val="7E4D2FF0"/>
    <w:rsid w:val="7E6B29F6"/>
    <w:rsid w:val="7ED72B3E"/>
    <w:rsid w:val="7EE6028B"/>
    <w:rsid w:val="7F70618F"/>
    <w:rsid w:val="7FC14EB2"/>
    <w:rsid w:val="7FDB79EE"/>
    <w:rsid w:val="7FEF0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E491D28"/>
  <w15:docId w15:val="{1FA2DF09-2371-A04B-9010-65C3E0E1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2"/>
    <w:next w:val="a"/>
    <w:link w:val="10"/>
    <w:uiPriority w:val="9"/>
    <w:qFormat/>
    <w:pPr>
      <w:outlineLvl w:val="0"/>
    </w:pPr>
    <w:rPr>
      <w:sz w:val="44"/>
    </w:rPr>
  </w:style>
  <w:style w:type="paragraph" w:styleId="2">
    <w:name w:val="heading 2"/>
    <w:basedOn w:val="3"/>
    <w:next w:val="a"/>
    <w:link w:val="20"/>
    <w:qFormat/>
    <w:pPr>
      <w:outlineLvl w:val="1"/>
    </w:pPr>
  </w:style>
  <w:style w:type="paragraph" w:styleId="3">
    <w:name w:val="heading 3"/>
    <w:basedOn w:val="TOC2"/>
    <w:next w:val="a"/>
    <w:link w:val="30"/>
    <w:qFormat/>
    <w:pPr>
      <w:ind w:leftChars="0" w:left="0" w:firstLineChars="200" w:firstLine="600"/>
      <w:jc w:val="left"/>
      <w:outlineLvl w:val="2"/>
    </w:pPr>
    <w:rPr>
      <w:rFonts w:ascii="黑体" w:eastAsia="黑体" w:hAnsi="黑体"/>
      <w:smallCap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uiPriority w:val="39"/>
    <w:unhideWhenUsed/>
    <w:qFormat/>
    <w:pPr>
      <w:ind w:leftChars="200" w:left="420"/>
    </w:pPr>
  </w:style>
  <w:style w:type="paragraph" w:styleId="a3">
    <w:name w:val="annotation text"/>
    <w:basedOn w:val="a"/>
    <w:semiHidden/>
    <w:qFormat/>
    <w:pPr>
      <w:jc w:val="left"/>
    </w:pPr>
  </w:style>
  <w:style w:type="paragraph" w:styleId="a4">
    <w:name w:val="Body Text"/>
    <w:basedOn w:val="a"/>
    <w:link w:val="a5"/>
    <w:uiPriority w:val="99"/>
    <w:unhideWhenUsed/>
    <w:qFormat/>
    <w:pPr>
      <w:spacing w:after="120"/>
    </w:pPr>
  </w:style>
  <w:style w:type="paragraph" w:styleId="21">
    <w:name w:val="Body Text Indent 2"/>
    <w:basedOn w:val="a"/>
    <w:qFormat/>
    <w:pPr>
      <w:spacing w:line="480" w:lineRule="exact"/>
      <w:ind w:firstLineChars="200" w:firstLine="560"/>
    </w:pPr>
    <w:rPr>
      <w:rFonts w:ascii="仿宋_GB2312" w:eastAsia="仿宋_GB2312"/>
      <w:sz w:val="28"/>
    </w:rPr>
  </w:style>
  <w:style w:type="paragraph" w:styleId="a6">
    <w:name w:val="Balloon Text"/>
    <w:basedOn w:val="a"/>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31">
    <w:name w:val="Body Text Indent 3"/>
    <w:basedOn w:val="a"/>
    <w:qFormat/>
    <w:pPr>
      <w:spacing w:after="120"/>
      <w:ind w:leftChars="200" w:left="420"/>
    </w:pPr>
    <w:rPr>
      <w:sz w:val="16"/>
      <w:szCs w:val="16"/>
    </w:rPr>
  </w:style>
  <w:style w:type="paragraph" w:styleId="ab">
    <w:name w:val="Title"/>
    <w:basedOn w:val="a4"/>
    <w:next w:val="a"/>
    <w:link w:val="ac"/>
    <w:qFormat/>
    <w:pPr>
      <w:jc w:val="center"/>
    </w:pPr>
    <w:rPr>
      <w:rFonts w:ascii="仿宋_GB2312" w:eastAsia="仿宋_GB2312" w:hAnsi="仿宋"/>
    </w:rPr>
  </w:style>
  <w:style w:type="paragraph" w:styleId="ad">
    <w:name w:val="annotation subject"/>
    <w:basedOn w:val="a3"/>
    <w:next w:val="a3"/>
    <w:semiHidden/>
    <w:qFormat/>
    <w:rPr>
      <w:b/>
      <w:bCs/>
    </w:rPr>
  </w:style>
  <w:style w:type="character" w:styleId="ae">
    <w:name w:val="page number"/>
    <w:qFormat/>
  </w:style>
  <w:style w:type="character" w:styleId="af">
    <w:name w:val="annotation reference"/>
    <w:semiHidden/>
    <w:qFormat/>
    <w:rPr>
      <w:sz w:val="21"/>
      <w:szCs w:val="21"/>
    </w:rPr>
  </w:style>
  <w:style w:type="character" w:customStyle="1" w:styleId="aa">
    <w:name w:val="页眉 字符"/>
    <w:link w:val="a9"/>
    <w:uiPriority w:val="99"/>
    <w:qFormat/>
    <w:rPr>
      <w:kern w:val="2"/>
      <w:sz w:val="18"/>
      <w:szCs w:val="18"/>
    </w:rPr>
  </w:style>
  <w:style w:type="character" w:customStyle="1" w:styleId="longtext">
    <w:name w:val="long_text"/>
    <w:qFormat/>
  </w:style>
  <w:style w:type="character" w:customStyle="1" w:styleId="ac">
    <w:name w:val="标题 字符"/>
    <w:link w:val="ab"/>
    <w:qFormat/>
    <w:rPr>
      <w:rFonts w:ascii="仿宋_GB2312" w:eastAsia="仿宋_GB2312" w:hAnsi="仿宋"/>
      <w:kern w:val="2"/>
      <w:sz w:val="21"/>
      <w:szCs w:val="24"/>
    </w:rPr>
  </w:style>
  <w:style w:type="character" w:customStyle="1" w:styleId="a5">
    <w:name w:val="正文文本 字符"/>
    <w:link w:val="a4"/>
    <w:uiPriority w:val="99"/>
    <w:semiHidden/>
    <w:qFormat/>
    <w:rPr>
      <w:kern w:val="2"/>
      <w:sz w:val="21"/>
      <w:szCs w:val="24"/>
    </w:rPr>
  </w:style>
  <w:style w:type="character" w:customStyle="1" w:styleId="20">
    <w:name w:val="标题 2 字符"/>
    <w:link w:val="2"/>
    <w:qFormat/>
    <w:rPr>
      <w:rFonts w:ascii="黑体" w:eastAsia="黑体" w:hAnsi="黑体"/>
      <w:smallCaps/>
      <w:kern w:val="2"/>
      <w:sz w:val="30"/>
      <w:szCs w:val="30"/>
    </w:rPr>
  </w:style>
  <w:style w:type="character" w:customStyle="1" w:styleId="10">
    <w:name w:val="标题 1 字符"/>
    <w:link w:val="1"/>
    <w:uiPriority w:val="9"/>
    <w:qFormat/>
    <w:rPr>
      <w:rFonts w:ascii="黑体" w:eastAsia="黑体" w:hAnsi="黑体"/>
      <w:bCs/>
      <w:caps/>
      <w:kern w:val="2"/>
      <w:sz w:val="44"/>
      <w:szCs w:val="32"/>
    </w:rPr>
  </w:style>
  <w:style w:type="character" w:customStyle="1" w:styleId="30">
    <w:name w:val="标题 3 字符"/>
    <w:link w:val="3"/>
    <w:qFormat/>
    <w:rPr>
      <w:rFonts w:ascii="黑体" w:eastAsia="黑体" w:hAnsi="黑体"/>
      <w:smallCaps/>
      <w:kern w:val="2"/>
      <w:sz w:val="30"/>
      <w:szCs w:val="30"/>
    </w:rPr>
  </w:style>
  <w:style w:type="character" w:customStyle="1" w:styleId="a8">
    <w:name w:val="页脚 字符"/>
    <w:basedOn w:val="a0"/>
    <w:link w:val="a7"/>
    <w:uiPriority w:val="99"/>
    <w:qFormat/>
    <w:rPr>
      <w:kern w:val="2"/>
      <w:sz w:val="18"/>
      <w:szCs w:val="18"/>
    </w:rPr>
  </w:style>
  <w:style w:type="paragraph" w:customStyle="1" w:styleId="11">
    <w:name w:val="修订1"/>
    <w:hidden/>
    <w:uiPriority w:val="99"/>
    <w:semiHidden/>
    <w:qFormat/>
    <w:rPr>
      <w:kern w:val="2"/>
      <w:sz w:val="21"/>
      <w:szCs w:val="24"/>
    </w:rPr>
  </w:style>
  <w:style w:type="paragraph" w:customStyle="1" w:styleId="22">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1021</Words>
  <Characters>5820</Characters>
  <Application>Microsoft Office Word</Application>
  <DocSecurity>0</DocSecurity>
  <Lines>48</Lines>
  <Paragraphs>13</Paragraphs>
  <ScaleCrop>false</ScaleCrop>
  <Company>boc</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第四章 信用风险资本计量</dc:title>
  <dc:creator>项目管理/新协议办/风险管理总部/总行/BOC</dc:creator>
  <cp:lastModifiedBy>梁爽</cp:lastModifiedBy>
  <cp:revision>168</cp:revision>
  <dcterms:created xsi:type="dcterms:W3CDTF">2023-02-18T15:08:00Z</dcterms:created>
  <dcterms:modified xsi:type="dcterms:W3CDTF">2023-10-31T11:21:00Z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B04412F428DF45398FFF6793CF7E59A6_13</vt:lpwstr>
  </property>
</Properties>
</file>