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98D2A" w14:textId="416A9C0C" w:rsidR="00D0501A" w:rsidRDefault="00880B69" w:rsidP="00323278">
      <w:pPr>
        <w:pStyle w:val="ac"/>
        <w:spacing w:line="600" w:lineRule="exact"/>
        <w:jc w:val="left"/>
        <w:rPr>
          <w:rFonts w:ascii="黑体" w:eastAsia="黑体" w:hAnsi="黑体" w:cs="黑体"/>
          <w:sz w:val="32"/>
          <w:szCs w:val="30"/>
        </w:rPr>
      </w:pPr>
      <w:r w:rsidRPr="00323278">
        <w:rPr>
          <w:rFonts w:ascii="黑体" w:eastAsia="黑体" w:hAnsi="黑体" w:cs="黑体" w:hint="eastAsia"/>
          <w:sz w:val="32"/>
          <w:szCs w:val="30"/>
        </w:rPr>
        <w:t>附件</w:t>
      </w:r>
      <w:r w:rsidRPr="00323278">
        <w:rPr>
          <w:rFonts w:ascii="黑体" w:eastAsia="黑体" w:hAnsi="黑体" w:cs="黑体"/>
          <w:sz w:val="32"/>
          <w:szCs w:val="30"/>
        </w:rPr>
        <w:t>6</w:t>
      </w:r>
    </w:p>
    <w:p w14:paraId="16097567" w14:textId="31F15B91" w:rsidR="00D0501A" w:rsidRPr="00323278" w:rsidRDefault="00D0501A" w:rsidP="00323278">
      <w:pPr>
        <w:pStyle w:val="ac"/>
        <w:spacing w:line="600" w:lineRule="exact"/>
        <w:jc w:val="left"/>
        <w:rPr>
          <w:rFonts w:ascii="黑体" w:eastAsia="黑体" w:hAnsi="黑体" w:cs="黑体"/>
          <w:sz w:val="32"/>
          <w:szCs w:val="30"/>
        </w:rPr>
      </w:pPr>
    </w:p>
    <w:p w14:paraId="03E9AE8A" w14:textId="77777777" w:rsidR="00D0501A" w:rsidRDefault="00880B69" w:rsidP="00323278">
      <w:pPr>
        <w:pStyle w:val="1"/>
        <w:spacing w:line="60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信用风险内部评级法风险加权资产计量规则</w:t>
      </w:r>
    </w:p>
    <w:p w14:paraId="36D98780" w14:textId="77777777" w:rsidR="00D0501A" w:rsidRDefault="00D0501A" w:rsidP="00323278">
      <w:pPr>
        <w:spacing w:line="600" w:lineRule="exact"/>
        <w:ind w:firstLine="600"/>
        <w:rPr>
          <w:rFonts w:ascii="黑体" w:eastAsia="黑体"/>
          <w:bCs/>
          <w:sz w:val="30"/>
          <w:szCs w:val="30"/>
        </w:rPr>
      </w:pPr>
    </w:p>
    <w:p w14:paraId="52300926" w14:textId="77777777" w:rsidR="00D0501A" w:rsidRDefault="00880B69">
      <w:pPr>
        <w:spacing w:line="480" w:lineRule="exact"/>
        <w:ind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商业银行采用内部评级法的，应当按照以下规则计量主权、金融机构、公司和零售风险暴露的信用风险加权资产。</w:t>
      </w:r>
    </w:p>
    <w:p w14:paraId="17DBD3DE" w14:textId="77777777" w:rsidR="00D0501A" w:rsidRDefault="00880B69">
      <w:pPr>
        <w:pStyle w:val="2"/>
      </w:pPr>
      <w:r>
        <w:rPr>
          <w:rFonts w:hint="eastAsia"/>
        </w:rPr>
        <w:t>一、未违约风险暴露的风险加权资产的计量</w:t>
      </w:r>
    </w:p>
    <w:p w14:paraId="675BB60D" w14:textId="77777777" w:rsidR="00D0501A" w:rsidRDefault="00880B6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（一）计算信用风险暴露的相关性</w:t>
      </w:r>
      <w:r>
        <w:rPr>
          <w:rFonts w:ascii="楷体_GB2312" w:eastAsia="楷体_GB2312"/>
          <w:sz w:val="30"/>
          <w:szCs w:val="30"/>
        </w:rPr>
        <w:t>（</w:t>
      </w:r>
      <w:r>
        <w:rPr>
          <w:rFonts w:ascii="楷体_GB2312" w:eastAsia="楷体_GB2312"/>
          <w:sz w:val="30"/>
          <w:szCs w:val="30"/>
        </w:rPr>
        <w:t>R</w:t>
      </w:r>
      <w:r>
        <w:rPr>
          <w:rFonts w:ascii="楷体_GB2312" w:eastAsia="楷体_GB2312"/>
          <w:sz w:val="30"/>
          <w:szCs w:val="30"/>
        </w:rPr>
        <w:t>）</w:t>
      </w:r>
    </w:p>
    <w:p w14:paraId="4463F8B9" w14:textId="13529009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主权风险暴露、专业贷款、一般公司风险暴露</w:t>
      </w:r>
    </w:p>
    <w:p w14:paraId="4A49AF8B" w14:textId="77777777" w:rsidR="00D0501A" w:rsidRDefault="00880B69">
      <w:pPr>
        <w:spacing w:line="720" w:lineRule="atLeas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noProof/>
          <w:position w:val="-60"/>
          <w:sz w:val="36"/>
          <w:szCs w:val="36"/>
        </w:rPr>
        <w:object w:dxaOrig="5643" w:dyaOrig="1323" w14:anchorId="71020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alt="" style="width:282pt;height:66pt;mso-width-percent:0;mso-height-percent:0;mso-width-percent:0;mso-height-percent:0" o:ole="">
            <v:imagedata r:id="rId7" o:title=""/>
          </v:shape>
          <o:OLEObject Type="Embed" ProgID="Equation.3" ShapeID="_x0000_i1032" DrawAspect="Content" ObjectID="_1760290781" r:id="rId8"/>
        </w:object>
      </w:r>
    </w:p>
    <w:p w14:paraId="07E03547" w14:textId="616C723F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金融机构风险暴露</w:t>
      </w:r>
    </w:p>
    <w:p w14:paraId="3F6886BC" w14:textId="77777777" w:rsidR="00D0501A" w:rsidRDefault="00880B69">
      <w:pPr>
        <w:spacing w:line="960" w:lineRule="atLeast"/>
        <w:ind w:firstLineChars="200" w:firstLine="600"/>
        <w:rPr>
          <w:rFonts w:ascii="仿宋_GB2312" w:eastAsia="仿宋_GB2312"/>
          <w:sz w:val="30"/>
          <w:szCs w:val="30"/>
          <w:lang w:val="pt-BR"/>
        </w:rPr>
      </w:pPr>
      <w:r>
        <w:rPr>
          <w:rFonts w:ascii="仿宋_GB2312" w:eastAsia="仿宋_GB2312"/>
          <w:noProof/>
          <w:position w:val="-62"/>
          <w:sz w:val="30"/>
          <w:szCs w:val="30"/>
          <w:lang w:val="pt-BR"/>
        </w:rPr>
        <w:object w:dxaOrig="6597" w:dyaOrig="1356" w14:anchorId="5271C07B">
          <v:shape id="_x0000_i1031" type="#_x0000_t75" alt="" style="width:330pt;height:68pt;mso-width-percent:0;mso-height-percent:0;mso-width-percent:0;mso-height-percent:0" o:ole="">
            <v:imagedata r:id="rId9" o:title=""/>
          </v:shape>
          <o:OLEObject Type="Embed" ProgID="Equation.3" ShapeID="_x0000_i1031" DrawAspect="Content" ObjectID="_1760290782" r:id="rId10"/>
        </w:object>
      </w:r>
    </w:p>
    <w:p w14:paraId="2805BF01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其中，除全球系统重要性银行、我国系统重要性银行、其他国家或地区系统重要性银行之外的银行类金融机构风险暴露：</w:t>
      </w:r>
    </w:p>
    <w:p w14:paraId="7F7D41A2" w14:textId="77777777" w:rsidR="00D0501A" w:rsidRDefault="00880B69">
      <w:pPr>
        <w:spacing w:line="720" w:lineRule="atLeast"/>
        <w:ind w:firstLineChars="200" w:firstLine="720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/>
          <w:noProof/>
          <w:position w:val="-60"/>
          <w:sz w:val="36"/>
          <w:szCs w:val="36"/>
        </w:rPr>
        <w:object w:dxaOrig="5827" w:dyaOrig="1323" w14:anchorId="10940A7A">
          <v:shape id="_x0000_i1030" type="#_x0000_t75" alt="" style="width:291.35pt;height:66pt;mso-width-percent:0;mso-height-percent:0;mso-width-percent:0;mso-height-percent:0" o:ole="">
            <v:imagedata r:id="rId11" o:title=""/>
          </v:shape>
          <o:OLEObject Type="Embed" ProgID="Equation.3" ShapeID="_x0000_i1030" DrawAspect="Content" ObjectID="_1760290783" r:id="rId12"/>
        </w:object>
      </w:r>
    </w:p>
    <w:p w14:paraId="034BCD81" w14:textId="1867D7F2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</w:t>
      </w:r>
      <w:r>
        <w:rPr>
          <w:rFonts w:ascii="仿宋_GB2312" w:eastAsia="仿宋_GB2312" w:hint="eastAsia"/>
          <w:sz w:val="30"/>
          <w:szCs w:val="30"/>
        </w:rPr>
        <w:t>中小企业风险暴露</w:t>
      </w:r>
    </w:p>
    <w:p w14:paraId="0E1785D7" w14:textId="77777777" w:rsidR="00D0501A" w:rsidRDefault="00880B69">
      <w:pPr>
        <w:spacing w:line="64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position w:val="-58"/>
          <w:sz w:val="30"/>
          <w:szCs w:val="30"/>
        </w:rPr>
        <w:object w:dxaOrig="6949" w:dyaOrig="1289" w14:anchorId="52F37C4D">
          <v:shape id="_x0000_i1029" type="#_x0000_t75" alt="" style="width:347.35pt;height:64.65pt;mso-width-percent:0;mso-height-percent:0;mso-width-percent:0;mso-height-percent:0" o:ole="">
            <v:imagedata r:id="rId13" o:title=""/>
          </v:shape>
          <o:OLEObject Type="Embed" ProgID="Equation.3" ShapeID="_x0000_i1029" DrawAspect="Content" ObjectID="_1760290784" r:id="rId14"/>
        </w:object>
      </w:r>
    </w:p>
    <w:p w14:paraId="37763085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S</w:t>
      </w:r>
      <w:r>
        <w:rPr>
          <w:rFonts w:ascii="仿宋_GB2312" w:eastAsia="仿宋_GB2312" w:hint="eastAsia"/>
          <w:sz w:val="30"/>
          <w:szCs w:val="30"/>
        </w:rPr>
        <w:t>为中小企业近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年营业收入的算术平均值（单位为千万元人民币），低于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千万元人民币的按照</w:t>
      </w:r>
      <w:r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千万元人民币来处理。</w:t>
      </w:r>
    </w:p>
    <w:p w14:paraId="4C303DA0" w14:textId="62D41875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4.</w:t>
      </w:r>
      <w:r>
        <w:rPr>
          <w:rFonts w:ascii="仿宋_GB2312" w:eastAsia="仿宋_GB2312" w:hint="eastAsia"/>
          <w:sz w:val="30"/>
          <w:szCs w:val="30"/>
        </w:rPr>
        <w:t>零售风险暴露</w:t>
      </w:r>
    </w:p>
    <w:p w14:paraId="71B8FEC2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个人住房抵押贷款，</w:t>
      </w:r>
      <w:r>
        <w:rPr>
          <w:rFonts w:ascii="仿宋_GB2312" w:eastAsia="仿宋_GB2312" w:hint="eastAsia"/>
          <w:sz w:val="30"/>
          <w:szCs w:val="30"/>
        </w:rPr>
        <w:t>R</w:t>
      </w:r>
      <w:r>
        <w:rPr>
          <w:rFonts w:ascii="仿宋_GB2312" w:eastAsia="仿宋_GB2312" w:hint="eastAsia"/>
          <w:sz w:val="30"/>
          <w:szCs w:val="30"/>
          <w:vertAlign w:val="subscript"/>
        </w:rPr>
        <w:t>r1</w:t>
      </w:r>
      <w:r>
        <w:rPr>
          <w:rFonts w:ascii="仿宋_GB2312" w:eastAsia="仿宋_GB2312" w:hint="eastAsia"/>
          <w:sz w:val="30"/>
          <w:szCs w:val="30"/>
        </w:rPr>
        <w:t>=0.15</w:t>
      </w:r>
    </w:p>
    <w:p w14:paraId="61125E4C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合格循环零售风险暴露，</w:t>
      </w:r>
      <w:r>
        <w:rPr>
          <w:rFonts w:ascii="仿宋_GB2312" w:eastAsia="仿宋_GB2312" w:hint="eastAsia"/>
          <w:sz w:val="30"/>
          <w:szCs w:val="30"/>
        </w:rPr>
        <w:t>R</w:t>
      </w:r>
      <w:r>
        <w:rPr>
          <w:rFonts w:ascii="仿宋_GB2312" w:eastAsia="仿宋_GB2312" w:hint="eastAsia"/>
          <w:sz w:val="30"/>
          <w:szCs w:val="30"/>
          <w:vertAlign w:val="subscript"/>
        </w:rPr>
        <w:t>r2</w:t>
      </w:r>
      <w:r>
        <w:rPr>
          <w:rFonts w:ascii="仿宋_GB2312" w:eastAsia="仿宋_GB2312" w:hint="eastAsia"/>
          <w:sz w:val="30"/>
          <w:szCs w:val="30"/>
        </w:rPr>
        <w:t>＝</w:t>
      </w:r>
      <w:r>
        <w:rPr>
          <w:rFonts w:ascii="仿宋_GB2312" w:eastAsia="仿宋_GB2312" w:hint="eastAsia"/>
          <w:sz w:val="30"/>
          <w:szCs w:val="30"/>
        </w:rPr>
        <w:t>0.04</w:t>
      </w:r>
    </w:p>
    <w:p w14:paraId="18B87356" w14:textId="77777777" w:rsidR="00D0501A" w:rsidRDefault="00880B69">
      <w:pPr>
        <w:spacing w:line="480" w:lineRule="exact"/>
        <w:ind w:firstLineChars="200" w:firstLine="600"/>
        <w:rPr>
          <w:rFonts w:ascii="Calibri" w:eastAsia="仿宋_GB2312" w:hAnsi="Calibri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其他零售风险暴露，</w:t>
      </w:r>
    </w:p>
    <w:p w14:paraId="772D6907" w14:textId="77777777" w:rsidR="00D0501A" w:rsidRDefault="00880B69">
      <w:pPr>
        <w:spacing w:line="24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position w:val="-58"/>
          <w:sz w:val="30"/>
          <w:szCs w:val="30"/>
        </w:rPr>
        <w:object w:dxaOrig="4655" w:dyaOrig="1289" w14:anchorId="78C01840">
          <v:shape id="_x0000_i1028" type="#_x0000_t75" alt="" style="width:232.65pt;height:64.65pt;mso-width-percent:0;mso-height-percent:0;mso-width-percent:0;mso-height-percent:0" o:ole="">
            <v:imagedata r:id="rId15" o:title=""/>
          </v:shape>
          <o:OLEObject Type="Embed" ProgID="Equation.3" ShapeID="_x0000_i1028" DrawAspect="Content" ObjectID="_1760290785" r:id="rId16"/>
        </w:object>
      </w:r>
    </w:p>
    <w:p w14:paraId="242339FD" w14:textId="77777777" w:rsidR="00D0501A" w:rsidRDefault="00880B6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（二）</w:t>
      </w:r>
      <w:r>
        <w:rPr>
          <w:rFonts w:ascii="楷体_GB2312" w:eastAsia="楷体_GB2312" w:hint="eastAsia"/>
          <w:sz w:val="30"/>
          <w:szCs w:val="30"/>
        </w:rPr>
        <w:t xml:space="preserve"> </w:t>
      </w:r>
      <w:r>
        <w:rPr>
          <w:rFonts w:ascii="楷体_GB2312" w:eastAsia="楷体_GB2312" w:hint="eastAsia"/>
          <w:sz w:val="30"/>
          <w:szCs w:val="30"/>
        </w:rPr>
        <w:t>计算期限调整因子（</w:t>
      </w:r>
      <w:r>
        <w:rPr>
          <w:rFonts w:ascii="楷体_GB2312" w:eastAsia="楷体_GB2312" w:hint="eastAsia"/>
          <w:sz w:val="30"/>
          <w:szCs w:val="30"/>
        </w:rPr>
        <w:t>b</w:t>
      </w:r>
      <w:r>
        <w:rPr>
          <w:rFonts w:ascii="楷体_GB2312" w:eastAsia="楷体_GB2312" w:hint="eastAsia"/>
          <w:sz w:val="30"/>
          <w:szCs w:val="30"/>
        </w:rPr>
        <w:t>）</w:t>
      </w:r>
    </w:p>
    <w:p w14:paraId="76746FE8" w14:textId="77777777" w:rsidR="00D0501A" w:rsidRDefault="00880B69">
      <w:pPr>
        <w:spacing w:afterLines="100" w:after="312" w:line="480" w:lineRule="exact"/>
        <w:ind w:firstLine="56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position w:val="-10"/>
          <w:sz w:val="30"/>
          <w:szCs w:val="30"/>
        </w:rPr>
        <w:object w:dxaOrig="3299" w:dyaOrig="368" w14:anchorId="53427E2A">
          <v:shape id="_x0000_i1027" type="#_x0000_t75" alt="" style="width:164.65pt;height:18.65pt;mso-width-percent:0;mso-height-percent:0;mso-width-percent:0;mso-height-percent:0" o:ole="">
            <v:imagedata r:id="rId17" o:title=""/>
          </v:shape>
          <o:OLEObject Type="Embed" ProgID="Equation.3" ShapeID="_x0000_i1027" DrawAspect="Content" ObjectID="_1760290786" r:id="rId18"/>
        </w:object>
      </w:r>
    </w:p>
    <w:p w14:paraId="6BF5FEAE" w14:textId="77777777" w:rsidR="00D0501A" w:rsidRDefault="00880B6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（三）计算信用风险暴露的资本要求（</w:t>
      </w:r>
      <w:r>
        <w:rPr>
          <w:rFonts w:ascii="楷体_GB2312" w:eastAsia="楷体_GB2312" w:hint="eastAsia"/>
          <w:sz w:val="30"/>
          <w:szCs w:val="30"/>
        </w:rPr>
        <w:t>K</w:t>
      </w:r>
      <w:r>
        <w:rPr>
          <w:rFonts w:ascii="楷体_GB2312" w:eastAsia="楷体_GB2312" w:hint="eastAsia"/>
          <w:sz w:val="30"/>
          <w:szCs w:val="30"/>
        </w:rPr>
        <w:t>）</w:t>
      </w:r>
    </w:p>
    <w:p w14:paraId="57384C86" w14:textId="7DBB2D85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1.</w:t>
      </w:r>
      <w:r>
        <w:rPr>
          <w:rFonts w:ascii="仿宋_GB2312" w:eastAsia="仿宋_GB2312" w:hint="eastAsia"/>
          <w:sz w:val="30"/>
          <w:szCs w:val="30"/>
        </w:rPr>
        <w:t>非零售风险暴露</w:t>
      </w:r>
    </w:p>
    <w:p w14:paraId="25DC9F80" w14:textId="77777777" w:rsidR="00D0501A" w:rsidRDefault="00880B69">
      <w:pPr>
        <w:spacing w:line="24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position w:val="-70"/>
          <w:sz w:val="30"/>
          <w:szCs w:val="30"/>
        </w:rPr>
        <w:object w:dxaOrig="6781" w:dyaOrig="1524" w14:anchorId="43A94E21">
          <v:shape id="_x0000_i1026" type="#_x0000_t75" alt="" style="width:339.35pt;height:76pt;mso-width-percent:0;mso-height-percent:0;mso-width-percent:0;mso-height-percent:0" o:ole="">
            <v:imagedata r:id="rId19" o:title=""/>
          </v:shape>
          <o:OLEObject Type="Embed" ProgID="Equation.3" ShapeID="_x0000_i1026" DrawAspect="Content" ObjectID="_1760290787" r:id="rId20"/>
        </w:object>
      </w:r>
      <w:r>
        <w:rPr>
          <w:rFonts w:ascii="仿宋_GB2312" w:eastAsia="仿宋_GB2312" w:hint="eastAsia"/>
          <w:sz w:val="30"/>
          <w:szCs w:val="30"/>
        </w:rPr>
        <w:t xml:space="preserve">   </w:t>
      </w:r>
    </w:p>
    <w:p w14:paraId="1BDFBDC8" w14:textId="10CE5289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2.</w:t>
      </w:r>
      <w:r>
        <w:rPr>
          <w:rFonts w:ascii="仿宋_GB2312" w:eastAsia="仿宋_GB2312" w:hint="eastAsia"/>
          <w:sz w:val="30"/>
          <w:szCs w:val="30"/>
        </w:rPr>
        <w:t>零售风险暴露</w:t>
      </w:r>
    </w:p>
    <w:p w14:paraId="718051AF" w14:textId="77777777" w:rsidR="00D0501A" w:rsidRDefault="00880B69">
      <w:pPr>
        <w:spacing w:line="240" w:lineRule="atLeas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noProof/>
          <w:position w:val="-34"/>
          <w:sz w:val="30"/>
          <w:szCs w:val="30"/>
        </w:rPr>
        <w:object w:dxaOrig="6413" w:dyaOrig="804" w14:anchorId="659FCFCE">
          <v:shape id="_x0000_i1025" type="#_x0000_t75" alt="" style="width:320.65pt;height:40pt;mso-width-percent:0;mso-height-percent:0;mso-width-percent:0;mso-height-percent:0" o:ole="">
            <v:imagedata r:id="rId21" o:title=""/>
          </v:shape>
          <o:OLEObject Type="Embed" ProgID="Equation.3" ShapeID="_x0000_i1025" DrawAspect="Content" ObjectID="_1760290788" r:id="rId22"/>
        </w:object>
      </w:r>
    </w:p>
    <w:p w14:paraId="62CA90F8" w14:textId="77777777" w:rsidR="00D0501A" w:rsidRDefault="00880B69">
      <w:pPr>
        <w:ind w:firstLineChars="200" w:firstLine="600"/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（四）计算信用风险暴露的风险加权资产（</w:t>
      </w:r>
      <w:r>
        <w:rPr>
          <w:rFonts w:ascii="楷体_GB2312" w:eastAsia="楷体_GB2312" w:hint="eastAsia"/>
          <w:sz w:val="30"/>
          <w:szCs w:val="30"/>
        </w:rPr>
        <w:t>RWA</w:t>
      </w:r>
      <w:r>
        <w:rPr>
          <w:rFonts w:ascii="楷体_GB2312" w:eastAsia="楷体_GB2312" w:hint="eastAsia"/>
          <w:sz w:val="30"/>
          <w:szCs w:val="30"/>
        </w:rPr>
        <w:t>）</w:t>
      </w:r>
    </w:p>
    <w:p w14:paraId="1028779A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RWA = K</w:t>
      </w:r>
      <w:r>
        <w:rPr>
          <w:rFonts w:ascii="仿宋_GB2312" w:eastAsia="仿宋_GB2312" w:hint="eastAsia"/>
          <w:sz w:val="30"/>
          <w:szCs w:val="30"/>
        </w:rPr>
        <w:t>×</w:t>
      </w:r>
      <w:r>
        <w:rPr>
          <w:rFonts w:ascii="仿宋_GB2312" w:eastAsia="仿宋_GB2312" w:hint="eastAsia"/>
          <w:sz w:val="30"/>
          <w:szCs w:val="30"/>
        </w:rPr>
        <w:t>12.5</w:t>
      </w:r>
      <w:r>
        <w:rPr>
          <w:rFonts w:ascii="仿宋_GB2312" w:eastAsia="仿宋_GB2312" w:hint="eastAsia"/>
          <w:sz w:val="30"/>
          <w:szCs w:val="30"/>
        </w:rPr>
        <w:t>×</w:t>
      </w:r>
      <w:r>
        <w:rPr>
          <w:rFonts w:ascii="仿宋_GB2312" w:eastAsia="仿宋_GB2312" w:hint="eastAsia"/>
          <w:sz w:val="30"/>
          <w:szCs w:val="30"/>
        </w:rPr>
        <w:t>EAD</w:t>
      </w:r>
    </w:p>
    <w:p w14:paraId="7B810BEF" w14:textId="77777777" w:rsidR="00D0501A" w:rsidRDefault="00880B69">
      <w:pPr>
        <w:pStyle w:val="2"/>
        <w:rPr>
          <w:rFonts w:ascii="仿宋_GB2312" w:eastAsia="仿宋_GB2312"/>
          <w:b/>
        </w:rPr>
      </w:pPr>
      <w:r>
        <w:rPr>
          <w:rFonts w:hint="eastAsia"/>
        </w:rPr>
        <w:lastRenderedPageBreak/>
        <w:t>二、已违约风险暴露的风险加权资产的计量</w:t>
      </w:r>
    </w:p>
    <w:p w14:paraId="20B3CA7C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K</w:t>
      </w:r>
      <w:r>
        <w:rPr>
          <w:rFonts w:ascii="仿宋_GB2312" w:eastAsia="仿宋_GB2312" w:hint="eastAsia"/>
          <w:sz w:val="30"/>
          <w:szCs w:val="30"/>
        </w:rPr>
        <w:t>＝</w:t>
      </w:r>
      <w:r>
        <w:rPr>
          <w:rFonts w:ascii="仿宋_GB2312" w:eastAsia="仿宋_GB2312" w:hint="eastAsia"/>
          <w:sz w:val="30"/>
          <w:szCs w:val="30"/>
        </w:rPr>
        <w:tab/>
        <w:t>Max[0,</w:t>
      </w: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LGD</w:t>
      </w:r>
      <w:r>
        <w:rPr>
          <w:rFonts w:ascii="仿宋_GB2312" w:eastAsia="仿宋_GB2312" w:hint="eastAsia"/>
          <w:sz w:val="30"/>
          <w:szCs w:val="30"/>
        </w:rPr>
        <w:t>－</w:t>
      </w:r>
      <w:r>
        <w:rPr>
          <w:rFonts w:ascii="仿宋_GB2312" w:eastAsia="仿宋_GB2312" w:hint="eastAsia"/>
          <w:sz w:val="30"/>
          <w:szCs w:val="30"/>
        </w:rPr>
        <w:t>BEEL</w:t>
      </w:r>
      <w:r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]</w:t>
      </w:r>
    </w:p>
    <w:p w14:paraId="2C6BB7DD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RWA = </w:t>
      </w:r>
      <w:r>
        <w:rPr>
          <w:rFonts w:ascii="仿宋_GB2312" w:eastAsia="仿宋_GB2312" w:hint="eastAsia"/>
          <w:sz w:val="30"/>
          <w:szCs w:val="30"/>
        </w:rPr>
        <w:t>K</w:t>
      </w:r>
      <w:r>
        <w:rPr>
          <w:rFonts w:ascii="仿宋_GB2312" w:eastAsia="仿宋_GB2312" w:hint="eastAsia"/>
          <w:sz w:val="30"/>
          <w:szCs w:val="30"/>
        </w:rPr>
        <w:t>×</w:t>
      </w:r>
      <w:r>
        <w:rPr>
          <w:rFonts w:ascii="仿宋_GB2312" w:eastAsia="仿宋_GB2312" w:hint="eastAsia"/>
          <w:sz w:val="30"/>
          <w:szCs w:val="30"/>
        </w:rPr>
        <w:t>12.5</w:t>
      </w:r>
      <w:r>
        <w:rPr>
          <w:rFonts w:ascii="仿宋_GB2312" w:eastAsia="仿宋_GB2312" w:hint="eastAsia"/>
          <w:sz w:val="30"/>
          <w:szCs w:val="30"/>
        </w:rPr>
        <w:t>×</w:t>
      </w:r>
      <w:r>
        <w:rPr>
          <w:rFonts w:ascii="仿宋_GB2312" w:eastAsia="仿宋_GB2312" w:hint="eastAsia"/>
          <w:sz w:val="30"/>
          <w:szCs w:val="30"/>
        </w:rPr>
        <w:t>EAD</w:t>
      </w:r>
    </w:p>
    <w:p w14:paraId="3B795155" w14:textId="77777777" w:rsidR="00D0501A" w:rsidRDefault="00880B69">
      <w:pPr>
        <w:spacing w:line="48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此处，</w:t>
      </w:r>
      <w:r>
        <w:rPr>
          <w:rFonts w:ascii="仿宋_GB2312" w:eastAsia="仿宋_GB2312" w:hint="eastAsia"/>
          <w:sz w:val="30"/>
          <w:szCs w:val="30"/>
        </w:rPr>
        <w:t>BEEL</w:t>
      </w:r>
      <w:r>
        <w:rPr>
          <w:rFonts w:ascii="仿宋_GB2312" w:eastAsia="仿宋_GB2312" w:hint="eastAsia"/>
          <w:sz w:val="30"/>
          <w:szCs w:val="30"/>
        </w:rPr>
        <w:t>是指考虑当前经济环境、法律地位等条件下对已违约风险暴露的预期损失率的最佳估计值。</w:t>
      </w:r>
    </w:p>
    <w:p w14:paraId="3831FEA0" w14:textId="77777777" w:rsidR="00D0501A" w:rsidRDefault="00D0501A">
      <w:pPr>
        <w:spacing w:line="480" w:lineRule="exact"/>
        <w:ind w:firstLine="600"/>
        <w:rPr>
          <w:rFonts w:ascii="仿宋_GB2312" w:eastAsia="仿宋_GB2312"/>
        </w:rPr>
      </w:pPr>
    </w:p>
    <w:sectPr w:rsidR="00D0501A">
      <w:footerReference w:type="default" r:id="rId23"/>
      <w:pgSz w:w="11906" w:h="16838"/>
      <w:pgMar w:top="2268" w:right="1701" w:bottom="170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5576" w14:textId="77777777" w:rsidR="00880B69" w:rsidRDefault="00880B69">
      <w:r>
        <w:separator/>
      </w:r>
    </w:p>
  </w:endnote>
  <w:endnote w:type="continuationSeparator" w:id="0">
    <w:p w14:paraId="666D3373" w14:textId="77777777" w:rsidR="00880B69" w:rsidRDefault="0088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5581806"/>
    </w:sdtPr>
    <w:sdtEndPr>
      <w:rPr>
        <w:rFonts w:ascii="宋体" w:hAnsi="宋体"/>
        <w:sz w:val="21"/>
        <w:szCs w:val="21"/>
      </w:rPr>
    </w:sdtEndPr>
    <w:sdtContent>
      <w:p w14:paraId="0EE73A83" w14:textId="77777777" w:rsidR="00D0501A" w:rsidRDefault="00880B69">
        <w:pPr>
          <w:pStyle w:val="a8"/>
          <w:jc w:val="center"/>
          <w:rPr>
            <w:rFonts w:ascii="宋体" w:hAnsi="宋体"/>
            <w:sz w:val="21"/>
            <w:szCs w:val="21"/>
          </w:rPr>
        </w:pPr>
        <w:r>
          <w:rPr>
            <w:rFonts w:ascii="宋体" w:hAnsi="宋体"/>
            <w:sz w:val="21"/>
            <w:szCs w:val="21"/>
          </w:rPr>
          <w:fldChar w:fldCharType="begin"/>
        </w:r>
        <w:r>
          <w:rPr>
            <w:rFonts w:ascii="宋体" w:hAnsi="宋体"/>
            <w:sz w:val="21"/>
            <w:szCs w:val="21"/>
          </w:rPr>
          <w:instrText>PAGE   \* MERGEFORMAT</w:instrText>
        </w:r>
        <w:r>
          <w:rPr>
            <w:rFonts w:ascii="宋体" w:hAnsi="宋体"/>
            <w:sz w:val="21"/>
            <w:szCs w:val="21"/>
          </w:rPr>
          <w:fldChar w:fldCharType="separate"/>
        </w:r>
        <w:r>
          <w:rPr>
            <w:rFonts w:ascii="宋体" w:hAnsi="宋体"/>
            <w:sz w:val="21"/>
            <w:szCs w:val="21"/>
            <w:lang w:val="zh-CN"/>
          </w:rPr>
          <w:t>1</w:t>
        </w:r>
        <w:r>
          <w:rPr>
            <w:rFonts w:ascii="宋体" w:hAnsi="宋体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574E" w14:textId="77777777" w:rsidR="00880B69" w:rsidRDefault="00880B69">
      <w:r>
        <w:separator/>
      </w:r>
    </w:p>
  </w:footnote>
  <w:footnote w:type="continuationSeparator" w:id="0">
    <w:p w14:paraId="7348731B" w14:textId="77777777" w:rsidR="00880B69" w:rsidRDefault="00880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RkZTUwZDg4OGNlMmFiY2NmMGY3MjY4MWFhMmM1YjIifQ=="/>
  </w:docVars>
  <w:rsids>
    <w:rsidRoot w:val="00895CF7"/>
    <w:rsid w:val="BAFF80D1"/>
    <w:rsid w:val="BF7695E0"/>
    <w:rsid w:val="BFDAC9AD"/>
    <w:rsid w:val="FFA97816"/>
    <w:rsid w:val="FFCD6EF4"/>
    <w:rsid w:val="FFF38AAC"/>
    <w:rsid w:val="00002A6D"/>
    <w:rsid w:val="0004522A"/>
    <w:rsid w:val="00051F33"/>
    <w:rsid w:val="00076671"/>
    <w:rsid w:val="000802A0"/>
    <w:rsid w:val="00080DCA"/>
    <w:rsid w:val="000824E8"/>
    <w:rsid w:val="00087877"/>
    <w:rsid w:val="0009619D"/>
    <w:rsid w:val="00096455"/>
    <w:rsid w:val="000A2A35"/>
    <w:rsid w:val="000C171C"/>
    <w:rsid w:val="000C1C82"/>
    <w:rsid w:val="000D1458"/>
    <w:rsid w:val="000D365E"/>
    <w:rsid w:val="000D6679"/>
    <w:rsid w:val="00100D09"/>
    <w:rsid w:val="00107FAB"/>
    <w:rsid w:val="00126FC9"/>
    <w:rsid w:val="00141ACC"/>
    <w:rsid w:val="00151300"/>
    <w:rsid w:val="001630D8"/>
    <w:rsid w:val="00163E02"/>
    <w:rsid w:val="001641D4"/>
    <w:rsid w:val="00172567"/>
    <w:rsid w:val="00184C9E"/>
    <w:rsid w:val="001A3B08"/>
    <w:rsid w:val="001A3DFC"/>
    <w:rsid w:val="001C1A7B"/>
    <w:rsid w:val="001E0311"/>
    <w:rsid w:val="001E6FAC"/>
    <w:rsid w:val="00221553"/>
    <w:rsid w:val="00225413"/>
    <w:rsid w:val="0023076D"/>
    <w:rsid w:val="00236D38"/>
    <w:rsid w:val="002419D5"/>
    <w:rsid w:val="002512E1"/>
    <w:rsid w:val="002520A7"/>
    <w:rsid w:val="00252835"/>
    <w:rsid w:val="0027638C"/>
    <w:rsid w:val="00283E1A"/>
    <w:rsid w:val="00286F17"/>
    <w:rsid w:val="002A7E95"/>
    <w:rsid w:val="002C4BB4"/>
    <w:rsid w:val="002E15D8"/>
    <w:rsid w:val="002E5A24"/>
    <w:rsid w:val="002F0B08"/>
    <w:rsid w:val="002F4932"/>
    <w:rsid w:val="002F6390"/>
    <w:rsid w:val="00310064"/>
    <w:rsid w:val="00323278"/>
    <w:rsid w:val="00325EC7"/>
    <w:rsid w:val="00342138"/>
    <w:rsid w:val="00345AFF"/>
    <w:rsid w:val="003838E1"/>
    <w:rsid w:val="003A1CA8"/>
    <w:rsid w:val="003A1FBD"/>
    <w:rsid w:val="003A4B66"/>
    <w:rsid w:val="003A7D52"/>
    <w:rsid w:val="003B01B1"/>
    <w:rsid w:val="00406608"/>
    <w:rsid w:val="00416E79"/>
    <w:rsid w:val="0043099F"/>
    <w:rsid w:val="00440B57"/>
    <w:rsid w:val="0046663B"/>
    <w:rsid w:val="004A62C7"/>
    <w:rsid w:val="004B06D8"/>
    <w:rsid w:val="004F3C79"/>
    <w:rsid w:val="004F4A72"/>
    <w:rsid w:val="004F6326"/>
    <w:rsid w:val="00500FA2"/>
    <w:rsid w:val="00517D61"/>
    <w:rsid w:val="005418CB"/>
    <w:rsid w:val="00542760"/>
    <w:rsid w:val="005511C1"/>
    <w:rsid w:val="00553BD9"/>
    <w:rsid w:val="0056271F"/>
    <w:rsid w:val="005679A5"/>
    <w:rsid w:val="0057534B"/>
    <w:rsid w:val="005D274B"/>
    <w:rsid w:val="005E4D57"/>
    <w:rsid w:val="005F027A"/>
    <w:rsid w:val="00602F92"/>
    <w:rsid w:val="006114BE"/>
    <w:rsid w:val="00616F62"/>
    <w:rsid w:val="00617C2B"/>
    <w:rsid w:val="00623A82"/>
    <w:rsid w:val="006429E1"/>
    <w:rsid w:val="00653C98"/>
    <w:rsid w:val="006549D2"/>
    <w:rsid w:val="0065579A"/>
    <w:rsid w:val="00664D95"/>
    <w:rsid w:val="006715E9"/>
    <w:rsid w:val="0067781C"/>
    <w:rsid w:val="00696E88"/>
    <w:rsid w:val="006A18C7"/>
    <w:rsid w:val="006B29CE"/>
    <w:rsid w:val="006E18CF"/>
    <w:rsid w:val="006E5242"/>
    <w:rsid w:val="006F7164"/>
    <w:rsid w:val="007044AD"/>
    <w:rsid w:val="00712695"/>
    <w:rsid w:val="00714D7C"/>
    <w:rsid w:val="007309E2"/>
    <w:rsid w:val="0073238D"/>
    <w:rsid w:val="0073360F"/>
    <w:rsid w:val="0074560E"/>
    <w:rsid w:val="00750DCB"/>
    <w:rsid w:val="00752B8B"/>
    <w:rsid w:val="00794852"/>
    <w:rsid w:val="00832184"/>
    <w:rsid w:val="0087298A"/>
    <w:rsid w:val="008746AE"/>
    <w:rsid w:val="00880B69"/>
    <w:rsid w:val="0089016D"/>
    <w:rsid w:val="00895CF7"/>
    <w:rsid w:val="008A1355"/>
    <w:rsid w:val="008A295A"/>
    <w:rsid w:val="008C1CCF"/>
    <w:rsid w:val="008C6EBF"/>
    <w:rsid w:val="008E43FB"/>
    <w:rsid w:val="00921F57"/>
    <w:rsid w:val="00940540"/>
    <w:rsid w:val="009551F5"/>
    <w:rsid w:val="00971FBC"/>
    <w:rsid w:val="0097647A"/>
    <w:rsid w:val="00990380"/>
    <w:rsid w:val="00995C2A"/>
    <w:rsid w:val="009D358D"/>
    <w:rsid w:val="009E1314"/>
    <w:rsid w:val="009F48BF"/>
    <w:rsid w:val="00A06EB4"/>
    <w:rsid w:val="00A0746C"/>
    <w:rsid w:val="00A15E45"/>
    <w:rsid w:val="00A27EC2"/>
    <w:rsid w:val="00A416C3"/>
    <w:rsid w:val="00A42B25"/>
    <w:rsid w:val="00A5416F"/>
    <w:rsid w:val="00A750DA"/>
    <w:rsid w:val="00A85E37"/>
    <w:rsid w:val="00A950F7"/>
    <w:rsid w:val="00AA73D2"/>
    <w:rsid w:val="00AC0A21"/>
    <w:rsid w:val="00AD0C33"/>
    <w:rsid w:val="00AD0DC3"/>
    <w:rsid w:val="00B038D0"/>
    <w:rsid w:val="00B37822"/>
    <w:rsid w:val="00B461CE"/>
    <w:rsid w:val="00B51C38"/>
    <w:rsid w:val="00B60F32"/>
    <w:rsid w:val="00B64CB1"/>
    <w:rsid w:val="00B71D2E"/>
    <w:rsid w:val="00B74499"/>
    <w:rsid w:val="00B9337A"/>
    <w:rsid w:val="00BA4395"/>
    <w:rsid w:val="00BA7C78"/>
    <w:rsid w:val="00BB50A6"/>
    <w:rsid w:val="00BB52F7"/>
    <w:rsid w:val="00BB7521"/>
    <w:rsid w:val="00BD050A"/>
    <w:rsid w:val="00BD2BF9"/>
    <w:rsid w:val="00BD3659"/>
    <w:rsid w:val="00BD4C57"/>
    <w:rsid w:val="00BE1275"/>
    <w:rsid w:val="00BE270F"/>
    <w:rsid w:val="00BE4611"/>
    <w:rsid w:val="00C079B8"/>
    <w:rsid w:val="00C30F8E"/>
    <w:rsid w:val="00C34589"/>
    <w:rsid w:val="00C35189"/>
    <w:rsid w:val="00C4761F"/>
    <w:rsid w:val="00C5052E"/>
    <w:rsid w:val="00C5161C"/>
    <w:rsid w:val="00C54ED0"/>
    <w:rsid w:val="00C615C5"/>
    <w:rsid w:val="00C70B23"/>
    <w:rsid w:val="00C7154C"/>
    <w:rsid w:val="00CA52C9"/>
    <w:rsid w:val="00CB3F64"/>
    <w:rsid w:val="00CE1FEC"/>
    <w:rsid w:val="00CE2487"/>
    <w:rsid w:val="00CE7F43"/>
    <w:rsid w:val="00CF0D01"/>
    <w:rsid w:val="00D0501A"/>
    <w:rsid w:val="00D0795C"/>
    <w:rsid w:val="00D15995"/>
    <w:rsid w:val="00D2408B"/>
    <w:rsid w:val="00D30C6A"/>
    <w:rsid w:val="00D32948"/>
    <w:rsid w:val="00D34068"/>
    <w:rsid w:val="00D34FEA"/>
    <w:rsid w:val="00D358D2"/>
    <w:rsid w:val="00D363FC"/>
    <w:rsid w:val="00D54D93"/>
    <w:rsid w:val="00D63AF5"/>
    <w:rsid w:val="00D7383A"/>
    <w:rsid w:val="00D86EB2"/>
    <w:rsid w:val="00D8716D"/>
    <w:rsid w:val="00D91E25"/>
    <w:rsid w:val="00DA3302"/>
    <w:rsid w:val="00DA691A"/>
    <w:rsid w:val="00DB6F0E"/>
    <w:rsid w:val="00DC7AC1"/>
    <w:rsid w:val="00DD18E2"/>
    <w:rsid w:val="00DE4BE1"/>
    <w:rsid w:val="00E05DBB"/>
    <w:rsid w:val="00E07901"/>
    <w:rsid w:val="00E100E6"/>
    <w:rsid w:val="00E218F1"/>
    <w:rsid w:val="00E46D42"/>
    <w:rsid w:val="00E470AD"/>
    <w:rsid w:val="00E70EF5"/>
    <w:rsid w:val="00E71250"/>
    <w:rsid w:val="00E9204F"/>
    <w:rsid w:val="00EA4165"/>
    <w:rsid w:val="00EB0CA8"/>
    <w:rsid w:val="00EC15F7"/>
    <w:rsid w:val="00ED3AA7"/>
    <w:rsid w:val="00EE67DD"/>
    <w:rsid w:val="00EF7F39"/>
    <w:rsid w:val="00F01D3F"/>
    <w:rsid w:val="00F17CD6"/>
    <w:rsid w:val="00F41EE3"/>
    <w:rsid w:val="00F5115E"/>
    <w:rsid w:val="00F90224"/>
    <w:rsid w:val="00F94B57"/>
    <w:rsid w:val="00F977B6"/>
    <w:rsid w:val="00FA3618"/>
    <w:rsid w:val="00FB041D"/>
    <w:rsid w:val="00FB7105"/>
    <w:rsid w:val="00FE0DE4"/>
    <w:rsid w:val="00FE6361"/>
    <w:rsid w:val="024354B2"/>
    <w:rsid w:val="02BF67C8"/>
    <w:rsid w:val="03E12E21"/>
    <w:rsid w:val="041307AA"/>
    <w:rsid w:val="061E5C62"/>
    <w:rsid w:val="08C705CD"/>
    <w:rsid w:val="09585994"/>
    <w:rsid w:val="0B977ACB"/>
    <w:rsid w:val="0BD92059"/>
    <w:rsid w:val="0C7019F5"/>
    <w:rsid w:val="0CB67A88"/>
    <w:rsid w:val="0FCF39FD"/>
    <w:rsid w:val="112C4225"/>
    <w:rsid w:val="130D604D"/>
    <w:rsid w:val="14C51E42"/>
    <w:rsid w:val="182C69D3"/>
    <w:rsid w:val="1C2737F4"/>
    <w:rsid w:val="1EBA5EF9"/>
    <w:rsid w:val="21652D8C"/>
    <w:rsid w:val="23702FF2"/>
    <w:rsid w:val="24295FA2"/>
    <w:rsid w:val="24ED5511"/>
    <w:rsid w:val="30AD6689"/>
    <w:rsid w:val="326A3947"/>
    <w:rsid w:val="33A11F28"/>
    <w:rsid w:val="33B0570A"/>
    <w:rsid w:val="343C651C"/>
    <w:rsid w:val="35752A9B"/>
    <w:rsid w:val="36992F28"/>
    <w:rsid w:val="37324DAA"/>
    <w:rsid w:val="39975968"/>
    <w:rsid w:val="3EB25806"/>
    <w:rsid w:val="3F6F778C"/>
    <w:rsid w:val="432C2358"/>
    <w:rsid w:val="449B5B43"/>
    <w:rsid w:val="479714FB"/>
    <w:rsid w:val="4AC528E2"/>
    <w:rsid w:val="4BEA0FF6"/>
    <w:rsid w:val="4CA75BCB"/>
    <w:rsid w:val="4D5257AF"/>
    <w:rsid w:val="4FE00D94"/>
    <w:rsid w:val="518C102A"/>
    <w:rsid w:val="52F80755"/>
    <w:rsid w:val="532E47B7"/>
    <w:rsid w:val="5BC90A80"/>
    <w:rsid w:val="5D595B43"/>
    <w:rsid w:val="5E7775E8"/>
    <w:rsid w:val="623450A9"/>
    <w:rsid w:val="62DD4740"/>
    <w:rsid w:val="65C27AD0"/>
    <w:rsid w:val="66360D85"/>
    <w:rsid w:val="67E25CBA"/>
    <w:rsid w:val="6D535431"/>
    <w:rsid w:val="6FB46D6A"/>
    <w:rsid w:val="71656807"/>
    <w:rsid w:val="730E3929"/>
    <w:rsid w:val="74C657B9"/>
    <w:rsid w:val="779F5D14"/>
    <w:rsid w:val="79B04FFB"/>
    <w:rsid w:val="7AF76402"/>
    <w:rsid w:val="7D06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9ACFF8"/>
  <w15:docId w15:val="{E4B82196-7CF0-0247-9BA0-388E8F75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2"/>
    <w:next w:val="a"/>
    <w:link w:val="10"/>
    <w:qFormat/>
    <w:pPr>
      <w:outlineLvl w:val="0"/>
    </w:pPr>
    <w:rPr>
      <w:sz w:val="44"/>
    </w:rPr>
  </w:style>
  <w:style w:type="paragraph" w:styleId="2">
    <w:name w:val="heading 2"/>
    <w:basedOn w:val="3"/>
    <w:next w:val="a"/>
    <w:link w:val="20"/>
    <w:qFormat/>
    <w:pPr>
      <w:outlineLvl w:val="1"/>
    </w:pPr>
  </w:style>
  <w:style w:type="paragraph" w:styleId="3">
    <w:name w:val="heading 3"/>
    <w:basedOn w:val="TOC2"/>
    <w:next w:val="a"/>
    <w:link w:val="30"/>
    <w:qFormat/>
    <w:pPr>
      <w:ind w:leftChars="0" w:left="0" w:firstLineChars="200" w:firstLine="600"/>
      <w:jc w:val="left"/>
      <w:outlineLvl w:val="2"/>
    </w:pPr>
    <w:rPr>
      <w:rFonts w:ascii="黑体" w:eastAsia="黑体" w:hAnsi="黑体"/>
      <w:smallCaps/>
      <w:sz w:val="30"/>
      <w:szCs w:val="30"/>
    </w:rPr>
  </w:style>
  <w:style w:type="paragraph" w:styleId="4">
    <w:name w:val="heading 4"/>
    <w:basedOn w:val="3"/>
    <w:next w:val="a"/>
    <w:link w:val="40"/>
    <w:qFormat/>
    <w:pPr>
      <w:outlineLvl w:val="3"/>
    </w:pPr>
    <w:rPr>
      <w:rFonts w:ascii="楷体_GB2312" w:eastAsia="楷体_GB2312" w:hAnsi="楷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a3">
    <w:name w:val="annotation text"/>
    <w:basedOn w:val="a"/>
    <w:link w:val="a4"/>
    <w:semiHidden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c">
    <w:name w:val="Title"/>
    <w:basedOn w:val="a5"/>
    <w:next w:val="a"/>
    <w:link w:val="ad"/>
    <w:qFormat/>
    <w:pPr>
      <w:jc w:val="center"/>
    </w:pPr>
    <w:rPr>
      <w:rFonts w:ascii="仿宋_GB2312" w:eastAsia="仿宋_GB2312" w:hAnsi="仿宋"/>
    </w:rPr>
  </w:style>
  <w:style w:type="paragraph" w:styleId="ae">
    <w:name w:val="annotation subject"/>
    <w:basedOn w:val="a3"/>
    <w:next w:val="a3"/>
    <w:link w:val="af"/>
    <w:qFormat/>
    <w:rPr>
      <w:b/>
      <w:bCs/>
    </w:rPr>
  </w:style>
  <w:style w:type="character" w:styleId="af0">
    <w:name w:val="annotation reference"/>
    <w:semiHidden/>
    <w:qFormat/>
    <w:rPr>
      <w:sz w:val="21"/>
      <w:szCs w:val="21"/>
    </w:rPr>
  </w:style>
  <w:style w:type="character" w:customStyle="1" w:styleId="a4">
    <w:name w:val="批注文字 字符"/>
    <w:link w:val="a3"/>
    <w:semiHidden/>
    <w:qFormat/>
    <w:rPr>
      <w:kern w:val="2"/>
      <w:sz w:val="21"/>
      <w:szCs w:val="24"/>
    </w:rPr>
  </w:style>
  <w:style w:type="character" w:customStyle="1" w:styleId="a9">
    <w:name w:val="页脚 字符"/>
    <w:link w:val="a8"/>
    <w:uiPriority w:val="99"/>
    <w:qFormat/>
    <w:rPr>
      <w:kern w:val="2"/>
      <w:sz w:val="18"/>
      <w:szCs w:val="18"/>
    </w:rPr>
  </w:style>
  <w:style w:type="character" w:customStyle="1" w:styleId="ab">
    <w:name w:val="页眉 字符"/>
    <w:link w:val="aa"/>
    <w:qFormat/>
    <w:rPr>
      <w:kern w:val="2"/>
      <w:sz w:val="18"/>
      <w:szCs w:val="18"/>
    </w:rPr>
  </w:style>
  <w:style w:type="character" w:customStyle="1" w:styleId="af">
    <w:name w:val="批注主题 字符"/>
    <w:link w:val="ae"/>
    <w:qFormat/>
  </w:style>
  <w:style w:type="character" w:customStyle="1" w:styleId="ad">
    <w:name w:val="标题 字符"/>
    <w:link w:val="ac"/>
    <w:qFormat/>
    <w:rPr>
      <w:rFonts w:ascii="仿宋_GB2312" w:eastAsia="仿宋_GB2312" w:hAnsi="仿宋"/>
      <w:kern w:val="2"/>
      <w:sz w:val="21"/>
      <w:szCs w:val="24"/>
    </w:rPr>
  </w:style>
  <w:style w:type="character" w:customStyle="1" w:styleId="a6">
    <w:name w:val="正文文本 字符"/>
    <w:link w:val="a5"/>
    <w:qFormat/>
    <w:rPr>
      <w:kern w:val="2"/>
      <w:sz w:val="21"/>
      <w:szCs w:val="24"/>
    </w:rPr>
  </w:style>
  <w:style w:type="character" w:customStyle="1" w:styleId="20">
    <w:name w:val="标题 2 字符"/>
    <w:link w:val="2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30">
    <w:name w:val="标题 3 字符"/>
    <w:link w:val="3"/>
    <w:qFormat/>
    <w:rPr>
      <w:rFonts w:ascii="黑体" w:eastAsia="黑体" w:hAnsi="黑体"/>
      <w:smallCaps/>
      <w:kern w:val="2"/>
      <w:sz w:val="30"/>
      <w:szCs w:val="30"/>
    </w:rPr>
  </w:style>
  <w:style w:type="character" w:customStyle="1" w:styleId="10">
    <w:name w:val="标题 1 字符"/>
    <w:link w:val="1"/>
    <w:qFormat/>
    <w:rPr>
      <w:rFonts w:ascii="黑体" w:eastAsia="黑体" w:hAnsi="黑体"/>
      <w:bCs/>
      <w:caps/>
      <w:kern w:val="2"/>
      <w:sz w:val="44"/>
      <w:szCs w:val="32"/>
    </w:rPr>
  </w:style>
  <w:style w:type="character" w:customStyle="1" w:styleId="40">
    <w:name w:val="标题 4 字符"/>
    <w:link w:val="4"/>
    <w:qFormat/>
    <w:rPr>
      <w:rFonts w:ascii="楷体_GB2312" w:eastAsia="楷体_GB2312" w:hAnsi="楷体"/>
      <w:smallCaps/>
      <w:kern w:val="2"/>
      <w:sz w:val="30"/>
      <w:szCs w:val="30"/>
    </w:rPr>
  </w:style>
  <w:style w:type="paragraph" w:customStyle="1" w:styleId="11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oter" Target="footer1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107</Words>
  <Characters>610</Characters>
  <Application>Microsoft Office Word</Application>
  <DocSecurity>0</DocSecurity>
  <Lines>5</Lines>
  <Paragraphs>1</Paragraphs>
  <ScaleCrop>false</ScaleCrop>
  <Company>cbrc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第一条</dc:title>
  <dc:creator>user</dc:creator>
  <cp:lastModifiedBy>梁爽</cp:lastModifiedBy>
  <cp:revision>10</cp:revision>
  <cp:lastPrinted>2012-02-13T11:22:00Z</cp:lastPrinted>
  <dcterms:created xsi:type="dcterms:W3CDTF">2023-02-18T15:13:00Z</dcterms:created>
  <dcterms:modified xsi:type="dcterms:W3CDTF">2023-10-31T11:15:00Z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5C1FDD0B12A444BDA6E94D508B2A4D6F</vt:lpwstr>
  </property>
</Properties>
</file>