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spacing w:line="600" w:lineRule="exact"/>
        <w:jc w:val="left"/>
        <w:rPr>
          <w:rFonts w:ascii="黑体" w:hAnsi="黑体" w:eastAsia="黑体" w:cs="黑体"/>
          <w:sz w:val="32"/>
          <w:szCs w:val="30"/>
        </w:rPr>
      </w:pPr>
      <w:r>
        <w:rPr>
          <w:rFonts w:hint="eastAsia" w:ascii="黑体" w:hAnsi="黑体" w:eastAsia="黑体" w:cs="黑体"/>
          <w:sz w:val="32"/>
          <w:szCs w:val="30"/>
        </w:rPr>
        <w:t>附件</w:t>
      </w:r>
      <w:r>
        <w:rPr>
          <w:rFonts w:ascii="黑体" w:hAnsi="黑体" w:eastAsia="黑体" w:cs="黑体"/>
          <w:sz w:val="32"/>
          <w:szCs w:val="30"/>
        </w:rPr>
        <w:t>15</w:t>
      </w:r>
    </w:p>
    <w:p>
      <w:pPr>
        <w:pStyle w:val="36"/>
        <w:spacing w:line="600" w:lineRule="exact"/>
        <w:jc w:val="left"/>
        <w:rPr>
          <w:rFonts w:ascii="黑体" w:hAnsi="黑体" w:eastAsia="黑体" w:cs="黑体"/>
          <w:sz w:val="32"/>
          <w:szCs w:val="30"/>
        </w:rPr>
      </w:pPr>
    </w:p>
    <w:p>
      <w:pPr>
        <w:pStyle w:val="3"/>
        <w:spacing w:before="120" w:after="120" w:line="600" w:lineRule="exact"/>
        <w:ind w:firstLine="0" w:firstLineChars="0"/>
        <w:jc w:val="center"/>
        <w:rPr>
          <w:rFonts w:ascii="方正小标宋简体" w:hAnsi="方正小标宋简体" w:eastAsia="方正小标宋简体" w:cs="方正小标宋简体"/>
          <w:bCs/>
          <w:caps/>
          <w:smallCaps w:val="0"/>
          <w:sz w:val="44"/>
          <w:szCs w:val="32"/>
        </w:rPr>
      </w:pPr>
      <w:bookmarkStart w:id="0" w:name="_Hlk48900193"/>
      <w:r>
        <w:rPr>
          <w:rFonts w:hint="eastAsia" w:ascii="方正小标宋简体" w:hAnsi="方正小标宋简体" w:eastAsia="方正小标宋简体" w:cs="方正小标宋简体"/>
          <w:bCs/>
          <w:caps/>
          <w:smallCaps w:val="0"/>
          <w:sz w:val="44"/>
          <w:szCs w:val="32"/>
        </w:rPr>
        <w:t>市场风险内部模型法监管要求</w:t>
      </w:r>
    </w:p>
    <w:bookmarkEnd w:id="0"/>
    <w:p>
      <w:pPr>
        <w:widowControl/>
        <w:spacing w:line="600" w:lineRule="exact"/>
        <w:ind w:firstLine="602" w:firstLineChars="200"/>
        <w:jc w:val="center"/>
        <w:rPr>
          <w:rFonts w:ascii="仿宋_GB2312" w:hAnsi="宋体" w:eastAsia="仿宋_GB2312" w:cs="宋体"/>
          <w:b/>
          <w:color w:val="000000"/>
          <w:kern w:val="0"/>
          <w:sz w:val="30"/>
          <w:szCs w:val="30"/>
        </w:rPr>
      </w:pPr>
    </w:p>
    <w:p>
      <w:pPr>
        <w:pStyle w:val="3"/>
        <w:spacing w:line="600" w:lineRule="exact"/>
      </w:pPr>
      <w:r>
        <w:rPr>
          <w:rFonts w:hint="eastAsia"/>
        </w:rPr>
        <w:t>一、</w:t>
      </w:r>
      <w:bookmarkStart w:id="1" w:name="_Hlk48835873"/>
      <w:r>
        <w:rPr>
          <w:rFonts w:hint="eastAsia"/>
        </w:rPr>
        <w:t>内部模型法应涵盖的</w:t>
      </w:r>
      <w:bookmarkEnd w:id="1"/>
      <w:r>
        <w:rPr>
          <w:rFonts w:hint="eastAsia"/>
        </w:rPr>
        <w:t>风险因子</w:t>
      </w:r>
    </w:p>
    <w:p>
      <w:pPr>
        <w:spacing w:line="480" w:lineRule="exact"/>
        <w:ind w:firstLine="600" w:firstLineChars="200"/>
        <w:outlineLvl w:val="1"/>
        <w:rPr>
          <w:rFonts w:ascii="楷体_GB2312" w:eastAsia="楷体_GB2312"/>
          <w:bCs/>
          <w:color w:val="000000"/>
          <w:sz w:val="30"/>
          <w:szCs w:val="30"/>
        </w:rPr>
      </w:pPr>
      <w:r>
        <w:rPr>
          <w:rFonts w:hint="eastAsia" w:ascii="楷体_GB2312" w:eastAsia="楷体_GB2312"/>
          <w:bCs/>
          <w:color w:val="000000"/>
          <w:sz w:val="30"/>
          <w:szCs w:val="30"/>
        </w:rPr>
        <w:t>（一）一般利率风险</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1.商业银行的内部模型应涵盖每一种计价货币的利率所对应的一系列风险因子。</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2.商业银行应使用业内普遍接受的方法构建内部模型使用的收益率曲线。该收益率曲线应划分为不同的到期时间，以反映收益率的期限结构变化，每个到期时间都应对应一个风险因子。</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3.对于风险暴露较大的主要货币和主要市场的利率变化，商业银行应使用至少六个风险因子构建收益率曲线。风险因子的数量应最终由商业银行交易策略的复杂程度决定。</w:t>
      </w:r>
    </w:p>
    <w:p>
      <w:pPr>
        <w:spacing w:line="480" w:lineRule="exact"/>
        <w:ind w:firstLine="600" w:firstLineChars="200"/>
        <w:outlineLvl w:val="1"/>
        <w:rPr>
          <w:rFonts w:ascii="楷体_GB2312" w:eastAsia="楷体_GB2312"/>
          <w:bCs/>
          <w:color w:val="000000"/>
          <w:sz w:val="30"/>
          <w:szCs w:val="30"/>
        </w:rPr>
      </w:pPr>
      <w:r>
        <w:rPr>
          <w:rFonts w:hint="eastAsia" w:ascii="楷体_GB2312" w:eastAsia="楷体_GB2312"/>
          <w:bCs/>
          <w:color w:val="000000"/>
          <w:sz w:val="30"/>
          <w:szCs w:val="30"/>
        </w:rPr>
        <w:t>（二）</w:t>
      </w:r>
      <w:bookmarkStart w:id="2" w:name="_Hlk48836149"/>
      <w:r>
        <w:rPr>
          <w:rFonts w:hint="eastAsia" w:ascii="楷体_GB2312" w:eastAsia="楷体_GB2312"/>
          <w:bCs/>
          <w:color w:val="000000"/>
          <w:sz w:val="30"/>
          <w:szCs w:val="30"/>
        </w:rPr>
        <w:t>信用利差风险</w:t>
      </w:r>
      <w:bookmarkEnd w:id="2"/>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1.风险因子应能独立反映主要的利差风险（如债券利率与无风险利率之间的信用利差），以衡量利率工具收益率曲线与无风险收益率曲线波动的非完全相关性。</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2.商业银行可根据无风险收益率曲线剥离出信用利差曲线，识别风险因子时应考虑到期时间、信用主体风险特征等因素。</w:t>
      </w:r>
    </w:p>
    <w:p>
      <w:pPr>
        <w:spacing w:line="480" w:lineRule="exact"/>
        <w:ind w:firstLine="600" w:firstLineChars="200"/>
        <w:outlineLvl w:val="1"/>
        <w:rPr>
          <w:rFonts w:ascii="楷体_GB2312" w:eastAsia="楷体_GB2312"/>
          <w:bCs/>
          <w:color w:val="000000"/>
          <w:sz w:val="30"/>
          <w:szCs w:val="30"/>
        </w:rPr>
      </w:pPr>
      <w:r>
        <w:rPr>
          <w:rFonts w:hint="eastAsia" w:ascii="楷体_GB2312" w:eastAsia="楷体_GB2312"/>
          <w:bCs/>
          <w:color w:val="000000"/>
          <w:sz w:val="30"/>
          <w:szCs w:val="30"/>
        </w:rPr>
        <w:t>（三）</w:t>
      </w:r>
      <w:bookmarkStart w:id="3" w:name="_Hlk48836156"/>
      <w:r>
        <w:rPr>
          <w:rFonts w:hint="eastAsia" w:ascii="楷体_GB2312" w:eastAsia="楷体_GB2312"/>
          <w:bCs/>
          <w:color w:val="000000"/>
          <w:sz w:val="30"/>
          <w:szCs w:val="30"/>
        </w:rPr>
        <w:t>股票风险</w:t>
      </w:r>
      <w:bookmarkEnd w:id="3"/>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1.商业银行的内部模型应包含与商业银行所持有的每个较大股票头寸所属交易市场相对应的风险因子。</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对每个股票市场，内部模型中至少应包含一个用于反映股价变动的综合市场风险因子（如股票指数）。投资于个股或行业股票指数的头寸可表述为与该综合市场风险因子相对应的“贝塔（beta）等值”，即以贝塔（beta）表示其相对于综合市场风险因子的波动弹性。</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3.鼓励商业银行在内部模型中使用市场的不同行业所对应的风险因子，如制造业、周期性及非周期性行业等。最审慎的做法是对每支股票的波动性都设立风险因子。</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w:t>
      </w:r>
      <w:r>
        <w:rPr>
          <w:rFonts w:ascii="楷体_GB2312" w:eastAsia="楷体_GB2312"/>
          <w:bCs/>
          <w:color w:val="000000"/>
          <w:sz w:val="30"/>
          <w:szCs w:val="30"/>
        </w:rPr>
        <w:t>.</w:t>
      </w:r>
      <w:r>
        <w:rPr>
          <w:rFonts w:hint="eastAsia" w:ascii="仿宋_GB2312" w:eastAsia="仿宋_GB2312"/>
          <w:color w:val="000000"/>
          <w:sz w:val="30"/>
          <w:szCs w:val="30"/>
        </w:rPr>
        <w:t>对于一个给定的市场，建模技术的特点及复杂程度应与商业银行对该市场的风险暴露以及个股的集中度相匹配。</w:t>
      </w:r>
    </w:p>
    <w:p>
      <w:pPr>
        <w:spacing w:line="480" w:lineRule="exact"/>
        <w:ind w:firstLine="600" w:firstLineChars="200"/>
        <w:outlineLvl w:val="1"/>
        <w:rPr>
          <w:rFonts w:ascii="楷体_GB2312" w:eastAsia="楷体_GB2312"/>
          <w:bCs/>
          <w:color w:val="000000"/>
          <w:sz w:val="30"/>
          <w:szCs w:val="30"/>
        </w:rPr>
      </w:pPr>
      <w:r>
        <w:rPr>
          <w:rFonts w:hint="eastAsia" w:ascii="楷体_GB2312" w:eastAsia="楷体_GB2312"/>
          <w:bCs/>
          <w:color w:val="000000"/>
          <w:sz w:val="30"/>
          <w:szCs w:val="30"/>
        </w:rPr>
        <w:t>（四）</w:t>
      </w:r>
      <w:bookmarkStart w:id="4" w:name="_Hlk48836165"/>
      <w:r>
        <w:rPr>
          <w:rFonts w:hint="eastAsia" w:ascii="楷体_GB2312" w:eastAsia="楷体_GB2312"/>
          <w:bCs/>
          <w:color w:val="000000"/>
          <w:sz w:val="30"/>
          <w:szCs w:val="30"/>
        </w:rPr>
        <w:t>汇率风险</w:t>
      </w:r>
      <w:bookmarkEnd w:id="4"/>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内部模型中应包含与商业银行所持有的每一种风险暴露较大的外币与本币汇率相对应的风险因子。</w:t>
      </w:r>
    </w:p>
    <w:p>
      <w:pPr>
        <w:spacing w:line="480" w:lineRule="exact"/>
        <w:ind w:firstLine="600" w:firstLineChars="200"/>
        <w:outlineLvl w:val="1"/>
        <w:rPr>
          <w:rFonts w:ascii="楷体_GB2312" w:eastAsia="楷体_GB2312"/>
          <w:bCs/>
          <w:color w:val="000000"/>
          <w:sz w:val="30"/>
          <w:szCs w:val="30"/>
        </w:rPr>
      </w:pPr>
      <w:r>
        <w:rPr>
          <w:rFonts w:hint="eastAsia" w:ascii="楷体_GB2312" w:eastAsia="楷体_GB2312"/>
          <w:bCs/>
          <w:color w:val="000000"/>
          <w:sz w:val="30"/>
          <w:szCs w:val="30"/>
        </w:rPr>
        <w:t>（五）</w:t>
      </w:r>
      <w:bookmarkStart w:id="5" w:name="_Hlk48836173"/>
      <w:r>
        <w:rPr>
          <w:rFonts w:hint="eastAsia" w:ascii="楷体_GB2312" w:eastAsia="楷体_GB2312"/>
          <w:bCs/>
          <w:color w:val="000000"/>
          <w:sz w:val="30"/>
          <w:szCs w:val="30"/>
        </w:rPr>
        <w:t>商品风险</w:t>
      </w:r>
      <w:bookmarkEnd w:id="5"/>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1.内部模型应包含与商业银行所持有的每个较大商品头寸（含黄金）所属交易市场相对应的风险因子。</w:t>
      </w:r>
    </w:p>
    <w:p>
      <w:pPr>
        <w:spacing w:line="480" w:lineRule="exact"/>
        <w:ind w:firstLine="600" w:firstLineChars="200"/>
        <w:rPr>
          <w:rFonts w:ascii="仿宋_GB2312" w:eastAsia="仿宋_GB2312"/>
          <w:color w:val="000000"/>
          <w:sz w:val="30"/>
          <w:szCs w:val="30"/>
        </w:rPr>
      </w:pPr>
      <w:r>
        <w:rPr>
          <w:rFonts w:ascii="仿宋_GB2312" w:eastAsia="仿宋_GB2312"/>
          <w:color w:val="000000"/>
          <w:sz w:val="30"/>
          <w:szCs w:val="30"/>
        </w:rPr>
        <w:t>2</w:t>
      </w:r>
      <w:r>
        <w:rPr>
          <w:rFonts w:hint="eastAsia" w:ascii="仿宋_GB2312" w:eastAsia="仿宋_GB2312"/>
          <w:color w:val="000000"/>
          <w:sz w:val="30"/>
          <w:szCs w:val="30"/>
        </w:rPr>
        <w:t>.对于交易比较活跃的商品，内部模型应考虑衍生工具头寸（如远期、掉期）和实物商品之间“便利收益率”的不同。</w:t>
      </w:r>
    </w:p>
    <w:p>
      <w:pPr>
        <w:spacing w:line="480" w:lineRule="exact"/>
        <w:ind w:firstLine="600" w:firstLineChars="200"/>
        <w:outlineLvl w:val="1"/>
        <w:rPr>
          <w:rFonts w:ascii="楷体_GB2312" w:eastAsia="楷体_GB2312"/>
          <w:bCs/>
          <w:color w:val="000000"/>
          <w:sz w:val="30"/>
          <w:szCs w:val="30"/>
        </w:rPr>
      </w:pPr>
      <w:r>
        <w:rPr>
          <w:rFonts w:hint="eastAsia" w:ascii="楷体_GB2312" w:eastAsia="楷体_GB2312"/>
          <w:bCs/>
          <w:color w:val="000000"/>
          <w:sz w:val="30"/>
          <w:szCs w:val="30"/>
        </w:rPr>
        <w:t>（六）</w:t>
      </w:r>
      <w:bookmarkStart w:id="6" w:name="_Hlk48836182"/>
      <w:r>
        <w:rPr>
          <w:rFonts w:hint="eastAsia" w:ascii="楷体_GB2312" w:eastAsia="楷体_GB2312"/>
          <w:bCs/>
          <w:color w:val="000000"/>
          <w:sz w:val="30"/>
          <w:szCs w:val="30"/>
        </w:rPr>
        <w:t>其他</w:t>
      </w:r>
      <w:bookmarkEnd w:id="6"/>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内部模型和不可建模风险因子的压力情景应包含能有效反映与上述五大类别市场风险相关的期权性风险、基差风险和相关性风险等风险因子。商业银行如持有规模较大或复杂的期权组合，应具有对期权相关波动率的详细说明。</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2.原则上，除证券化风险因子外，商业银行所使用的估值模型以及标准法中的风险因子都应包含在内部模型中。如未包含，则应说明其合理性。</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3.对于符合本办法附件</w:t>
      </w:r>
      <w:r>
        <w:rPr>
          <w:rFonts w:ascii="仿宋_GB2312" w:eastAsia="仿宋_GB2312"/>
          <w:color w:val="000000"/>
          <w:sz w:val="30"/>
          <w:szCs w:val="30"/>
        </w:rPr>
        <w:t>13</w:t>
      </w:r>
      <w:r>
        <w:rPr>
          <w:rFonts w:hint="eastAsia" w:ascii="仿宋_GB2312" w:eastAsia="仿宋_GB2312"/>
          <w:color w:val="000000"/>
          <w:sz w:val="30"/>
          <w:szCs w:val="30"/>
        </w:rPr>
        <w:t>第一部分（四）6，即可穿透至底层资产的资产管理产品，商业银行应视为直接持有该资产管理产品底层头寸，并考虑银行在资产管理产品中投资的比例以及资产管理产品的杠杆放大效应。商业银行应将底层头寸分配给负责该资产管理产品的交易台。</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4.对于证券化产品和不符合上述标准的资产管理产品，商业银行应使用标准法计量资本要求。</w:t>
      </w:r>
    </w:p>
    <w:p>
      <w:pPr>
        <w:spacing w:line="480" w:lineRule="exact"/>
        <w:ind w:firstLine="600" w:firstLineChars="200"/>
        <w:rPr>
          <w:rFonts w:ascii="黑体" w:hAnsi="黑体" w:eastAsia="黑体"/>
          <w:b/>
          <w:color w:val="000000"/>
          <w:sz w:val="30"/>
          <w:szCs w:val="30"/>
        </w:rPr>
      </w:pPr>
      <w:r>
        <w:rPr>
          <w:rFonts w:ascii="仿宋_GB2312" w:eastAsia="仿宋_GB2312"/>
          <w:color w:val="000000"/>
          <w:sz w:val="30"/>
          <w:szCs w:val="30"/>
        </w:rPr>
        <w:t>5</w:t>
      </w:r>
      <w:r>
        <w:rPr>
          <w:rFonts w:hint="eastAsia" w:ascii="仿宋_GB2312" w:eastAsia="仿宋_GB2312"/>
          <w:color w:val="000000"/>
          <w:sz w:val="30"/>
          <w:szCs w:val="30"/>
        </w:rPr>
        <w:t>.经国家金融监督管理总局或其派出机构验收通过，商业银行可使用替代数据代表实际头寸（如股票指数替代股票）。商业银行应证明替代方案的逻辑性和合理性，并提供历史数据。</w:t>
      </w:r>
    </w:p>
    <w:p>
      <w:pPr>
        <w:pStyle w:val="3"/>
        <w:rPr>
          <w:rFonts w:ascii="楷体" w:hAnsi="楷体" w:eastAsia="楷体" w:cs="宋体"/>
          <w:kern w:val="0"/>
        </w:rPr>
      </w:pPr>
      <w:r>
        <w:rPr>
          <w:rFonts w:hint="eastAsia"/>
        </w:rPr>
        <w:t>二、</w:t>
      </w:r>
      <w:bookmarkStart w:id="7" w:name="_Hlk48835888"/>
      <w:r>
        <w:rPr>
          <w:rFonts w:hint="eastAsia"/>
        </w:rPr>
        <w:t>内部模型法的最低定性要求</w:t>
      </w:r>
    </w:p>
    <w:bookmarkEnd w:id="7"/>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商业银行使用内部模型法应满足国家金融监督管理总局关于市场风险管理的一般要求和本办法的具体要求，并符合以下定性要求：</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（一）资本计量应与其日常市场风险管理活动紧密结合，包括：</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1.资本计量的内部模型应基于日常内部市场风险管理的模型，而非针对市场风险资本要求计量特殊调整后的模型。两者核心设计要素应一致，应处理同一套风险因子。</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2.模型应完全融入商业银行的日常市场风险管理过程，并作为提交高级管理层的风险报告的基础。模型结果应作为市场风险管理的必要组成部分。</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3.风险计量系统应与交易限额结合使用。交易限额与模型的联系应该保持一致，并被高级管理层所理解。</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（二）由独立的风险管理部门提供的市场风险每日报告应由一定层级的管理人员审阅，且该管理人员应有足够授权强制减少单个交易员的头寸和整个银行的风险暴露。</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（三）商业银行应建立独立于业务部门并直接向高级管理层报告的市场风险管理部门。该风险管理部门应负责设计和实施商业银行的市场风险管理体系，每日编制并分析基于风险计量模型输出结果的报告。</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（四）商业银行应建立</w:t>
      </w:r>
      <w:r>
        <w:rPr>
          <w:rFonts w:ascii="仿宋_GB2312" w:eastAsia="仿宋_GB2312"/>
          <w:color w:val="000000"/>
          <w:sz w:val="30"/>
          <w:szCs w:val="30"/>
        </w:rPr>
        <w:t>独立于设计和实施内部模型</w:t>
      </w:r>
      <w:r>
        <w:rPr>
          <w:rFonts w:hint="eastAsia" w:ascii="仿宋_GB2312" w:eastAsia="仿宋_GB2312"/>
          <w:color w:val="000000"/>
          <w:sz w:val="30"/>
          <w:szCs w:val="30"/>
        </w:rPr>
        <w:t>团队的模型验证团队。该团队应</w:t>
      </w:r>
      <w:r>
        <w:rPr>
          <w:rFonts w:ascii="仿宋_GB2312" w:eastAsia="仿宋_GB2312"/>
          <w:color w:val="000000"/>
          <w:sz w:val="30"/>
          <w:szCs w:val="30"/>
        </w:rPr>
        <w:t>对计量市场风险资本的内部模型开展初始和后续验证</w:t>
      </w:r>
      <w:r>
        <w:rPr>
          <w:rFonts w:hint="eastAsia" w:ascii="仿宋_GB2312" w:eastAsia="仿宋_GB2312"/>
          <w:color w:val="000000"/>
          <w:sz w:val="30"/>
          <w:szCs w:val="30"/>
        </w:rPr>
        <w:t>，验证频率</w:t>
      </w:r>
      <w:r>
        <w:rPr>
          <w:rFonts w:ascii="仿宋_GB2312" w:eastAsia="仿宋_GB2312"/>
          <w:color w:val="000000"/>
          <w:sz w:val="30"/>
          <w:szCs w:val="30"/>
        </w:rPr>
        <w:t>至少每年一次。</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（五）商业银行应拥有足够的能在交易、风险控制、审计和后台工作中使用复杂模型的员工。</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（六）商业银行应按照本办法的相关要求开展损益归因测试、压力测试和返回检验，频率分别不低于月度、月度和每日。</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（七）商业银行应建立足够支持其内部模型运行的信息系统。</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（八）商业银行所使用的内部模型应文档化，包含足够的细节。</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（九）商业银行应将适用范围内的全部头寸纳入计量市场风险资本的内部模型，并准确报告计量结果。模型的风险计量应基于完善的理论基础、正确的计算逻辑。</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（十）商业银行的内部审计、模型验证（或外部审计）应对市场风险计量体系进行独立审查，频率为每年。独立审查的部门范围包括业务交易部门和独立的风险管理部门。独立审查的内容应包括以下范围：</w:t>
      </w:r>
    </w:p>
    <w:p>
      <w:pPr>
        <w:spacing w:line="480" w:lineRule="exact"/>
        <w:ind w:firstLine="600" w:firstLineChars="200"/>
        <w:rPr>
          <w:rFonts w:ascii="仿宋_GB2312" w:eastAsia="仿宋_GB2312"/>
          <w:color w:val="000000"/>
          <w:sz w:val="30"/>
          <w:szCs w:val="30"/>
        </w:rPr>
      </w:pPr>
      <w:r>
        <w:rPr>
          <w:rFonts w:ascii="仿宋_GB2312" w:eastAsia="仿宋_GB2312"/>
          <w:color w:val="000000"/>
          <w:sz w:val="30"/>
          <w:szCs w:val="30"/>
        </w:rPr>
        <w:t>1</w:t>
      </w:r>
      <w:r>
        <w:rPr>
          <w:rFonts w:hint="eastAsia" w:ascii="仿宋_GB2312" w:eastAsia="仿宋_GB2312"/>
          <w:color w:val="000000"/>
          <w:sz w:val="30"/>
          <w:szCs w:val="30"/>
        </w:rPr>
        <w:t>.风险管理部门的组织架构。</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2.市场风险管理模型和流程体系文档的完备性。</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3.市场风险管理模型的准确性和适当性（包括任何重大变化）。</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4.验证内部模型数据源的独立性、一致性、时效性和可靠性。</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5.商业银行前台和后台人员使用的估值模型和估值系统的审批流程。</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6.交易台风险管理模型所反映的市场风险范围。</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7.信息管理系统的完整性。</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8.头寸数据的准确性和完整性。</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9.波动率和相关性假设的准确性和适当性。</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10.估值计算的准确性。</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11.通过返回检验和损益归因测试验证交易台风险管理模型的准确性。</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12.计量市场风险资本的模型与商业银行日常风险管理使用的内部模型之间的整体一致性。</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十一）商业银行应以交易台为单位向国家金融监督管理总局或其派出机构申请使用内部模型法计量市场风险资本要求，每次申请扩大使用范围至少应间隔一年。商业银行应指定拟纳入内部模型法的交易台，将其纳入申请评估范围，不得因标准法下资本要求较低而将交易台移出申请范围。商业银行对用于计量市场风险资本要求的内部模型进行任何重大变更前，应经国家金融监督管理总局或其派出机构验收通过。</w:t>
      </w:r>
    </w:p>
    <w:p>
      <w:pPr>
        <w:widowControl/>
        <w:spacing w:line="480" w:lineRule="exact"/>
        <w:ind w:firstLine="600" w:firstLineChars="200"/>
        <w:jc w:val="left"/>
        <w:rPr>
          <w:rFonts w:ascii="仿宋_GB2312" w:eastAsia="仿宋_GB2312" w:cs="仿宋_GB2312"/>
          <w:color w:val="000000"/>
          <w:kern w:val="0"/>
          <w:sz w:val="30"/>
          <w:szCs w:val="30"/>
          <w:shd w:val="clear" w:color="auto" w:fill="FFFFFF"/>
          <w:lang w:bidi="ar"/>
        </w:rPr>
      </w:pPr>
      <w:r>
        <w:rPr>
          <w:rFonts w:hint="eastAsia" w:ascii="仿宋_GB2312" w:eastAsia="仿宋_GB2312"/>
          <w:color w:val="000000"/>
          <w:sz w:val="30"/>
          <w:szCs w:val="30"/>
        </w:rPr>
        <w:t>（十二）</w:t>
      </w:r>
      <w:r>
        <w:rPr>
          <w:rFonts w:hint="eastAsia" w:ascii="仿宋_GB2312" w:eastAsia="仿宋_GB2312" w:cs="仿宋_GB2312"/>
          <w:color w:val="000000"/>
          <w:kern w:val="0"/>
          <w:sz w:val="30"/>
          <w:szCs w:val="30"/>
          <w:shd w:val="clear" w:color="auto" w:fill="FFFFFF"/>
          <w:lang w:bidi="ar"/>
        </w:rPr>
        <w:t>交易台是指由商业银行设定，在清晰的风险管理框架中执行明确交易策略的一组交易员或一套会计账目。用于资本计量的交易台的设定应经国家金融监督管理总局</w:t>
      </w:r>
      <w:r>
        <w:rPr>
          <w:rFonts w:hint="eastAsia" w:ascii="仿宋_GB2312" w:eastAsia="仿宋_GB2312"/>
          <w:color w:val="000000"/>
          <w:sz w:val="30"/>
          <w:szCs w:val="30"/>
        </w:rPr>
        <w:t>或其派出机构</w:t>
      </w:r>
      <w:r>
        <w:rPr>
          <w:rFonts w:hint="eastAsia" w:ascii="仿宋_GB2312" w:eastAsia="仿宋_GB2312" w:cs="仿宋_GB2312"/>
          <w:color w:val="000000"/>
          <w:kern w:val="0"/>
          <w:sz w:val="30"/>
          <w:szCs w:val="30"/>
          <w:shd w:val="clear" w:color="auto" w:fill="FFFFFF"/>
          <w:lang w:bidi="ar"/>
        </w:rPr>
        <w:t>验收</w:t>
      </w:r>
      <w:r>
        <w:rPr>
          <w:rFonts w:hint="eastAsia" w:ascii="仿宋_GB2312" w:eastAsia="仿宋_GB2312"/>
          <w:color w:val="000000"/>
          <w:sz w:val="30"/>
          <w:szCs w:val="30"/>
        </w:rPr>
        <w:t>通过</w:t>
      </w:r>
      <w:r>
        <w:rPr>
          <w:rFonts w:hint="eastAsia" w:ascii="仿宋_GB2312" w:eastAsia="仿宋_GB2312" w:cs="仿宋_GB2312"/>
          <w:color w:val="000000"/>
          <w:kern w:val="0"/>
          <w:sz w:val="30"/>
          <w:szCs w:val="30"/>
          <w:shd w:val="clear" w:color="auto" w:fill="FFFFFF"/>
          <w:lang w:bidi="ar"/>
        </w:rPr>
        <w:t>。</w:t>
      </w:r>
    </w:p>
    <w:p>
      <w:pPr>
        <w:widowControl/>
        <w:spacing w:line="480" w:lineRule="exact"/>
        <w:ind w:firstLine="600" w:firstLineChars="200"/>
        <w:jc w:val="left"/>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交易台应满足下列要求：</w:t>
      </w:r>
    </w:p>
    <w:p>
      <w:pPr>
        <w:widowControl/>
        <w:spacing w:line="480" w:lineRule="exact"/>
        <w:ind w:firstLine="600" w:firstLineChars="200"/>
        <w:jc w:val="left"/>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1.交易台的会计账目应指代清晰明确的利润单位。会计账目应由独立的会计科目构成，可作为独立的利润单位观测损益，并生成交易台层面的资产负债表和损益表。</w:t>
      </w:r>
    </w:p>
    <w:p>
      <w:pPr>
        <w:widowControl/>
        <w:spacing w:line="480" w:lineRule="exact"/>
        <w:ind w:firstLine="600" w:firstLineChars="200"/>
        <w:jc w:val="left"/>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2.交易台的交易主管不得超过两个，交易主管的角色、职责和权限应明确区分。交易主管直接监督交易员或会计账目，每个交易员或会计账目的业务范围应明确定义。除非经国家金融监督管理总局</w:t>
      </w:r>
      <w:r>
        <w:rPr>
          <w:rFonts w:hint="eastAsia" w:ascii="仿宋_GB2312" w:eastAsia="仿宋_GB2312"/>
          <w:color w:val="000000"/>
          <w:sz w:val="30"/>
          <w:szCs w:val="30"/>
        </w:rPr>
        <w:t>或其派出机构</w:t>
      </w:r>
      <w:r>
        <w:rPr>
          <w:rFonts w:hint="eastAsia" w:ascii="仿宋_GB2312" w:eastAsia="仿宋_GB2312" w:cs="仿宋_GB2312"/>
          <w:color w:val="000000"/>
          <w:kern w:val="0"/>
          <w:sz w:val="30"/>
          <w:szCs w:val="30"/>
          <w:shd w:val="clear" w:color="auto" w:fill="FFFFFF"/>
          <w:lang w:bidi="ar"/>
        </w:rPr>
        <w:t>认可，交易员及交易主管只能分配到一个交易台。</w:t>
      </w:r>
    </w:p>
    <w:p>
      <w:pPr>
        <w:widowControl/>
        <w:spacing w:line="480" w:lineRule="exact"/>
        <w:ind w:firstLine="600" w:firstLineChars="200"/>
        <w:jc w:val="left"/>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3.每个会计账目只能划入一个交易台。交易台应有清晰明确的风险范围且与预设目标一致。该范围应详细说明交易台涉及的风险类别和风险因子。</w:t>
      </w:r>
    </w:p>
    <w:p>
      <w:pPr>
        <w:widowControl/>
        <w:spacing w:line="480" w:lineRule="exact"/>
        <w:ind w:firstLine="600" w:firstLineChars="200"/>
        <w:jc w:val="left"/>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4.交易台向高级管理层的汇报路径应清晰明确。</w:t>
      </w:r>
    </w:p>
    <w:p>
      <w:pPr>
        <w:widowControl/>
        <w:spacing w:line="480" w:lineRule="exact"/>
        <w:ind w:firstLine="600" w:firstLineChars="200"/>
        <w:jc w:val="left"/>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5.交易台应有清晰的书面交易策略，包括主要交易活动、交易对冲策略、交易经济逻辑。</w:t>
      </w:r>
    </w:p>
    <w:p>
      <w:pPr>
        <w:widowControl/>
        <w:spacing w:line="480" w:lineRule="exact"/>
        <w:ind w:firstLine="600" w:firstLineChars="200"/>
        <w:jc w:val="left"/>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6.交易台应有清晰的人员安排和年度业务计划。</w:t>
      </w:r>
    </w:p>
    <w:p>
      <w:pPr>
        <w:widowControl/>
        <w:spacing w:line="480" w:lineRule="exact"/>
        <w:ind w:firstLine="600" w:firstLineChars="200"/>
        <w:jc w:val="left"/>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7.交易台应具有定期管理报告，包括交易台的损益、成本和风险加权资产。</w:t>
      </w:r>
    </w:p>
    <w:p>
      <w:pPr>
        <w:widowControl/>
        <w:spacing w:line="480" w:lineRule="exact"/>
        <w:ind w:firstLine="600" w:firstLineChars="200"/>
        <w:jc w:val="left"/>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8.交易台应具有清晰的风险管理职责。商业银行应明确负责监督交易台交易行为的关键团队和人员。</w:t>
      </w:r>
    </w:p>
    <w:p>
      <w:pPr>
        <w:widowControl/>
        <w:spacing w:line="480" w:lineRule="exact"/>
        <w:ind w:firstLine="600" w:firstLineChars="200"/>
        <w:jc w:val="left"/>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9.交易台应具有明确的交易授权和交易限额。商业银行高级管理层应至少每年对其进行审核。</w:t>
      </w:r>
    </w:p>
    <w:p>
      <w:pPr>
        <w:widowControl/>
        <w:spacing w:line="480" w:lineRule="exact"/>
        <w:ind w:firstLine="600" w:firstLineChars="200"/>
        <w:jc w:val="left"/>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10.交易台应至少每周生成交易台风险管理报告，包括损益报告和风险计量报告。</w:t>
      </w:r>
    </w:p>
    <w:p>
      <w:pPr>
        <w:widowControl/>
        <w:spacing w:line="480" w:lineRule="exact"/>
        <w:ind w:firstLine="600" w:firstLineChars="200"/>
        <w:jc w:val="left"/>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11.交易台应有每日限额报告和市场流动性评估报告，对于债券、实物商品等具有存货特征的头寸，应有头寸持有期报告。</w:t>
      </w:r>
    </w:p>
    <w:p>
      <w:pPr>
        <w:widowControl/>
        <w:spacing w:line="480" w:lineRule="exact"/>
        <w:ind w:firstLine="600" w:firstLineChars="200"/>
        <w:jc w:val="left"/>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（十三）在满足前述交易台要求的前提下，商业银行可根据业务经营和管理的需要，合理调整人员安排，在验收通过的交易台框架下设置操作性子交易台，而无需经国家金融监督管理总局</w:t>
      </w:r>
      <w:r>
        <w:rPr>
          <w:rFonts w:hint="eastAsia" w:ascii="仿宋_GB2312" w:eastAsia="仿宋_GB2312"/>
          <w:color w:val="000000"/>
          <w:sz w:val="30"/>
          <w:szCs w:val="30"/>
        </w:rPr>
        <w:t>或其派出机构</w:t>
      </w:r>
      <w:r>
        <w:rPr>
          <w:rFonts w:hint="eastAsia" w:ascii="仿宋_GB2312" w:eastAsia="仿宋_GB2312" w:cs="仿宋_GB2312"/>
          <w:color w:val="000000"/>
          <w:kern w:val="0"/>
          <w:sz w:val="30"/>
          <w:szCs w:val="30"/>
          <w:shd w:val="clear" w:color="auto" w:fill="FFFFFF"/>
          <w:lang w:bidi="ar"/>
        </w:rPr>
        <w:t>验收通过。</w:t>
      </w:r>
    </w:p>
    <w:p>
      <w:pPr>
        <w:widowControl/>
        <w:spacing w:line="480" w:lineRule="exact"/>
        <w:ind w:firstLine="600" w:firstLineChars="200"/>
        <w:jc w:val="left"/>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（十四）对于商业银行设置用于覆盖银行账簿外汇和商品头寸的名义交易台，可不适用本部分（十二）中的相关要求。</w:t>
      </w:r>
    </w:p>
    <w:p>
      <w:pPr>
        <w:widowControl/>
        <w:spacing w:line="480" w:lineRule="exact"/>
        <w:ind w:firstLine="600" w:firstLineChars="200"/>
        <w:jc w:val="left"/>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（十五）若商业银行拟采用内部模型法计量名义交易台下外汇或商品头寸的市场风险资本要求，可采取以下方法之一：</w:t>
      </w:r>
    </w:p>
    <w:p>
      <w:pPr>
        <w:widowControl/>
        <w:spacing w:line="480" w:lineRule="exact"/>
        <w:ind w:firstLine="600" w:firstLineChars="200"/>
        <w:jc w:val="left"/>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1.通过内部风险转移将头寸转移至其他已获批使用内部模型法且符合内部模型法使用条件的交易台。</w:t>
      </w:r>
    </w:p>
    <w:p>
      <w:pPr>
        <w:widowControl/>
        <w:spacing w:line="480" w:lineRule="exact"/>
        <w:ind w:firstLine="600" w:firstLineChars="200"/>
        <w:jc w:val="left"/>
        <w:rPr>
          <w:rFonts w:ascii="仿宋_GB2312" w:eastAsia="仿宋_GB2312" w:cs="仿宋_GB2312"/>
          <w:color w:val="000000"/>
          <w:kern w:val="0"/>
          <w:sz w:val="30"/>
          <w:szCs w:val="30"/>
          <w:shd w:val="clear" w:color="auto" w:fill="FFFFFF"/>
          <w:lang w:bidi="ar"/>
        </w:rPr>
      </w:pPr>
      <w:r>
        <w:rPr>
          <w:rFonts w:hint="eastAsia" w:ascii="仿宋_GB2312" w:eastAsia="仿宋_GB2312" w:cs="仿宋_GB2312"/>
          <w:color w:val="000000"/>
          <w:kern w:val="0"/>
          <w:sz w:val="30"/>
          <w:szCs w:val="30"/>
          <w:shd w:val="clear" w:color="auto" w:fill="FFFFFF"/>
          <w:lang w:bidi="ar"/>
        </w:rPr>
        <w:t>2.以名义交易台申请内部模型法，在此情况下，名义交易台仅需满足交易台的定量要求。</w:t>
      </w:r>
    </w:p>
    <w:p>
      <w:pPr>
        <w:pStyle w:val="3"/>
      </w:pPr>
      <w:r>
        <w:rPr>
          <w:rFonts w:hint="eastAsia"/>
        </w:rPr>
        <w:t>三、</w:t>
      </w:r>
      <w:bookmarkStart w:id="8" w:name="_Hlk48835895"/>
      <w:r>
        <w:rPr>
          <w:rFonts w:hint="eastAsia"/>
        </w:rPr>
        <w:t>风险因子模型合格性要求</w:t>
      </w:r>
    </w:p>
    <w:bookmarkEnd w:id="8"/>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（一）只有通过合格性检验并符合建模原则的风险因子才可纳入可建模风险因子预期尾部损失模型，否则应纳入不可建模风险因子计量资本要求。</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（二）合格性检验用于检验代表风险因子的真实价格数量是否充足。抵质押品的对账或估值结果不应视为满足风险因子合格性检验的真实价格。</w:t>
      </w:r>
    </w:p>
    <w:p>
      <w:pPr>
        <w:spacing w:line="480" w:lineRule="exact"/>
        <w:ind w:firstLine="600" w:firstLineChars="200"/>
        <w:rPr>
          <w:rFonts w:ascii="仿宋_GB2312" w:eastAsia="仿宋_GB2312"/>
          <w:color w:val="000000"/>
          <w:sz w:val="30"/>
          <w:szCs w:val="30"/>
        </w:rPr>
      </w:pPr>
      <w:r>
        <w:rPr>
          <w:rFonts w:hint="eastAsia" w:ascii="仿宋_GB2312" w:eastAsia="仿宋_GB2312" w:cs="仿宋_GB2312"/>
          <w:color w:val="000000"/>
          <w:kern w:val="0"/>
          <w:sz w:val="30"/>
          <w:szCs w:val="30"/>
          <w:shd w:val="clear" w:color="auto" w:fill="FFFFFF"/>
          <w:lang w:bidi="ar"/>
        </w:rPr>
        <w:t>（三）</w:t>
      </w:r>
      <w:r>
        <w:rPr>
          <w:rFonts w:hint="eastAsia" w:ascii="仿宋_GB2312" w:eastAsia="仿宋_GB2312"/>
          <w:color w:val="000000"/>
          <w:sz w:val="30"/>
          <w:szCs w:val="30"/>
        </w:rPr>
        <w:t xml:space="preserve">真实价格为符合下列条件之一的价格： </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1.商业银行自身已完成交易的价格。</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2.其他机构之间真实完成的可核实交易价格。</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3.由商业银行本身或另一家银行提交并通过第三方经纪商、交易平台或交易所验证的有效报价。</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4.从第三方经纪商获得的价格，应满足：</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（1）交易或有效报价已由该经纪商完成。</w:t>
      </w:r>
    </w:p>
    <w:p>
      <w:pPr>
        <w:widowControl/>
        <w:spacing w:line="48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（2）经纪商应提供交易或有效报价的证据，或该价格符合上述1至3列出的三项准则中的任何一条。</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（四）通过合格性检验的风险因子每季度应至少满足以下标准之一：</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1.对该风险因子，商业银行应在过去12个月识别出不少于24个真实价格，并且任意90天内真实价格不少于4个。每天计数的真实价格不得超过1个。</w:t>
      </w:r>
      <w:bookmarkStart w:id="9" w:name="_Hlk71359196"/>
      <w:r>
        <w:rPr>
          <w:rFonts w:hint="eastAsia" w:ascii="仿宋_GB2312" w:eastAsia="仿宋_GB2312"/>
          <w:color w:val="000000"/>
          <w:sz w:val="30"/>
          <w:szCs w:val="30"/>
        </w:rPr>
        <w:t>上述要求应每月监测并满足。</w:t>
      </w:r>
      <w:bookmarkEnd w:id="9"/>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2.对该风险因子，商业银行应在过去12个月识别出不少于100个真实价格，每天的真实价格不得超过1个。</w:t>
      </w:r>
    </w:p>
    <w:p>
      <w:pPr>
        <w:spacing w:line="480" w:lineRule="exact"/>
        <w:ind w:firstLine="600" w:firstLineChars="200"/>
        <w:rPr>
          <w:rFonts w:ascii="仿宋_GB2312" w:eastAsia="仿宋_GB2312"/>
          <w:color w:val="000000"/>
          <w:sz w:val="30"/>
          <w:szCs w:val="30"/>
        </w:rPr>
      </w:pPr>
      <w:bookmarkStart w:id="10" w:name="_Hlk71359423"/>
      <w:r>
        <w:rPr>
          <w:rFonts w:hint="eastAsia" w:ascii="仿宋_GB2312" w:eastAsia="仿宋_GB2312"/>
          <w:color w:val="000000"/>
          <w:sz w:val="30"/>
          <w:szCs w:val="30"/>
        </w:rPr>
        <w:t>（五）商业银行可使用根据从第三方经纪商收集的信息得出的真实价格，前提是满足以下所有条件</w:t>
      </w:r>
      <w:bookmarkEnd w:id="10"/>
      <w:r>
        <w:rPr>
          <w:rFonts w:hint="eastAsia" w:ascii="仿宋_GB2312" w:eastAsia="仿宋_GB2312"/>
          <w:color w:val="000000"/>
          <w:sz w:val="30"/>
          <w:szCs w:val="30"/>
        </w:rPr>
        <w:t xml:space="preserve">： </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1.经纪商将真实价格相应的数量和日期告知商业银行。</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2.经纪商单独提供信息识别方法，使商业银行能够将真实价格映射到风险因子。</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经纪商接受对其定价信息有效性的审计。审计结果报告应提供给国家金融监督管理总局或其派出机构和相关商业银行。若审计结果不合格，国家金融监督管理总局可禁止商业银行就该风险因子使用来自该经纪商的数据。</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（六）商业银行若使用参数函数（如隐含收益率曲线等）表示曲线或曲面，并将其作为风险因子时，应在其市场数据输入项层面（而非其本身）进行风险因子合格性检验。</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七）商业银行可使用反映特定经济体、地区或行业市场变动情况的系统性信用或股票风险因子。如果市场指数或单个发行人的工具与系统性风险因子属性相同，可使用指数或工具的真实价格进行风险因子合格性检验。</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（八）商业银行应制定描述真实价格与风险因子的映射关系的政策和文档，并向国家金融监督管理总局或其派出机构证明检验方法的适当性。</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（九）商业银行可采用自行分组法或监管分组法，用于计算风险因子合格性检验的真实价格观测值。</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1.自行分组法。商业银行应定义拟使用分组，分组应满足以下要求：</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（1）每个分组只能包含一个风险因子，风险因子应与损益归因测试中用于风险理论损益的风险因子对应。</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（2）分组不能重叠。</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2.监管分组法。商业银行应使用表1中的分组标准：</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（1）具有同一个到期日维度的利率、汇率和商品风险因子（不包括隐含波动率），适用表格中（A）行分组。</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（2）具有几个不同的到期日维度的利率、汇率和商品风险因子（不包括隐含波动率），适用表格中（B）行分组。</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（3）具有一个或多个到期日维度的信用利差和股票风险因子（不包括隐含波动率），适用表格中（C）行分组。</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4</w:t>
      </w:r>
      <w:r>
        <w:rPr>
          <w:rFonts w:hint="eastAsia" w:ascii="仿宋_GB2312" w:eastAsia="仿宋_GB2312"/>
          <w:color w:val="000000"/>
          <w:sz w:val="30"/>
          <w:szCs w:val="30"/>
        </w:rPr>
        <w:t>）具有一个或多个执行价格维度的任何风险因子（得尔塔δ，即一个期权在到期时为价内期权的概率），适用表格中（D）行分组。</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（5）对于隐含波动率风险因子的行权日和执行价格维度（不包括利率互换期权的风险因子），适用表格中（C）行和（D）行的分组。</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（6）对于利率互换期权的隐含波动率风险因子的到期日、行权日和执行价格维度，适用表格（B）行、（C）行和（D）行的分组。</w:t>
      </w:r>
    </w:p>
    <w:p>
      <w:pPr>
        <w:jc w:val="center"/>
        <w:rPr>
          <w:rFonts w:ascii="仿宋_GB2312" w:eastAsia="仿宋_GB2312"/>
          <w:color w:val="000000"/>
          <w:sz w:val="30"/>
          <w:szCs w:val="30"/>
        </w:rPr>
      </w:pPr>
      <w:r>
        <w:rPr>
          <w:rFonts w:hint="eastAsia" w:ascii="楷体_GB2312" w:eastAsia="楷体_GB2312"/>
          <w:b/>
          <w:color w:val="000000"/>
          <w:sz w:val="28"/>
          <w:szCs w:val="28"/>
        </w:rPr>
        <w:t>表1 监管分组法的标准分组</w:t>
      </w:r>
    </w:p>
    <w:tbl>
      <w:tblPr>
        <w:tblStyle w:val="38"/>
        <w:tblW w:w="11172" w:type="dxa"/>
        <w:tblInd w:w="-1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135"/>
        <w:gridCol w:w="1417"/>
        <w:gridCol w:w="1322"/>
        <w:gridCol w:w="1103"/>
        <w:gridCol w:w="1102"/>
        <w:gridCol w:w="1103"/>
        <w:gridCol w:w="1102"/>
        <w:gridCol w:w="1103"/>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Merge w:val="restart"/>
            <w:vAlign w:val="center"/>
          </w:tcPr>
          <w:p>
            <w:pPr>
              <w:spacing w:line="480" w:lineRule="exact"/>
              <w:jc w:val="center"/>
              <w:rPr>
                <w:rFonts w:ascii="宋体" w:hAnsi="宋体"/>
                <w:color w:val="000000"/>
                <w:sz w:val="24"/>
              </w:rPr>
            </w:pPr>
            <w:r>
              <w:rPr>
                <w:rFonts w:hint="eastAsia" w:ascii="宋体" w:hAnsi="宋体"/>
                <w:color w:val="000000"/>
                <w:sz w:val="24"/>
              </w:rPr>
              <w:t>行</w:t>
            </w:r>
          </w:p>
        </w:tc>
        <w:tc>
          <w:tcPr>
            <w:tcW w:w="10490" w:type="dxa"/>
            <w:gridSpan w:val="9"/>
            <w:vAlign w:val="center"/>
          </w:tcPr>
          <w:p>
            <w:pPr>
              <w:spacing w:line="480" w:lineRule="exact"/>
              <w:jc w:val="center"/>
              <w:rPr>
                <w:rFonts w:ascii="宋体" w:hAnsi="宋体"/>
                <w:color w:val="000000"/>
                <w:sz w:val="24"/>
              </w:rPr>
            </w:pPr>
            <w:r>
              <w:rPr>
                <w:rFonts w:hint="eastAsia" w:ascii="宋体" w:hAnsi="宋体"/>
                <w:color w:val="000000"/>
                <w:sz w:val="24"/>
              </w:rPr>
              <w:t>分组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Merge w:val="continue"/>
          </w:tcPr>
          <w:p>
            <w:pPr>
              <w:spacing w:line="480" w:lineRule="exact"/>
              <w:rPr>
                <w:rFonts w:ascii="宋体" w:hAnsi="宋体"/>
                <w:color w:val="000000"/>
                <w:sz w:val="24"/>
              </w:rPr>
            </w:pPr>
          </w:p>
        </w:tc>
        <w:tc>
          <w:tcPr>
            <w:tcW w:w="1135" w:type="dxa"/>
            <w:vAlign w:val="center"/>
          </w:tcPr>
          <w:p>
            <w:pPr>
              <w:spacing w:line="480" w:lineRule="exact"/>
              <w:jc w:val="center"/>
              <w:rPr>
                <w:rFonts w:ascii="宋体" w:hAnsi="宋体"/>
                <w:color w:val="000000"/>
                <w:sz w:val="24"/>
              </w:rPr>
            </w:pPr>
            <w:r>
              <w:rPr>
                <w:rFonts w:hint="eastAsia" w:ascii="宋体" w:hAnsi="宋体"/>
                <w:color w:val="000000"/>
                <w:sz w:val="24"/>
              </w:rPr>
              <w:t>1</w:t>
            </w:r>
          </w:p>
        </w:tc>
        <w:tc>
          <w:tcPr>
            <w:tcW w:w="1417" w:type="dxa"/>
            <w:vAlign w:val="center"/>
          </w:tcPr>
          <w:p>
            <w:pPr>
              <w:spacing w:line="480" w:lineRule="exact"/>
              <w:jc w:val="center"/>
              <w:rPr>
                <w:rFonts w:ascii="宋体" w:hAnsi="宋体"/>
                <w:color w:val="000000"/>
                <w:sz w:val="24"/>
              </w:rPr>
            </w:pPr>
            <w:r>
              <w:rPr>
                <w:rFonts w:hint="eastAsia" w:ascii="宋体" w:hAnsi="宋体"/>
                <w:color w:val="000000"/>
                <w:sz w:val="24"/>
              </w:rPr>
              <w:t>2</w:t>
            </w:r>
          </w:p>
        </w:tc>
        <w:tc>
          <w:tcPr>
            <w:tcW w:w="1322" w:type="dxa"/>
            <w:vAlign w:val="center"/>
          </w:tcPr>
          <w:p>
            <w:pPr>
              <w:spacing w:line="480" w:lineRule="exact"/>
              <w:jc w:val="center"/>
              <w:rPr>
                <w:rFonts w:ascii="宋体" w:hAnsi="宋体"/>
                <w:color w:val="000000"/>
                <w:sz w:val="24"/>
              </w:rPr>
            </w:pPr>
            <w:r>
              <w:rPr>
                <w:rFonts w:hint="eastAsia" w:ascii="宋体" w:hAnsi="宋体"/>
                <w:color w:val="000000"/>
                <w:sz w:val="24"/>
              </w:rPr>
              <w:t>3</w:t>
            </w:r>
          </w:p>
        </w:tc>
        <w:tc>
          <w:tcPr>
            <w:tcW w:w="1103" w:type="dxa"/>
            <w:vAlign w:val="center"/>
          </w:tcPr>
          <w:p>
            <w:pPr>
              <w:spacing w:line="480" w:lineRule="exact"/>
              <w:jc w:val="center"/>
              <w:rPr>
                <w:rFonts w:ascii="宋体" w:hAnsi="宋体"/>
                <w:color w:val="000000"/>
                <w:sz w:val="24"/>
              </w:rPr>
            </w:pPr>
            <w:r>
              <w:rPr>
                <w:rFonts w:hint="eastAsia" w:ascii="宋体" w:hAnsi="宋体"/>
                <w:color w:val="000000"/>
                <w:sz w:val="24"/>
              </w:rPr>
              <w:t>4</w:t>
            </w:r>
          </w:p>
        </w:tc>
        <w:tc>
          <w:tcPr>
            <w:tcW w:w="1102" w:type="dxa"/>
            <w:vAlign w:val="center"/>
          </w:tcPr>
          <w:p>
            <w:pPr>
              <w:spacing w:line="480" w:lineRule="exact"/>
              <w:jc w:val="center"/>
              <w:rPr>
                <w:rFonts w:ascii="宋体" w:hAnsi="宋体"/>
                <w:color w:val="000000"/>
                <w:sz w:val="24"/>
              </w:rPr>
            </w:pPr>
            <w:r>
              <w:rPr>
                <w:rFonts w:hint="eastAsia" w:ascii="宋体" w:hAnsi="宋体"/>
                <w:color w:val="000000"/>
                <w:sz w:val="24"/>
              </w:rPr>
              <w:t>5</w:t>
            </w:r>
          </w:p>
        </w:tc>
        <w:tc>
          <w:tcPr>
            <w:tcW w:w="1103" w:type="dxa"/>
            <w:vAlign w:val="center"/>
          </w:tcPr>
          <w:p>
            <w:pPr>
              <w:spacing w:line="480" w:lineRule="exact"/>
              <w:jc w:val="center"/>
              <w:rPr>
                <w:rFonts w:ascii="宋体" w:hAnsi="宋体"/>
                <w:color w:val="000000"/>
                <w:sz w:val="24"/>
              </w:rPr>
            </w:pPr>
            <w:r>
              <w:rPr>
                <w:rFonts w:hint="eastAsia" w:ascii="宋体" w:hAnsi="宋体"/>
                <w:color w:val="000000"/>
                <w:sz w:val="24"/>
              </w:rPr>
              <w:t>6</w:t>
            </w:r>
          </w:p>
        </w:tc>
        <w:tc>
          <w:tcPr>
            <w:tcW w:w="1102" w:type="dxa"/>
            <w:vAlign w:val="center"/>
          </w:tcPr>
          <w:p>
            <w:pPr>
              <w:spacing w:line="480" w:lineRule="exact"/>
              <w:jc w:val="center"/>
              <w:rPr>
                <w:rFonts w:ascii="宋体" w:hAnsi="宋体"/>
                <w:color w:val="000000"/>
                <w:sz w:val="24"/>
              </w:rPr>
            </w:pPr>
            <w:r>
              <w:rPr>
                <w:rFonts w:hint="eastAsia" w:ascii="宋体" w:hAnsi="宋体"/>
                <w:color w:val="000000"/>
                <w:sz w:val="24"/>
              </w:rPr>
              <w:t>7</w:t>
            </w:r>
          </w:p>
        </w:tc>
        <w:tc>
          <w:tcPr>
            <w:tcW w:w="1103" w:type="dxa"/>
            <w:vAlign w:val="center"/>
          </w:tcPr>
          <w:p>
            <w:pPr>
              <w:spacing w:line="480" w:lineRule="exact"/>
              <w:jc w:val="center"/>
              <w:rPr>
                <w:rFonts w:ascii="宋体" w:hAnsi="宋体"/>
                <w:color w:val="000000"/>
                <w:sz w:val="24"/>
              </w:rPr>
            </w:pPr>
            <w:r>
              <w:rPr>
                <w:rFonts w:hint="eastAsia" w:ascii="宋体" w:hAnsi="宋体"/>
                <w:color w:val="000000"/>
                <w:sz w:val="24"/>
              </w:rPr>
              <w:t>8</w:t>
            </w:r>
          </w:p>
        </w:tc>
        <w:tc>
          <w:tcPr>
            <w:tcW w:w="1103" w:type="dxa"/>
            <w:vAlign w:val="center"/>
          </w:tcPr>
          <w:p>
            <w:pPr>
              <w:spacing w:line="480" w:lineRule="exact"/>
              <w:jc w:val="center"/>
              <w:rPr>
                <w:rFonts w:ascii="宋体" w:hAnsi="宋体"/>
                <w:color w:val="000000"/>
                <w:sz w:val="24"/>
              </w:rPr>
            </w:pPr>
            <w:r>
              <w:rPr>
                <w:rFonts w:hint="eastAsia" w:ascii="宋体" w:hAnsi="宋体"/>
                <w:color w:val="00000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pPr>
              <w:spacing w:line="480" w:lineRule="exact"/>
              <w:jc w:val="center"/>
              <w:rPr>
                <w:rFonts w:ascii="宋体" w:hAnsi="宋体"/>
                <w:color w:val="000000"/>
                <w:sz w:val="24"/>
              </w:rPr>
            </w:pPr>
            <w:r>
              <w:rPr>
                <w:rFonts w:hint="eastAsia" w:ascii="宋体" w:hAnsi="宋体"/>
                <w:color w:val="000000"/>
                <w:sz w:val="24"/>
              </w:rPr>
              <w:t>(</w:t>
            </w:r>
            <w:r>
              <w:rPr>
                <w:rFonts w:ascii="宋体" w:hAnsi="宋体"/>
                <w:color w:val="000000"/>
                <w:sz w:val="24"/>
              </w:rPr>
              <w:t>A)</w:t>
            </w:r>
          </w:p>
        </w:tc>
        <w:tc>
          <w:tcPr>
            <w:tcW w:w="1135" w:type="dxa"/>
            <w:vAlign w:val="center"/>
          </w:tcPr>
          <w:p>
            <w:pPr>
              <w:jc w:val="center"/>
              <w:rPr>
                <w:rFonts w:ascii="宋体" w:hAnsi="宋体"/>
                <w:color w:val="000000"/>
                <w:sz w:val="24"/>
              </w:rPr>
            </w:pPr>
            <w:r>
              <w:rPr>
                <w:rFonts w:hint="eastAsia" w:ascii="宋体" w:hAnsi="宋体"/>
                <w:color w:val="000000"/>
                <w:sz w:val="24"/>
              </w:rPr>
              <w:t>0≤t&lt;</w:t>
            </w:r>
            <w:r>
              <w:rPr>
                <w:rFonts w:ascii="宋体" w:hAnsi="宋体"/>
                <w:color w:val="000000"/>
                <w:sz w:val="24"/>
              </w:rPr>
              <w:t>0.75</w:t>
            </w:r>
          </w:p>
        </w:tc>
        <w:tc>
          <w:tcPr>
            <w:tcW w:w="1417" w:type="dxa"/>
            <w:vAlign w:val="center"/>
          </w:tcPr>
          <w:p>
            <w:pPr>
              <w:jc w:val="center"/>
              <w:rPr>
                <w:rFonts w:ascii="宋体" w:hAnsi="宋体"/>
                <w:color w:val="000000"/>
                <w:sz w:val="24"/>
              </w:rPr>
            </w:pPr>
            <w:r>
              <w:rPr>
                <w:rFonts w:hint="eastAsia" w:ascii="宋体" w:hAnsi="宋体"/>
                <w:color w:val="000000"/>
                <w:sz w:val="24"/>
              </w:rPr>
              <w:t>0</w:t>
            </w:r>
            <w:r>
              <w:rPr>
                <w:rFonts w:ascii="宋体" w:hAnsi="宋体"/>
                <w:color w:val="000000"/>
                <w:sz w:val="24"/>
              </w:rPr>
              <w:t>.75</w:t>
            </w:r>
            <w:r>
              <w:rPr>
                <w:rFonts w:hint="eastAsia" w:ascii="宋体" w:hAnsi="宋体"/>
                <w:color w:val="000000"/>
                <w:sz w:val="24"/>
              </w:rPr>
              <w:t>≤t&lt;</w:t>
            </w:r>
            <w:r>
              <w:rPr>
                <w:rFonts w:ascii="宋体" w:hAnsi="宋体"/>
                <w:color w:val="000000"/>
                <w:sz w:val="24"/>
              </w:rPr>
              <w:t>1</w:t>
            </w:r>
            <w:r>
              <w:rPr>
                <w:rFonts w:hint="eastAsia" w:ascii="宋体" w:hAnsi="宋体"/>
                <w:color w:val="000000"/>
                <w:sz w:val="24"/>
              </w:rPr>
              <w:t>.</w:t>
            </w:r>
            <w:r>
              <w:rPr>
                <w:rFonts w:ascii="宋体" w:hAnsi="宋体"/>
                <w:color w:val="000000"/>
                <w:sz w:val="24"/>
              </w:rPr>
              <w:t>5</w:t>
            </w:r>
          </w:p>
        </w:tc>
        <w:tc>
          <w:tcPr>
            <w:tcW w:w="1322" w:type="dxa"/>
            <w:vAlign w:val="center"/>
          </w:tcPr>
          <w:p>
            <w:pPr>
              <w:jc w:val="center"/>
              <w:rPr>
                <w:rFonts w:ascii="宋体" w:hAnsi="宋体"/>
                <w:color w:val="000000"/>
                <w:sz w:val="24"/>
              </w:rPr>
            </w:pPr>
            <w:r>
              <w:rPr>
                <w:rFonts w:hint="eastAsia" w:ascii="宋体" w:hAnsi="宋体"/>
                <w:color w:val="000000"/>
                <w:sz w:val="24"/>
              </w:rPr>
              <w:t>1.</w:t>
            </w:r>
            <w:r>
              <w:rPr>
                <w:rFonts w:ascii="宋体" w:hAnsi="宋体"/>
                <w:color w:val="000000"/>
                <w:sz w:val="24"/>
              </w:rPr>
              <w:t>5</w:t>
            </w:r>
            <w:r>
              <w:rPr>
                <w:rFonts w:hint="eastAsia" w:ascii="宋体" w:hAnsi="宋体"/>
                <w:color w:val="000000"/>
                <w:sz w:val="24"/>
              </w:rPr>
              <w:t>≤t&lt;</w:t>
            </w:r>
            <w:r>
              <w:rPr>
                <w:rFonts w:ascii="宋体" w:hAnsi="宋体"/>
                <w:color w:val="000000"/>
                <w:sz w:val="24"/>
              </w:rPr>
              <w:t>4</w:t>
            </w:r>
          </w:p>
        </w:tc>
        <w:tc>
          <w:tcPr>
            <w:tcW w:w="1103" w:type="dxa"/>
            <w:vAlign w:val="center"/>
          </w:tcPr>
          <w:p>
            <w:pPr>
              <w:jc w:val="center"/>
              <w:rPr>
                <w:rFonts w:ascii="宋体" w:hAnsi="宋体"/>
                <w:color w:val="000000"/>
                <w:sz w:val="24"/>
              </w:rPr>
            </w:pPr>
            <w:r>
              <w:rPr>
                <w:rFonts w:ascii="宋体" w:hAnsi="宋体"/>
                <w:color w:val="000000"/>
                <w:sz w:val="24"/>
              </w:rPr>
              <w:t>4</w:t>
            </w:r>
            <w:r>
              <w:rPr>
                <w:rFonts w:hint="eastAsia" w:ascii="宋体" w:hAnsi="宋体"/>
                <w:color w:val="000000"/>
                <w:sz w:val="24"/>
              </w:rPr>
              <w:t>≤t&lt;</w:t>
            </w:r>
            <w:r>
              <w:rPr>
                <w:rFonts w:ascii="宋体" w:hAnsi="宋体"/>
                <w:color w:val="000000"/>
                <w:sz w:val="24"/>
              </w:rPr>
              <w:t>7</w:t>
            </w:r>
          </w:p>
        </w:tc>
        <w:tc>
          <w:tcPr>
            <w:tcW w:w="1102" w:type="dxa"/>
            <w:vAlign w:val="center"/>
          </w:tcPr>
          <w:p>
            <w:pPr>
              <w:jc w:val="center"/>
              <w:rPr>
                <w:rFonts w:ascii="宋体" w:hAnsi="宋体"/>
                <w:color w:val="000000"/>
                <w:sz w:val="24"/>
              </w:rPr>
            </w:pPr>
            <w:r>
              <w:rPr>
                <w:rFonts w:ascii="宋体" w:hAnsi="宋体"/>
                <w:color w:val="000000"/>
                <w:sz w:val="24"/>
              </w:rPr>
              <w:t>7</w:t>
            </w:r>
            <w:r>
              <w:rPr>
                <w:rFonts w:hint="eastAsia" w:ascii="宋体" w:hAnsi="宋体"/>
                <w:color w:val="000000"/>
                <w:sz w:val="24"/>
              </w:rPr>
              <w:t>≤t&lt;</w:t>
            </w:r>
            <w:r>
              <w:rPr>
                <w:rFonts w:ascii="宋体" w:hAnsi="宋体"/>
                <w:color w:val="000000"/>
                <w:sz w:val="24"/>
              </w:rPr>
              <w:t>12</w:t>
            </w:r>
          </w:p>
        </w:tc>
        <w:tc>
          <w:tcPr>
            <w:tcW w:w="1103" w:type="dxa"/>
            <w:vAlign w:val="center"/>
          </w:tcPr>
          <w:p>
            <w:pPr>
              <w:jc w:val="center"/>
              <w:rPr>
                <w:rFonts w:ascii="宋体" w:hAnsi="宋体"/>
                <w:color w:val="000000"/>
                <w:sz w:val="24"/>
              </w:rPr>
            </w:pPr>
            <w:r>
              <w:rPr>
                <w:rFonts w:ascii="宋体" w:hAnsi="宋体"/>
                <w:color w:val="000000"/>
                <w:sz w:val="24"/>
              </w:rPr>
              <w:t>12</w:t>
            </w:r>
            <w:r>
              <w:rPr>
                <w:rFonts w:hint="eastAsia" w:ascii="宋体" w:hAnsi="宋体"/>
                <w:color w:val="000000"/>
                <w:sz w:val="24"/>
              </w:rPr>
              <w:t>≤t&lt;</w:t>
            </w:r>
            <w:r>
              <w:rPr>
                <w:rFonts w:ascii="宋体" w:hAnsi="宋体"/>
                <w:color w:val="000000"/>
                <w:sz w:val="24"/>
              </w:rPr>
              <w:t>18</w:t>
            </w:r>
          </w:p>
        </w:tc>
        <w:tc>
          <w:tcPr>
            <w:tcW w:w="1102" w:type="dxa"/>
            <w:vAlign w:val="center"/>
          </w:tcPr>
          <w:p>
            <w:pPr>
              <w:jc w:val="center"/>
              <w:rPr>
                <w:rFonts w:ascii="宋体" w:hAnsi="宋体"/>
                <w:color w:val="000000"/>
                <w:sz w:val="24"/>
              </w:rPr>
            </w:pPr>
            <w:r>
              <w:rPr>
                <w:rFonts w:ascii="宋体" w:hAnsi="宋体"/>
                <w:color w:val="000000"/>
                <w:sz w:val="24"/>
              </w:rPr>
              <w:t>18</w:t>
            </w:r>
            <w:r>
              <w:rPr>
                <w:rFonts w:hint="eastAsia" w:ascii="宋体" w:hAnsi="宋体"/>
                <w:color w:val="000000"/>
                <w:sz w:val="24"/>
              </w:rPr>
              <w:t>≤t&lt;</w:t>
            </w:r>
            <w:r>
              <w:rPr>
                <w:rFonts w:ascii="宋体" w:hAnsi="宋体"/>
                <w:color w:val="000000"/>
                <w:sz w:val="24"/>
              </w:rPr>
              <w:t>25</w:t>
            </w:r>
          </w:p>
        </w:tc>
        <w:tc>
          <w:tcPr>
            <w:tcW w:w="1103" w:type="dxa"/>
            <w:vAlign w:val="center"/>
          </w:tcPr>
          <w:p>
            <w:pPr>
              <w:jc w:val="center"/>
              <w:rPr>
                <w:rFonts w:ascii="宋体" w:hAnsi="宋体"/>
                <w:color w:val="000000"/>
                <w:sz w:val="24"/>
              </w:rPr>
            </w:pPr>
            <w:r>
              <w:rPr>
                <w:rFonts w:ascii="宋体" w:hAnsi="宋体"/>
                <w:color w:val="000000"/>
                <w:sz w:val="24"/>
              </w:rPr>
              <w:t>25</w:t>
            </w:r>
            <w:r>
              <w:rPr>
                <w:rFonts w:hint="eastAsia" w:ascii="宋体" w:hAnsi="宋体"/>
                <w:color w:val="000000"/>
                <w:sz w:val="24"/>
              </w:rPr>
              <w:t>≤t&lt;</w:t>
            </w:r>
            <w:r>
              <w:rPr>
                <w:rFonts w:ascii="宋体" w:hAnsi="宋体"/>
                <w:color w:val="000000"/>
                <w:sz w:val="24"/>
              </w:rPr>
              <w:t>35</w:t>
            </w:r>
          </w:p>
        </w:tc>
        <w:tc>
          <w:tcPr>
            <w:tcW w:w="1103" w:type="dxa"/>
            <w:vAlign w:val="center"/>
          </w:tcPr>
          <w:p>
            <w:pPr>
              <w:jc w:val="center"/>
              <w:rPr>
                <w:rFonts w:ascii="宋体" w:hAnsi="宋体"/>
                <w:color w:val="000000"/>
                <w:sz w:val="24"/>
              </w:rPr>
            </w:pPr>
            <w:r>
              <w:rPr>
                <w:rFonts w:ascii="宋体" w:hAnsi="宋体"/>
                <w:color w:val="000000"/>
                <w:sz w:val="24"/>
              </w:rPr>
              <w:t>35</w:t>
            </w:r>
            <w:r>
              <w:rPr>
                <w:rFonts w:hint="eastAsia" w:ascii="宋体" w:hAnsi="宋体"/>
                <w:color w:val="000000"/>
                <w:sz w:val="24"/>
              </w:rPr>
              <w:t>≤t</w:t>
            </w:r>
            <w:r>
              <w:rPr>
                <w:rFonts w:ascii="宋体" w:hAnsi="宋体"/>
                <w:color w:val="000000"/>
                <w:sz w:val="24"/>
              </w:rPr>
              <w:t>&lt;</w:t>
            </w: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dxa"/>
            <w:vAlign w:val="center"/>
          </w:tcPr>
          <w:p>
            <w:pPr>
              <w:spacing w:line="480" w:lineRule="exact"/>
              <w:jc w:val="center"/>
              <w:rPr>
                <w:rFonts w:ascii="宋体" w:hAnsi="宋体"/>
                <w:color w:val="000000"/>
                <w:sz w:val="24"/>
              </w:rPr>
            </w:pPr>
            <w:r>
              <w:rPr>
                <w:rFonts w:hint="eastAsia" w:ascii="宋体" w:hAnsi="宋体"/>
                <w:color w:val="000000"/>
                <w:sz w:val="24"/>
              </w:rPr>
              <w:t>(</w:t>
            </w:r>
            <w:r>
              <w:rPr>
                <w:rFonts w:ascii="宋体" w:hAnsi="宋体"/>
                <w:color w:val="000000"/>
                <w:sz w:val="24"/>
              </w:rPr>
              <w:t>B)</w:t>
            </w:r>
          </w:p>
        </w:tc>
        <w:tc>
          <w:tcPr>
            <w:tcW w:w="1135" w:type="dxa"/>
            <w:vAlign w:val="center"/>
          </w:tcPr>
          <w:p>
            <w:pPr>
              <w:jc w:val="center"/>
              <w:rPr>
                <w:rFonts w:ascii="宋体" w:hAnsi="宋体"/>
                <w:color w:val="000000"/>
                <w:sz w:val="24"/>
              </w:rPr>
            </w:pPr>
            <w:r>
              <w:rPr>
                <w:rFonts w:hint="eastAsia" w:ascii="宋体" w:hAnsi="宋体"/>
                <w:color w:val="000000"/>
                <w:sz w:val="24"/>
              </w:rPr>
              <w:t>0≤t&lt;</w:t>
            </w:r>
            <w:r>
              <w:rPr>
                <w:rFonts w:ascii="宋体" w:hAnsi="宋体"/>
                <w:color w:val="000000"/>
                <w:sz w:val="24"/>
              </w:rPr>
              <w:t>0.75</w:t>
            </w:r>
          </w:p>
        </w:tc>
        <w:tc>
          <w:tcPr>
            <w:tcW w:w="1417" w:type="dxa"/>
            <w:vAlign w:val="center"/>
          </w:tcPr>
          <w:p>
            <w:pPr>
              <w:jc w:val="center"/>
              <w:rPr>
                <w:rFonts w:ascii="宋体" w:hAnsi="宋体"/>
                <w:color w:val="000000"/>
                <w:sz w:val="24"/>
              </w:rPr>
            </w:pPr>
            <w:r>
              <w:rPr>
                <w:rFonts w:hint="eastAsia" w:ascii="宋体" w:hAnsi="宋体"/>
                <w:color w:val="000000"/>
                <w:sz w:val="24"/>
              </w:rPr>
              <w:t>0</w:t>
            </w:r>
            <w:r>
              <w:rPr>
                <w:rFonts w:ascii="宋体" w:hAnsi="宋体"/>
                <w:color w:val="000000"/>
                <w:sz w:val="24"/>
              </w:rPr>
              <w:t>.75</w:t>
            </w:r>
            <w:r>
              <w:rPr>
                <w:rFonts w:hint="eastAsia" w:ascii="宋体" w:hAnsi="宋体"/>
                <w:color w:val="000000"/>
                <w:sz w:val="24"/>
              </w:rPr>
              <w:t>≤t&lt;4</w:t>
            </w:r>
          </w:p>
        </w:tc>
        <w:tc>
          <w:tcPr>
            <w:tcW w:w="1322" w:type="dxa"/>
            <w:vAlign w:val="center"/>
          </w:tcPr>
          <w:p>
            <w:pPr>
              <w:jc w:val="center"/>
              <w:rPr>
                <w:rFonts w:ascii="宋体" w:hAnsi="宋体"/>
                <w:color w:val="000000"/>
                <w:sz w:val="24"/>
              </w:rPr>
            </w:pPr>
            <w:r>
              <w:rPr>
                <w:rFonts w:hint="eastAsia" w:ascii="宋体" w:hAnsi="宋体"/>
                <w:color w:val="000000"/>
                <w:sz w:val="24"/>
              </w:rPr>
              <w:t>4≤t&lt;10</w:t>
            </w:r>
          </w:p>
        </w:tc>
        <w:tc>
          <w:tcPr>
            <w:tcW w:w="1103" w:type="dxa"/>
            <w:vAlign w:val="center"/>
          </w:tcPr>
          <w:p>
            <w:pPr>
              <w:jc w:val="center"/>
              <w:rPr>
                <w:rFonts w:ascii="宋体" w:hAnsi="宋体"/>
                <w:color w:val="000000"/>
                <w:sz w:val="24"/>
              </w:rPr>
            </w:pPr>
            <w:r>
              <w:rPr>
                <w:rFonts w:hint="eastAsia" w:ascii="宋体" w:hAnsi="宋体"/>
                <w:color w:val="000000"/>
                <w:sz w:val="24"/>
              </w:rPr>
              <w:t>10≤t&lt;18</w:t>
            </w:r>
          </w:p>
        </w:tc>
        <w:tc>
          <w:tcPr>
            <w:tcW w:w="1102" w:type="dxa"/>
            <w:vAlign w:val="center"/>
          </w:tcPr>
          <w:p>
            <w:pPr>
              <w:jc w:val="center"/>
              <w:rPr>
                <w:rFonts w:ascii="宋体" w:hAnsi="宋体"/>
                <w:color w:val="000000"/>
                <w:sz w:val="24"/>
              </w:rPr>
            </w:pPr>
            <w:r>
              <w:rPr>
                <w:rFonts w:hint="eastAsia" w:ascii="宋体" w:hAnsi="宋体"/>
                <w:color w:val="000000"/>
                <w:sz w:val="24"/>
              </w:rPr>
              <w:t>18≤t&lt;30</w:t>
            </w:r>
          </w:p>
        </w:tc>
        <w:tc>
          <w:tcPr>
            <w:tcW w:w="1103" w:type="dxa"/>
            <w:vAlign w:val="center"/>
          </w:tcPr>
          <w:p>
            <w:pPr>
              <w:jc w:val="center"/>
              <w:rPr>
                <w:rFonts w:ascii="宋体" w:hAnsi="宋体"/>
                <w:color w:val="000000"/>
                <w:sz w:val="24"/>
              </w:rPr>
            </w:pPr>
            <w:r>
              <w:rPr>
                <w:rFonts w:hint="eastAsia" w:ascii="宋体" w:hAnsi="宋体"/>
                <w:color w:val="000000"/>
                <w:sz w:val="24"/>
              </w:rPr>
              <w:t>30≤t&lt;∞</w:t>
            </w:r>
          </w:p>
        </w:tc>
        <w:tc>
          <w:tcPr>
            <w:tcW w:w="1102" w:type="dxa"/>
            <w:vAlign w:val="center"/>
          </w:tcPr>
          <w:p>
            <w:pPr>
              <w:jc w:val="center"/>
              <w:rPr>
                <w:rFonts w:ascii="宋体" w:hAnsi="宋体"/>
                <w:color w:val="000000"/>
                <w:sz w:val="24"/>
              </w:rPr>
            </w:pPr>
          </w:p>
        </w:tc>
        <w:tc>
          <w:tcPr>
            <w:tcW w:w="1103" w:type="dxa"/>
            <w:vAlign w:val="center"/>
          </w:tcPr>
          <w:p>
            <w:pPr>
              <w:jc w:val="center"/>
              <w:rPr>
                <w:rFonts w:ascii="宋体" w:hAnsi="宋体"/>
                <w:color w:val="000000"/>
                <w:sz w:val="24"/>
              </w:rPr>
            </w:pPr>
          </w:p>
        </w:tc>
        <w:tc>
          <w:tcPr>
            <w:tcW w:w="1103"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pPr>
              <w:spacing w:line="480" w:lineRule="exact"/>
              <w:jc w:val="center"/>
              <w:rPr>
                <w:rFonts w:ascii="宋体" w:hAnsi="宋体"/>
                <w:color w:val="000000"/>
                <w:sz w:val="24"/>
              </w:rPr>
            </w:pPr>
            <w:r>
              <w:rPr>
                <w:rFonts w:hint="eastAsia" w:ascii="宋体" w:hAnsi="宋体"/>
                <w:color w:val="000000"/>
                <w:sz w:val="24"/>
              </w:rPr>
              <w:t>(</w:t>
            </w:r>
            <w:r>
              <w:rPr>
                <w:rFonts w:ascii="宋体" w:hAnsi="宋体"/>
                <w:color w:val="000000"/>
                <w:sz w:val="24"/>
              </w:rPr>
              <w:t>C)</w:t>
            </w:r>
          </w:p>
        </w:tc>
        <w:tc>
          <w:tcPr>
            <w:tcW w:w="1135" w:type="dxa"/>
            <w:vAlign w:val="center"/>
          </w:tcPr>
          <w:p>
            <w:pPr>
              <w:jc w:val="center"/>
              <w:rPr>
                <w:rFonts w:ascii="宋体" w:hAnsi="宋体"/>
                <w:color w:val="000000"/>
                <w:sz w:val="24"/>
              </w:rPr>
            </w:pPr>
            <w:r>
              <w:rPr>
                <w:rFonts w:hint="eastAsia" w:ascii="宋体" w:hAnsi="宋体"/>
                <w:color w:val="000000"/>
                <w:sz w:val="24"/>
              </w:rPr>
              <w:t>0≤t&lt;1.5</w:t>
            </w:r>
          </w:p>
        </w:tc>
        <w:tc>
          <w:tcPr>
            <w:tcW w:w="1417" w:type="dxa"/>
            <w:vAlign w:val="center"/>
          </w:tcPr>
          <w:p>
            <w:pPr>
              <w:jc w:val="center"/>
              <w:rPr>
                <w:rFonts w:ascii="宋体" w:hAnsi="宋体"/>
                <w:color w:val="000000"/>
                <w:sz w:val="24"/>
              </w:rPr>
            </w:pPr>
            <w:r>
              <w:rPr>
                <w:rFonts w:hint="eastAsia" w:ascii="宋体" w:hAnsi="宋体"/>
                <w:color w:val="000000"/>
                <w:sz w:val="24"/>
              </w:rPr>
              <w:t>1.5≤t&lt;3.5</w:t>
            </w:r>
          </w:p>
        </w:tc>
        <w:tc>
          <w:tcPr>
            <w:tcW w:w="1322" w:type="dxa"/>
            <w:vAlign w:val="center"/>
          </w:tcPr>
          <w:p>
            <w:pPr>
              <w:jc w:val="center"/>
              <w:rPr>
                <w:rFonts w:ascii="宋体" w:hAnsi="宋体"/>
                <w:color w:val="000000"/>
                <w:sz w:val="24"/>
              </w:rPr>
            </w:pPr>
            <w:r>
              <w:rPr>
                <w:rFonts w:hint="eastAsia" w:ascii="宋体" w:hAnsi="宋体"/>
                <w:color w:val="000000"/>
                <w:sz w:val="24"/>
              </w:rPr>
              <w:t>3.5≤t&lt;7.5</w:t>
            </w:r>
          </w:p>
        </w:tc>
        <w:tc>
          <w:tcPr>
            <w:tcW w:w="1103" w:type="dxa"/>
            <w:vAlign w:val="center"/>
          </w:tcPr>
          <w:p>
            <w:pPr>
              <w:jc w:val="center"/>
              <w:rPr>
                <w:rFonts w:ascii="宋体" w:hAnsi="宋体"/>
                <w:color w:val="000000"/>
                <w:sz w:val="24"/>
              </w:rPr>
            </w:pPr>
            <w:r>
              <w:rPr>
                <w:rFonts w:hint="eastAsia" w:ascii="宋体" w:hAnsi="宋体"/>
                <w:color w:val="000000"/>
                <w:sz w:val="24"/>
              </w:rPr>
              <w:t>7.5≤t&lt;15</w:t>
            </w:r>
          </w:p>
        </w:tc>
        <w:tc>
          <w:tcPr>
            <w:tcW w:w="1102" w:type="dxa"/>
            <w:vAlign w:val="center"/>
          </w:tcPr>
          <w:p>
            <w:pPr>
              <w:jc w:val="center"/>
              <w:rPr>
                <w:rFonts w:ascii="宋体" w:hAnsi="宋体"/>
                <w:color w:val="000000"/>
                <w:sz w:val="24"/>
              </w:rPr>
            </w:pPr>
            <w:r>
              <w:rPr>
                <w:rFonts w:hint="eastAsia" w:ascii="宋体" w:hAnsi="宋体"/>
                <w:color w:val="000000"/>
                <w:sz w:val="24"/>
              </w:rPr>
              <w:t>15≤t&lt;∞</w:t>
            </w:r>
          </w:p>
        </w:tc>
        <w:tc>
          <w:tcPr>
            <w:tcW w:w="1103" w:type="dxa"/>
            <w:vAlign w:val="center"/>
          </w:tcPr>
          <w:p>
            <w:pPr>
              <w:jc w:val="center"/>
              <w:rPr>
                <w:rFonts w:ascii="宋体" w:hAnsi="宋体"/>
                <w:color w:val="000000"/>
                <w:sz w:val="24"/>
              </w:rPr>
            </w:pPr>
          </w:p>
        </w:tc>
        <w:tc>
          <w:tcPr>
            <w:tcW w:w="1102" w:type="dxa"/>
            <w:vAlign w:val="center"/>
          </w:tcPr>
          <w:p>
            <w:pPr>
              <w:jc w:val="center"/>
              <w:rPr>
                <w:rFonts w:ascii="宋体" w:hAnsi="宋体"/>
                <w:color w:val="000000"/>
                <w:sz w:val="24"/>
              </w:rPr>
            </w:pPr>
          </w:p>
        </w:tc>
        <w:tc>
          <w:tcPr>
            <w:tcW w:w="1103" w:type="dxa"/>
            <w:vAlign w:val="center"/>
          </w:tcPr>
          <w:p>
            <w:pPr>
              <w:jc w:val="center"/>
              <w:rPr>
                <w:rFonts w:ascii="宋体" w:hAnsi="宋体"/>
                <w:color w:val="000000"/>
                <w:sz w:val="24"/>
              </w:rPr>
            </w:pPr>
          </w:p>
        </w:tc>
        <w:tc>
          <w:tcPr>
            <w:tcW w:w="1103"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Borders>
              <w:bottom w:val="single" w:color="auto" w:sz="4" w:space="0"/>
            </w:tcBorders>
            <w:vAlign w:val="center"/>
          </w:tcPr>
          <w:p>
            <w:pPr>
              <w:spacing w:line="480" w:lineRule="exact"/>
              <w:jc w:val="center"/>
              <w:rPr>
                <w:rFonts w:ascii="宋体" w:hAnsi="宋体"/>
                <w:color w:val="000000"/>
                <w:sz w:val="24"/>
              </w:rPr>
            </w:pPr>
            <w:r>
              <w:rPr>
                <w:rFonts w:hint="eastAsia" w:ascii="宋体" w:hAnsi="宋体"/>
                <w:color w:val="000000"/>
                <w:sz w:val="24"/>
              </w:rPr>
              <w:t>(</w:t>
            </w:r>
            <w:r>
              <w:rPr>
                <w:rFonts w:ascii="宋体" w:hAnsi="宋体"/>
                <w:color w:val="000000"/>
                <w:sz w:val="24"/>
              </w:rPr>
              <w:t>D)</w:t>
            </w:r>
          </w:p>
        </w:tc>
        <w:tc>
          <w:tcPr>
            <w:tcW w:w="1135" w:type="dxa"/>
            <w:tcBorders>
              <w:bottom w:val="single" w:color="auto" w:sz="4" w:space="0"/>
            </w:tcBorders>
            <w:vAlign w:val="center"/>
          </w:tcPr>
          <w:p>
            <w:pPr>
              <w:jc w:val="center"/>
              <w:rPr>
                <w:rFonts w:ascii="宋体" w:hAnsi="宋体"/>
                <w:color w:val="000000"/>
                <w:sz w:val="24"/>
              </w:rPr>
            </w:pPr>
            <w:r>
              <w:rPr>
                <w:rFonts w:hint="eastAsia" w:ascii="宋体" w:hAnsi="宋体"/>
                <w:color w:val="000000"/>
                <w:sz w:val="24"/>
              </w:rPr>
              <w:t>0≤δ&lt;</w:t>
            </w:r>
            <w:r>
              <w:rPr>
                <w:rFonts w:ascii="宋体" w:hAnsi="宋体"/>
                <w:color w:val="000000"/>
                <w:sz w:val="24"/>
              </w:rPr>
              <w:t>0.05</w:t>
            </w:r>
          </w:p>
        </w:tc>
        <w:tc>
          <w:tcPr>
            <w:tcW w:w="1417" w:type="dxa"/>
            <w:tcBorders>
              <w:bottom w:val="single" w:color="auto" w:sz="4" w:space="0"/>
            </w:tcBorders>
            <w:vAlign w:val="center"/>
          </w:tcPr>
          <w:p>
            <w:pPr>
              <w:jc w:val="center"/>
              <w:rPr>
                <w:rFonts w:ascii="宋体" w:hAnsi="宋体"/>
                <w:color w:val="000000"/>
                <w:sz w:val="24"/>
              </w:rPr>
            </w:pPr>
            <w:r>
              <w:rPr>
                <w:rFonts w:hint="eastAsia" w:ascii="宋体" w:hAnsi="宋体"/>
                <w:color w:val="000000"/>
                <w:sz w:val="24"/>
              </w:rPr>
              <w:t>0.</w:t>
            </w:r>
            <w:r>
              <w:rPr>
                <w:rFonts w:ascii="宋体" w:hAnsi="宋体"/>
                <w:color w:val="000000"/>
                <w:sz w:val="24"/>
              </w:rPr>
              <w:t>05</w:t>
            </w:r>
            <w:r>
              <w:rPr>
                <w:rFonts w:hint="eastAsia" w:ascii="宋体" w:hAnsi="宋体"/>
                <w:color w:val="000000"/>
                <w:sz w:val="24"/>
              </w:rPr>
              <w:t>≤δ&lt;</w:t>
            </w:r>
            <w:r>
              <w:rPr>
                <w:rFonts w:ascii="宋体" w:hAnsi="宋体"/>
                <w:color w:val="000000"/>
                <w:sz w:val="24"/>
              </w:rPr>
              <w:t>0.3</w:t>
            </w:r>
          </w:p>
        </w:tc>
        <w:tc>
          <w:tcPr>
            <w:tcW w:w="1322" w:type="dxa"/>
            <w:tcBorders>
              <w:bottom w:val="single" w:color="auto" w:sz="4" w:space="0"/>
            </w:tcBorders>
            <w:vAlign w:val="center"/>
          </w:tcPr>
          <w:p>
            <w:pPr>
              <w:jc w:val="center"/>
              <w:rPr>
                <w:rFonts w:ascii="宋体" w:hAnsi="宋体"/>
                <w:color w:val="000000"/>
                <w:sz w:val="24"/>
              </w:rPr>
            </w:pPr>
            <w:r>
              <w:rPr>
                <w:rFonts w:hint="eastAsia" w:ascii="宋体" w:hAnsi="宋体"/>
                <w:color w:val="000000"/>
                <w:sz w:val="24"/>
              </w:rPr>
              <w:t>0</w:t>
            </w:r>
            <w:r>
              <w:rPr>
                <w:rFonts w:ascii="宋体" w:hAnsi="宋体"/>
                <w:color w:val="000000"/>
                <w:sz w:val="24"/>
              </w:rPr>
              <w:t>.3</w:t>
            </w:r>
            <w:r>
              <w:rPr>
                <w:rFonts w:hint="eastAsia" w:ascii="宋体" w:hAnsi="宋体"/>
                <w:color w:val="000000"/>
                <w:sz w:val="24"/>
              </w:rPr>
              <w:t>≤δ&lt;</w:t>
            </w:r>
            <w:r>
              <w:rPr>
                <w:rFonts w:ascii="宋体" w:hAnsi="宋体"/>
                <w:color w:val="000000"/>
                <w:sz w:val="24"/>
              </w:rPr>
              <w:t>0.7</w:t>
            </w:r>
          </w:p>
        </w:tc>
        <w:tc>
          <w:tcPr>
            <w:tcW w:w="1103" w:type="dxa"/>
            <w:tcBorders>
              <w:bottom w:val="single" w:color="auto" w:sz="4" w:space="0"/>
            </w:tcBorders>
            <w:vAlign w:val="center"/>
          </w:tcPr>
          <w:p>
            <w:pPr>
              <w:jc w:val="center"/>
              <w:rPr>
                <w:rFonts w:ascii="宋体" w:hAnsi="宋体"/>
                <w:color w:val="000000"/>
                <w:sz w:val="24"/>
              </w:rPr>
            </w:pPr>
            <w:r>
              <w:rPr>
                <w:rFonts w:hint="eastAsia" w:ascii="宋体" w:hAnsi="宋体"/>
                <w:color w:val="000000"/>
                <w:sz w:val="24"/>
              </w:rPr>
              <w:t>0</w:t>
            </w:r>
            <w:r>
              <w:rPr>
                <w:rFonts w:ascii="宋体" w:hAnsi="宋体"/>
                <w:color w:val="000000"/>
                <w:sz w:val="24"/>
              </w:rPr>
              <w:t>.7</w:t>
            </w:r>
            <w:r>
              <w:rPr>
                <w:rFonts w:hint="eastAsia" w:ascii="宋体" w:hAnsi="宋体"/>
                <w:color w:val="000000"/>
                <w:sz w:val="24"/>
              </w:rPr>
              <w:t>≤δ&lt;</w:t>
            </w:r>
            <w:r>
              <w:rPr>
                <w:rFonts w:ascii="宋体" w:hAnsi="宋体"/>
                <w:color w:val="000000"/>
                <w:sz w:val="24"/>
              </w:rPr>
              <w:t>0.95</w:t>
            </w:r>
          </w:p>
        </w:tc>
        <w:tc>
          <w:tcPr>
            <w:tcW w:w="1102" w:type="dxa"/>
            <w:tcBorders>
              <w:bottom w:val="single" w:color="auto" w:sz="4" w:space="0"/>
            </w:tcBorders>
            <w:vAlign w:val="center"/>
          </w:tcPr>
          <w:p>
            <w:pPr>
              <w:jc w:val="center"/>
              <w:rPr>
                <w:rFonts w:ascii="宋体" w:hAnsi="宋体"/>
                <w:color w:val="000000"/>
                <w:sz w:val="24"/>
              </w:rPr>
            </w:pPr>
            <w:r>
              <w:rPr>
                <w:rFonts w:ascii="宋体" w:hAnsi="宋体"/>
                <w:color w:val="000000"/>
                <w:sz w:val="24"/>
              </w:rPr>
              <w:t>0.95</w:t>
            </w:r>
            <w:r>
              <w:rPr>
                <w:rFonts w:hint="eastAsia" w:ascii="宋体" w:hAnsi="宋体"/>
                <w:color w:val="000000"/>
                <w:sz w:val="24"/>
              </w:rPr>
              <w:t>≤δ&lt;</w:t>
            </w:r>
            <w:r>
              <w:rPr>
                <w:rFonts w:ascii="宋体" w:hAnsi="宋体"/>
                <w:color w:val="000000"/>
                <w:sz w:val="24"/>
              </w:rPr>
              <w:t>1</w:t>
            </w:r>
            <w:r>
              <w:rPr>
                <w:rFonts w:hint="eastAsia" w:ascii="宋体" w:hAnsi="宋体"/>
                <w:color w:val="000000"/>
                <w:sz w:val="24"/>
              </w:rPr>
              <w:t>.</w:t>
            </w:r>
            <w:r>
              <w:rPr>
                <w:rFonts w:ascii="宋体" w:hAnsi="宋体"/>
                <w:color w:val="000000"/>
                <w:sz w:val="24"/>
              </w:rPr>
              <w:t>00</w:t>
            </w:r>
          </w:p>
        </w:tc>
        <w:tc>
          <w:tcPr>
            <w:tcW w:w="1103" w:type="dxa"/>
            <w:tcBorders>
              <w:bottom w:val="single" w:color="auto" w:sz="4" w:space="0"/>
            </w:tcBorders>
            <w:vAlign w:val="center"/>
          </w:tcPr>
          <w:p>
            <w:pPr>
              <w:jc w:val="center"/>
              <w:rPr>
                <w:rFonts w:ascii="宋体" w:hAnsi="宋体"/>
                <w:color w:val="000000"/>
                <w:sz w:val="24"/>
              </w:rPr>
            </w:pPr>
          </w:p>
        </w:tc>
        <w:tc>
          <w:tcPr>
            <w:tcW w:w="1102" w:type="dxa"/>
            <w:tcBorders>
              <w:bottom w:val="single" w:color="auto" w:sz="4" w:space="0"/>
            </w:tcBorders>
            <w:vAlign w:val="center"/>
          </w:tcPr>
          <w:p>
            <w:pPr>
              <w:jc w:val="center"/>
              <w:rPr>
                <w:rFonts w:ascii="宋体" w:hAnsi="宋体"/>
                <w:color w:val="000000"/>
                <w:sz w:val="24"/>
              </w:rPr>
            </w:pPr>
          </w:p>
        </w:tc>
        <w:tc>
          <w:tcPr>
            <w:tcW w:w="1103" w:type="dxa"/>
            <w:tcBorders>
              <w:bottom w:val="single" w:color="auto" w:sz="4" w:space="0"/>
            </w:tcBorders>
            <w:vAlign w:val="center"/>
          </w:tcPr>
          <w:p>
            <w:pPr>
              <w:jc w:val="center"/>
              <w:rPr>
                <w:rFonts w:ascii="宋体" w:hAnsi="宋体"/>
                <w:color w:val="000000"/>
                <w:sz w:val="24"/>
              </w:rPr>
            </w:pPr>
          </w:p>
        </w:tc>
        <w:tc>
          <w:tcPr>
            <w:tcW w:w="1103" w:type="dxa"/>
            <w:tcBorders>
              <w:bottom w:val="single" w:color="auto" w:sz="4" w:space="0"/>
            </w:tcBorders>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2" w:type="dxa"/>
            <w:gridSpan w:val="10"/>
            <w:tcBorders>
              <w:left w:val="nil"/>
              <w:bottom w:val="nil"/>
              <w:right w:val="nil"/>
            </w:tcBorders>
            <w:vAlign w:val="center"/>
          </w:tcPr>
          <w:p>
            <w:pPr>
              <w:spacing w:line="480" w:lineRule="exact"/>
              <w:rPr>
                <w:rFonts w:ascii="宋体" w:hAnsi="宋体"/>
                <w:color w:val="000000"/>
                <w:sz w:val="24"/>
              </w:rPr>
            </w:pPr>
            <w:r>
              <w:rPr>
                <w:rFonts w:hint="eastAsia" w:ascii="宋体" w:hAnsi="宋体"/>
                <w:color w:val="000000"/>
                <w:sz w:val="24"/>
              </w:rPr>
              <w:t>注：到期剩余期限以t表示，以年为单位；得尔塔以δ表示。</w:t>
            </w:r>
          </w:p>
        </w:tc>
      </w:tr>
    </w:tbl>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商业银行应统计分配在每一个分组内的全部真实价格观测值，评估该组的风险因子是否通过合格性检验。</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（十）通过合格性检验的风险因子用于可建模风险因子预期尾部损失建模，应满足可建模原则。可建模原则包括：</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1.模型数据为可建模风险因子或其组合。</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2.模型数据应反映非系统性风险（</w:t>
      </w:r>
      <w:r>
        <w:rPr>
          <w:rFonts w:ascii="仿宋_GB2312" w:eastAsia="仿宋_GB2312"/>
          <w:color w:val="000000"/>
          <w:sz w:val="30"/>
          <w:szCs w:val="30"/>
        </w:rPr>
        <w:t xml:space="preserve">idiosyncratic </w:t>
      </w:r>
      <w:r>
        <w:rPr>
          <w:rFonts w:hint="eastAsia" w:ascii="仿宋_GB2312" w:eastAsia="仿宋_GB2312"/>
          <w:color w:val="000000"/>
          <w:sz w:val="30"/>
          <w:szCs w:val="30"/>
        </w:rPr>
        <w:t>risk）和系统性风险（</w:t>
      </w:r>
      <w:r>
        <w:rPr>
          <w:rFonts w:ascii="仿宋_GB2312" w:eastAsia="仿宋_GB2312"/>
          <w:color w:val="000000"/>
          <w:sz w:val="30"/>
          <w:szCs w:val="30"/>
        </w:rPr>
        <w:t>general market risk</w:t>
      </w:r>
      <w:r>
        <w:rPr>
          <w:rFonts w:hint="eastAsia" w:ascii="仿宋_GB2312" w:eastAsia="仿宋_GB2312"/>
          <w:color w:val="000000"/>
          <w:sz w:val="30"/>
          <w:szCs w:val="30"/>
        </w:rPr>
        <w:t>）。</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3.模型数据应体现风险波动性和相关性。</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4.模型数据应采用市场真实价格或报价。 </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5.模型数据应至少每月更新。若商业银行使用回归估计风险因子参数，至少应每两周重估一次。商业银行应制定清晰的补数规则。</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6.用于计量压力预期尾部损失的数据应反映压力期间的市场价格或报价。</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7.仅在无法取得可靠数据时，方可使用替代数据。商业银行应能够证明使用技术的合理性，并且不会实质性地低估风险。</w:t>
      </w:r>
    </w:p>
    <w:p>
      <w:pPr>
        <w:spacing w:line="480" w:lineRule="exact"/>
        <w:ind w:firstLine="600" w:firstLineChars="200"/>
        <w:rPr>
          <w:rFonts w:ascii="仿宋_GB2312" w:hAnsi="Calibri" w:eastAsia="仿宋_GB2312"/>
          <w:color w:val="000000"/>
          <w:sz w:val="30"/>
          <w:szCs w:val="30"/>
        </w:rPr>
      </w:pPr>
      <w:r>
        <w:rPr>
          <w:rFonts w:hint="eastAsia" w:ascii="仿宋_GB2312" w:eastAsia="仿宋_GB2312"/>
          <w:color w:val="000000"/>
          <w:sz w:val="30"/>
          <w:szCs w:val="30"/>
        </w:rPr>
        <w:t>（十一）当金融市场发生重大制度转变时，可能造成银行间大量可建模风险因子成为不可建模风险因子。在上述情形下，经国家金融监督管理总局认可，商业银行可将一些未</w:t>
      </w:r>
      <w:r>
        <w:rPr>
          <w:rFonts w:hint="eastAsia" w:ascii="仿宋_GB2312" w:hAnsi="Calibri" w:eastAsia="仿宋_GB2312"/>
          <w:color w:val="000000"/>
          <w:sz w:val="30"/>
          <w:szCs w:val="30"/>
        </w:rPr>
        <w:t>通过合格性检验的风险因子视为可建模的，但不能降低资本要求。</w:t>
      </w:r>
    </w:p>
    <w:p>
      <w:pPr>
        <w:spacing w:line="48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（十二）</w:t>
      </w:r>
      <w:r>
        <w:rPr>
          <w:rFonts w:hint="eastAsia" w:ascii="仿宋_GB2312" w:eastAsia="仿宋_GB2312"/>
          <w:color w:val="000000"/>
          <w:sz w:val="30"/>
          <w:szCs w:val="30"/>
        </w:rPr>
        <w:t>风险因子真实价格数量统计的观察期与预期尾部损失计量的观察期之间的差异不应超过1个月。</w:t>
      </w:r>
    </w:p>
    <w:p>
      <w:pPr>
        <w:pStyle w:val="3"/>
        <w:rPr>
          <w:rFonts w:ascii="楷体" w:hAnsi="楷体" w:eastAsia="楷体" w:cs="宋体"/>
          <w:kern w:val="0"/>
        </w:rPr>
      </w:pPr>
      <w:r>
        <w:rPr>
          <w:rFonts w:hint="eastAsia"/>
        </w:rPr>
        <w:t>四、</w:t>
      </w:r>
      <w:bookmarkStart w:id="11" w:name="_Hlk71376640"/>
      <w:bookmarkStart w:id="12" w:name="_Hlk48835902"/>
      <w:r>
        <w:rPr>
          <w:rFonts w:hint="eastAsia"/>
        </w:rPr>
        <w:t>可建模风险因子的资本要求</w:t>
      </w:r>
    </w:p>
    <w:bookmarkEnd w:id="11"/>
    <w:bookmarkEnd w:id="12"/>
    <w:p>
      <w:pPr>
        <w:spacing w:line="48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（一）商业银行可使用任何能够反映其所有主要风险的模型方法计算市场风险资本要求，包括但不限于方差-协方差法、历史模拟法和蒙特卡罗模拟法等。</w:t>
      </w:r>
    </w:p>
    <w:p>
      <w:pPr>
        <w:spacing w:line="480" w:lineRule="exact"/>
        <w:ind w:firstLine="600" w:firstLineChars="200"/>
        <w:rPr>
          <w:rFonts w:ascii="仿宋_GB2312" w:eastAsia="仿宋_GB2312"/>
          <w:color w:val="000000"/>
          <w:sz w:val="30"/>
          <w:szCs w:val="30"/>
        </w:rPr>
      </w:pPr>
      <w:r>
        <w:rPr>
          <w:rFonts w:hint="eastAsia" w:ascii="仿宋_GB2312" w:hAnsi="宋体" w:eastAsia="仿宋_GB2312" w:cs="宋体"/>
          <w:color w:val="000000"/>
          <w:kern w:val="0"/>
          <w:sz w:val="30"/>
          <w:szCs w:val="30"/>
        </w:rPr>
        <w:t>（二）</w:t>
      </w:r>
      <w:r>
        <w:rPr>
          <w:rFonts w:hint="eastAsia" w:ascii="仿宋_GB2312" w:eastAsia="仿宋_GB2312"/>
          <w:color w:val="000000"/>
          <w:sz w:val="30"/>
          <w:szCs w:val="30"/>
        </w:rPr>
        <w:t>商业银行应在每个交易日计算全行层面和交易台层面预期尾部损失，使用单尾97.5%的置信区间。</w:t>
      </w:r>
    </w:p>
    <w:p>
      <w:pPr>
        <w:spacing w:line="480" w:lineRule="exact"/>
        <w:ind w:firstLine="600" w:firstLineChars="200"/>
        <w:rPr>
          <w:rFonts w:ascii="仿宋_GB2312" w:eastAsia="仿宋_GB2312"/>
          <w:color w:val="000000"/>
          <w:sz w:val="30"/>
          <w:szCs w:val="30"/>
        </w:rPr>
      </w:pPr>
      <w:r>
        <w:rPr>
          <w:rFonts w:hint="eastAsia" w:ascii="仿宋_GB2312" w:hAnsi="宋体" w:eastAsia="仿宋_GB2312" w:cs="宋体"/>
          <w:color w:val="000000"/>
          <w:kern w:val="0"/>
          <w:sz w:val="30"/>
          <w:szCs w:val="30"/>
        </w:rPr>
        <w:t>（三）</w:t>
      </w:r>
      <w:r>
        <w:rPr>
          <w:rFonts w:hint="eastAsia" w:ascii="仿宋_GB2312" w:eastAsia="仿宋_GB2312"/>
          <w:color w:val="000000"/>
          <w:sz w:val="30"/>
          <w:szCs w:val="30"/>
        </w:rPr>
        <w:t>计算预期尾部损失时，商业银行应对基于基准10天持有期的预期尾部损失进行放大。公式如下：</w:t>
      </w:r>
    </w:p>
    <w:p>
      <w:pPr>
        <w:ind w:firstLine="600" w:firstLineChars="200"/>
        <w:jc w:val="center"/>
        <w:rPr>
          <w:rFonts w:ascii="仿宋_GB2312" w:eastAsia="仿宋_GB2312"/>
          <w:color w:val="000000"/>
          <w:sz w:val="30"/>
          <w:szCs w:val="30"/>
        </w:rPr>
      </w:pPr>
      <w:r>
        <w:rPr>
          <w:position w:val="-38"/>
          <w:sz w:val="30"/>
          <w:szCs w:val="30"/>
        </w:rPr>
        <w:object>
          <v:shape id="_x0000_i1025" o:spt="75" type="#_x0000_t75" style="height:48pt;width:259.35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其中：</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1.ES是监管流动性调整后的预期尾部损失。</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2.T是基准期限10天。</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w:t>
      </w:r>
      <w:r>
        <w:rPr>
          <w:position w:val="-12"/>
          <w:sz w:val="30"/>
          <w:szCs w:val="30"/>
        </w:rPr>
        <w:object>
          <v:shape id="_x0000_i1026" o:spt="75" type="#_x0000_t75" style="height:19.35pt;width:42.65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ascii="仿宋_GB2312" w:eastAsia="仿宋_GB2312"/>
          <w:color w:val="000000"/>
          <w:sz w:val="30"/>
          <w:szCs w:val="30"/>
        </w:rPr>
        <w:t>是投资组合持有的头寸集合</w:t>
      </w:r>
      <w:r>
        <w:rPr>
          <w:position w:val="-12"/>
          <w:sz w:val="30"/>
          <w:szCs w:val="30"/>
        </w:rPr>
        <w:object>
          <v:shape id="_x0000_i1027" o:spt="75" type="#_x0000_t75" style="height:19.35pt;width:45.35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ascii="仿宋_GB2312" w:eastAsia="仿宋_GB2312"/>
          <w:color w:val="000000"/>
          <w:sz w:val="30"/>
          <w:szCs w:val="30"/>
        </w:rPr>
        <w:t>在期限T内承受所有风险因子冲击时的预期尾部损失。</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w:t>
      </w:r>
      <w:r>
        <w:rPr>
          <w:position w:val="-12"/>
          <w:sz w:val="30"/>
          <w:szCs w:val="30"/>
        </w:rPr>
        <w:object>
          <v:shape id="_x0000_i1028" o:spt="75" type="#_x0000_t75" style="height:19.35pt;width:54.6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ascii="仿宋_GB2312" w:eastAsia="仿宋_GB2312"/>
          <w:color w:val="000000"/>
          <w:sz w:val="30"/>
          <w:szCs w:val="30"/>
        </w:rPr>
        <w:t>是投资组合持有的头寸集合</w:t>
      </w:r>
      <w:r>
        <w:rPr>
          <w:position w:val="-12"/>
          <w:sz w:val="30"/>
          <w:szCs w:val="30"/>
        </w:rPr>
        <w:object>
          <v:shape id="_x0000_i1029" o:spt="75" type="#_x0000_t75" style="height:19.35pt;width:45.35pt;" o:ole="t" filled="f" o:preferrelative="t" stroked="f" coordsize="21600,21600">
            <v:path/>
            <v:fill on="f" focussize="0,0"/>
            <v:stroke on="f" joinstyle="miter"/>
            <v:imagedata r:id="rId18" o:title=""/>
            <o:lock v:ext="edit" aspectratio="t"/>
            <w10:wrap type="none"/>
            <w10:anchorlock/>
          </v:shape>
          <o:OLEObject Type="Embed" ProgID="Equation.DSMT4" ShapeID="_x0000_i1029" DrawAspect="Content" ObjectID="_1468075729" r:id="rId17">
            <o:LockedField>false</o:LockedField>
          </o:OLEObject>
        </w:object>
      </w:r>
      <w:r>
        <w:rPr>
          <w:rFonts w:hint="eastAsia" w:ascii="仿宋_GB2312" w:eastAsia="仿宋_GB2312"/>
          <w:color w:val="000000"/>
          <w:sz w:val="30"/>
          <w:szCs w:val="30"/>
        </w:rPr>
        <w:t>在期限T内承受风险因子子集</w:t>
      </w:r>
      <w:r>
        <w:rPr>
          <w:position w:val="-12"/>
          <w:sz w:val="30"/>
          <w:szCs w:val="30"/>
        </w:rPr>
        <w:object>
          <v:shape id="_x0000_i1030" o:spt="75" type="#_x0000_t75" style="height:19.35pt;width:42.65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19">
            <o:LockedField>false</o:LockedField>
          </o:OLEObject>
        </w:object>
      </w:r>
      <w:r>
        <w:rPr>
          <w:rFonts w:hint="eastAsia" w:ascii="仿宋_GB2312" w:eastAsia="仿宋_GB2312"/>
          <w:color w:val="000000"/>
          <w:sz w:val="30"/>
          <w:szCs w:val="30"/>
        </w:rPr>
        <w:t>冲击时（其他风险因子保持不变）的预期尾部损失。</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w:t>
      </w:r>
      <w:r>
        <w:rPr>
          <w:position w:val="-12"/>
          <w:sz w:val="30"/>
          <w:szCs w:val="30"/>
        </w:rPr>
        <w:object>
          <v:shape id="_x0000_i1031" o:spt="75" type="#_x0000_t75" style="height:19.35pt;width:42.65pt;" o:ole="t" filled="f" o:preferrelative="t" stroked="f" coordsize="21600,21600">
            <v:path/>
            <v:fill on="f" focussize="0,0"/>
            <v:stroke on="f" joinstyle="miter"/>
            <v:imagedata r:id="rId12" o:title=""/>
            <o:lock v:ext="edit" aspectratio="t"/>
            <w10:wrap type="none"/>
            <w10:anchorlock/>
          </v:shape>
          <o:OLEObject Type="Embed" ProgID="Equation.DSMT4" ShapeID="_x0000_i1031" DrawAspect="Content" ObjectID="_1468075731" r:id="rId21">
            <o:LockedField>false</o:LockedField>
          </o:OLEObject>
        </w:object>
      </w:r>
      <w:r>
        <w:rPr>
          <w:rFonts w:hint="eastAsia" w:ascii="仿宋_GB2312" w:eastAsia="仿宋_GB2312"/>
          <w:color w:val="000000"/>
          <w:sz w:val="30"/>
          <w:szCs w:val="30"/>
        </w:rPr>
        <w:t>应针对风险因子在期限T的变化计算，</w:t>
      </w:r>
      <w:r>
        <w:rPr>
          <w:position w:val="-12"/>
          <w:sz w:val="30"/>
          <w:szCs w:val="30"/>
        </w:rPr>
        <w:object>
          <v:shape id="_x0000_i1032" o:spt="75" type="#_x0000_t75" style="height:19.35pt;width:54.65pt;" o:ole="t" filled="f" o:preferrelative="t" stroked="f" coordsize="21600,21600">
            <v:path/>
            <v:fill on="f" focussize="0,0"/>
            <v:stroke on="f" joinstyle="miter"/>
            <v:imagedata r:id="rId16" o:title=""/>
            <o:lock v:ext="edit" aspectratio="t"/>
            <w10:wrap type="none"/>
            <w10:anchorlock/>
          </v:shape>
          <o:OLEObject Type="Embed" ProgID="Equation.DSMT4" ShapeID="_x0000_i1032" DrawAspect="Content" ObjectID="_1468075732" r:id="rId22">
            <o:LockedField>false</o:LockedField>
          </o:OLEObject>
        </w:object>
      </w:r>
      <w:r>
        <w:rPr>
          <w:rFonts w:hint="eastAsia" w:ascii="仿宋_GB2312" w:eastAsia="仿宋_GB2312"/>
          <w:color w:val="000000"/>
          <w:sz w:val="30"/>
          <w:szCs w:val="30"/>
        </w:rPr>
        <w:t>应针对风险因子的相关子集</w:t>
      </w:r>
      <w:r>
        <w:rPr>
          <w:position w:val="-12"/>
          <w:sz w:val="30"/>
          <w:szCs w:val="30"/>
        </w:rPr>
        <w:object>
          <v:shape id="_x0000_i1033" o:spt="75" type="#_x0000_t75" style="height:19.35pt;width:42.65pt;" o:ole="t" filled="f" o:preferrelative="t" stroked="f" coordsize="21600,21600">
            <v:path/>
            <v:fill on="f" focussize="0,0"/>
            <v:stroke on="f" joinstyle="miter"/>
            <v:imagedata r:id="rId20" o:title=""/>
            <o:lock v:ext="edit" aspectratio="t"/>
            <w10:wrap type="none"/>
            <w10:anchorlock/>
          </v:shape>
          <o:OLEObject Type="Embed" ProgID="Equation.DSMT4" ShapeID="_x0000_i1033" DrawAspect="Content" ObjectID="_1468075733" r:id="rId23">
            <o:LockedField>false</o:LockedField>
          </o:OLEObject>
        </w:object>
      </w:r>
      <w:r>
        <w:rPr>
          <w:rFonts w:hint="eastAsia" w:ascii="仿宋_GB2312" w:eastAsia="仿宋_GB2312"/>
          <w:color w:val="000000"/>
          <w:sz w:val="30"/>
          <w:szCs w:val="30"/>
        </w:rPr>
        <w:t>在期限T的变化计算，不能用较短期限进行放大处理。</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w:t>
      </w:r>
      <w:r>
        <w:rPr>
          <w:position w:val="-12"/>
          <w:sz w:val="30"/>
          <w:szCs w:val="30"/>
        </w:rPr>
        <w:object>
          <v:shape id="_x0000_i1034" o:spt="75" type="#_x0000_t75" style="height:19.35pt;width:42.65pt;" o:ole="t" filled="f" o:preferrelative="t" stroked="f" coordsize="21600,21600">
            <v:path/>
            <v:fill on="f" focussize="0,0"/>
            <v:stroke on="f" joinstyle="miter"/>
            <v:imagedata r:id="rId20" o:title=""/>
            <o:lock v:ext="edit" aspectratio="t"/>
            <w10:wrap type="none"/>
            <w10:anchorlock/>
          </v:shape>
          <o:OLEObject Type="Embed" ProgID="Equation.DSMT4" ShapeID="_x0000_i1034" DrawAspect="Content" ObjectID="_1468075734" r:id="rId24">
            <o:LockedField>false</o:LockedField>
          </o:OLEObject>
        </w:object>
      </w:r>
      <w:r>
        <w:rPr>
          <w:rFonts w:hint="eastAsia" w:ascii="仿宋_GB2312" w:eastAsia="仿宋_GB2312"/>
          <w:color w:val="000000"/>
          <w:sz w:val="30"/>
          <w:szCs w:val="30"/>
        </w:rPr>
        <w:t>是</w:t>
      </w:r>
      <w:r>
        <w:rPr>
          <w:position w:val="-12"/>
          <w:sz w:val="30"/>
          <w:szCs w:val="30"/>
        </w:rPr>
        <w:object>
          <v:shape id="_x0000_i1035" o:spt="75" type="#_x0000_t75" style="height:19.35pt;width:59.35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5" r:id="rId25">
            <o:LockedField>false</o:LockedField>
          </o:OLEObject>
        </w:object>
      </w:r>
      <w:r>
        <w:rPr>
          <w:rFonts w:hint="eastAsia" w:ascii="仿宋_GB2312" w:eastAsia="仿宋_GB2312"/>
          <w:color w:val="000000"/>
          <w:sz w:val="30"/>
          <w:szCs w:val="30"/>
        </w:rPr>
        <w:t>的风险因子子集，持有p</w:t>
      </w:r>
      <w:r>
        <w:rPr>
          <w:rFonts w:hint="eastAsia" w:ascii="仿宋_GB2312" w:eastAsia="仿宋_GB2312"/>
          <w:color w:val="000000"/>
          <w:sz w:val="30"/>
          <w:szCs w:val="30"/>
          <w:vertAlign w:val="subscript"/>
        </w:rPr>
        <w:t>i</w:t>
      </w:r>
      <w:r>
        <w:rPr>
          <w:rFonts w:hint="eastAsia" w:ascii="仿宋_GB2312" w:eastAsia="仿宋_GB2312"/>
          <w:color w:val="000000"/>
          <w:sz w:val="30"/>
          <w:szCs w:val="30"/>
        </w:rPr>
        <w:t>投资组合的风险因子的流动性期限不应短于LH</w:t>
      </w:r>
      <w:r>
        <w:rPr>
          <w:rFonts w:hint="eastAsia" w:ascii="仿宋_GB2312" w:eastAsia="仿宋_GB2312"/>
          <w:color w:val="000000"/>
          <w:sz w:val="30"/>
          <w:szCs w:val="30"/>
          <w:vertAlign w:val="subscript"/>
        </w:rPr>
        <w:t>j</w:t>
      </w:r>
      <w:r>
        <w:rPr>
          <w:rFonts w:hint="eastAsia" w:ascii="仿宋_GB2312" w:eastAsia="仿宋_GB2312"/>
          <w:color w:val="000000"/>
          <w:sz w:val="30"/>
          <w:szCs w:val="30"/>
        </w:rPr>
        <w:t>。风险因子的流动性期限按照本部分（十）确定。</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7.基于基准时间间隔T算出的风险因子变化值的时间序列可通过重叠区间确定。</w:t>
      </w:r>
    </w:p>
    <w:p>
      <w:pPr>
        <w:spacing w:line="480" w:lineRule="exact"/>
        <w:ind w:firstLine="600" w:firstLineChars="200"/>
        <w:rPr>
          <w:rFonts w:ascii="仿宋_GB2312" w:eastAsia="仿宋_GB2312"/>
          <w:color w:val="000000"/>
          <w:sz w:val="30"/>
          <w:szCs w:val="30"/>
        </w:rPr>
      </w:pPr>
      <w:r>
        <w:rPr>
          <w:rFonts w:ascii="仿宋_GB2312" w:eastAsia="仿宋_GB2312"/>
          <w:color w:val="000000"/>
          <w:sz w:val="30"/>
          <w:szCs w:val="30"/>
        </w:rPr>
        <w:t>8</w:t>
      </w:r>
      <w:r>
        <w:rPr>
          <w:rFonts w:hint="eastAsia" w:ascii="仿宋_GB2312" w:eastAsia="仿宋_GB2312"/>
          <w:color w:val="000000"/>
          <w:sz w:val="30"/>
          <w:szCs w:val="30"/>
        </w:rPr>
        <w:t>.LH</w:t>
      </w:r>
      <w:r>
        <w:rPr>
          <w:rFonts w:hint="eastAsia" w:ascii="仿宋_GB2312" w:eastAsia="仿宋_GB2312"/>
          <w:color w:val="000000"/>
          <w:sz w:val="30"/>
          <w:szCs w:val="30"/>
          <w:vertAlign w:val="subscript"/>
        </w:rPr>
        <w:t>j</w:t>
      </w:r>
      <w:r>
        <w:rPr>
          <w:rFonts w:hint="eastAsia" w:ascii="仿宋_GB2312" w:eastAsia="仿宋_GB2312"/>
          <w:color w:val="000000"/>
          <w:sz w:val="30"/>
          <w:szCs w:val="30"/>
        </w:rPr>
        <w:t>是第j组的流动性期限，它的天数如下表所示：</w:t>
      </w:r>
    </w:p>
    <w:p>
      <w:pPr>
        <w:ind w:firstLine="562" w:firstLineChars="200"/>
        <w:jc w:val="center"/>
        <w:rPr>
          <w:rFonts w:ascii="仿宋_GB2312" w:eastAsia="楷体_GB2312"/>
          <w:color w:val="000000"/>
          <w:sz w:val="30"/>
          <w:szCs w:val="30"/>
        </w:rPr>
      </w:pPr>
      <w:r>
        <w:rPr>
          <w:rFonts w:hint="eastAsia" w:ascii="楷体_GB2312" w:eastAsia="楷体_GB2312"/>
          <w:b/>
          <w:color w:val="000000"/>
          <w:sz w:val="28"/>
          <w:szCs w:val="28"/>
        </w:rPr>
        <w:t>表2　流动性期限对应表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0" w:type="dxa"/>
          </w:tcPr>
          <w:p>
            <w:pPr>
              <w:spacing w:line="360" w:lineRule="exact"/>
              <w:jc w:val="center"/>
              <w:rPr>
                <w:rFonts w:ascii="宋体" w:hAnsi="宋体" w:cs="宋体"/>
                <w:b/>
                <w:bCs/>
                <w:color w:val="000000"/>
                <w:sz w:val="22"/>
                <w:szCs w:val="22"/>
              </w:rPr>
            </w:pPr>
            <w:r>
              <w:rPr>
                <w:rFonts w:hint="eastAsia" w:ascii="宋体" w:hAnsi="宋体" w:cs="宋体"/>
                <w:b/>
                <w:bCs/>
                <w:color w:val="000000"/>
                <w:sz w:val="22"/>
                <w:szCs w:val="22"/>
              </w:rPr>
              <w:t>j</w:t>
            </w:r>
          </w:p>
        </w:tc>
        <w:tc>
          <w:tcPr>
            <w:tcW w:w="4360" w:type="dxa"/>
          </w:tcPr>
          <w:p>
            <w:pPr>
              <w:spacing w:line="360" w:lineRule="exact"/>
              <w:jc w:val="center"/>
              <w:rPr>
                <w:rFonts w:ascii="宋体" w:hAnsi="宋体" w:cs="宋体"/>
                <w:b/>
                <w:bCs/>
                <w:color w:val="000000"/>
                <w:sz w:val="22"/>
                <w:szCs w:val="22"/>
              </w:rPr>
            </w:pPr>
            <w:r>
              <w:rPr>
                <w:rFonts w:hint="eastAsia" w:ascii="宋体" w:hAnsi="宋体" w:cs="宋体"/>
                <w:b/>
                <w:bCs/>
                <w:color w:val="000000"/>
                <w:sz w:val="22"/>
                <w:szCs w:val="22"/>
              </w:rPr>
              <w:t>LH</w:t>
            </w:r>
            <w:r>
              <w:rPr>
                <w:rFonts w:hint="eastAsia" w:ascii="宋体" w:hAnsi="宋体" w:cs="宋体"/>
                <w:b/>
                <w:bCs/>
                <w:color w:val="000000"/>
                <w:sz w:val="22"/>
                <w:szCs w:val="22"/>
                <w:vertAlign w:val="subscript"/>
              </w:rP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pPr>
              <w:spacing w:line="360" w:lineRule="exact"/>
              <w:jc w:val="center"/>
              <w:rPr>
                <w:rFonts w:ascii="宋体" w:hAnsi="宋体" w:cs="宋体"/>
                <w:color w:val="000000"/>
                <w:sz w:val="22"/>
                <w:szCs w:val="22"/>
              </w:rPr>
            </w:pPr>
            <w:r>
              <w:rPr>
                <w:rFonts w:hint="eastAsia" w:ascii="宋体" w:hAnsi="宋体" w:cs="宋体"/>
                <w:color w:val="000000"/>
                <w:sz w:val="22"/>
                <w:szCs w:val="22"/>
              </w:rPr>
              <w:t>1</w:t>
            </w:r>
          </w:p>
        </w:tc>
        <w:tc>
          <w:tcPr>
            <w:tcW w:w="4360" w:type="dxa"/>
          </w:tcPr>
          <w:p>
            <w:pPr>
              <w:spacing w:line="360" w:lineRule="exact"/>
              <w:jc w:val="center"/>
              <w:rPr>
                <w:rFonts w:ascii="宋体" w:hAnsi="宋体" w:cs="宋体"/>
                <w:color w:val="000000"/>
                <w:sz w:val="22"/>
                <w:szCs w:val="22"/>
              </w:rPr>
            </w:pPr>
            <w:r>
              <w:rPr>
                <w:rFonts w:hint="eastAsia" w:ascii="宋体" w:hAnsi="宋体" w:cs="宋体"/>
                <w:color w:val="000000"/>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pPr>
              <w:spacing w:line="360" w:lineRule="exact"/>
              <w:jc w:val="center"/>
              <w:rPr>
                <w:rFonts w:ascii="宋体" w:hAnsi="宋体" w:cs="宋体"/>
                <w:color w:val="000000"/>
                <w:sz w:val="22"/>
                <w:szCs w:val="22"/>
              </w:rPr>
            </w:pPr>
            <w:r>
              <w:rPr>
                <w:rFonts w:hint="eastAsia" w:ascii="宋体" w:hAnsi="宋体" w:cs="宋体"/>
                <w:color w:val="000000"/>
                <w:sz w:val="22"/>
                <w:szCs w:val="22"/>
              </w:rPr>
              <w:t>2</w:t>
            </w:r>
          </w:p>
        </w:tc>
        <w:tc>
          <w:tcPr>
            <w:tcW w:w="4360" w:type="dxa"/>
          </w:tcPr>
          <w:p>
            <w:pPr>
              <w:spacing w:line="360" w:lineRule="exact"/>
              <w:jc w:val="center"/>
              <w:rPr>
                <w:rFonts w:ascii="宋体" w:hAnsi="宋体" w:cs="宋体"/>
                <w:color w:val="000000"/>
                <w:sz w:val="22"/>
                <w:szCs w:val="22"/>
              </w:rPr>
            </w:pPr>
            <w:r>
              <w:rPr>
                <w:rFonts w:hint="eastAsia" w:ascii="宋体" w:hAnsi="宋体" w:cs="宋体"/>
                <w:color w:val="000000"/>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pPr>
              <w:spacing w:line="360" w:lineRule="exact"/>
              <w:jc w:val="center"/>
              <w:rPr>
                <w:rFonts w:ascii="宋体" w:hAnsi="宋体" w:cs="宋体"/>
                <w:color w:val="000000"/>
                <w:sz w:val="22"/>
                <w:szCs w:val="22"/>
              </w:rPr>
            </w:pPr>
            <w:r>
              <w:rPr>
                <w:rFonts w:hint="eastAsia" w:ascii="宋体" w:hAnsi="宋体" w:cs="宋体"/>
                <w:color w:val="000000"/>
                <w:sz w:val="22"/>
                <w:szCs w:val="22"/>
              </w:rPr>
              <w:t>3</w:t>
            </w:r>
          </w:p>
        </w:tc>
        <w:tc>
          <w:tcPr>
            <w:tcW w:w="4360" w:type="dxa"/>
          </w:tcPr>
          <w:p>
            <w:pPr>
              <w:spacing w:line="360" w:lineRule="exact"/>
              <w:jc w:val="center"/>
              <w:rPr>
                <w:rFonts w:ascii="宋体" w:hAnsi="宋体" w:cs="宋体"/>
                <w:color w:val="000000"/>
                <w:sz w:val="22"/>
                <w:szCs w:val="22"/>
              </w:rPr>
            </w:pPr>
            <w:r>
              <w:rPr>
                <w:rFonts w:hint="eastAsia" w:ascii="宋体" w:hAnsi="宋体" w:cs="宋体"/>
                <w:color w:val="000000"/>
                <w:sz w:val="22"/>
                <w:szCs w:val="2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pPr>
              <w:spacing w:line="360" w:lineRule="exact"/>
              <w:jc w:val="center"/>
              <w:rPr>
                <w:rFonts w:ascii="宋体" w:hAnsi="宋体" w:cs="宋体"/>
                <w:color w:val="000000"/>
                <w:sz w:val="22"/>
                <w:szCs w:val="22"/>
              </w:rPr>
            </w:pPr>
            <w:r>
              <w:rPr>
                <w:rFonts w:hint="eastAsia" w:ascii="宋体" w:hAnsi="宋体" w:cs="宋体"/>
                <w:color w:val="000000"/>
                <w:sz w:val="22"/>
                <w:szCs w:val="22"/>
              </w:rPr>
              <w:t>4</w:t>
            </w:r>
          </w:p>
        </w:tc>
        <w:tc>
          <w:tcPr>
            <w:tcW w:w="4360" w:type="dxa"/>
          </w:tcPr>
          <w:p>
            <w:pPr>
              <w:spacing w:line="360" w:lineRule="exact"/>
              <w:jc w:val="center"/>
              <w:rPr>
                <w:rFonts w:ascii="宋体" w:hAnsi="宋体" w:cs="宋体"/>
                <w:color w:val="000000"/>
                <w:sz w:val="22"/>
                <w:szCs w:val="22"/>
              </w:rPr>
            </w:pPr>
            <w:r>
              <w:rPr>
                <w:rFonts w:hint="eastAsia" w:ascii="宋体" w:hAnsi="宋体" w:cs="宋体"/>
                <w:color w:val="000000"/>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pPr>
              <w:spacing w:line="360" w:lineRule="exact"/>
              <w:jc w:val="center"/>
              <w:rPr>
                <w:rFonts w:ascii="宋体" w:hAnsi="宋体" w:cs="宋体"/>
                <w:color w:val="000000"/>
                <w:sz w:val="22"/>
                <w:szCs w:val="22"/>
              </w:rPr>
            </w:pPr>
            <w:r>
              <w:rPr>
                <w:rFonts w:hint="eastAsia" w:ascii="宋体" w:hAnsi="宋体" w:cs="宋体"/>
                <w:color w:val="000000"/>
                <w:sz w:val="22"/>
                <w:szCs w:val="22"/>
              </w:rPr>
              <w:t>5</w:t>
            </w:r>
          </w:p>
        </w:tc>
        <w:tc>
          <w:tcPr>
            <w:tcW w:w="4360" w:type="dxa"/>
          </w:tcPr>
          <w:p>
            <w:pPr>
              <w:spacing w:line="360" w:lineRule="exact"/>
              <w:jc w:val="center"/>
              <w:rPr>
                <w:rFonts w:ascii="宋体" w:hAnsi="宋体" w:cs="宋体"/>
                <w:color w:val="000000"/>
                <w:sz w:val="22"/>
                <w:szCs w:val="22"/>
              </w:rPr>
            </w:pPr>
            <w:r>
              <w:rPr>
                <w:rFonts w:hint="eastAsia" w:ascii="宋体" w:hAnsi="宋体" w:cs="宋体"/>
                <w:color w:val="000000"/>
                <w:sz w:val="22"/>
                <w:szCs w:val="22"/>
              </w:rPr>
              <w:t>120</w:t>
            </w:r>
          </w:p>
        </w:tc>
      </w:tr>
    </w:tbl>
    <w:p>
      <w:pPr>
        <w:spacing w:line="480" w:lineRule="exact"/>
        <w:ind w:firstLine="600" w:firstLineChars="200"/>
        <w:rPr>
          <w:rFonts w:ascii="仿宋_GB2312" w:eastAsia="仿宋_GB2312"/>
          <w:color w:val="000000"/>
          <w:sz w:val="30"/>
          <w:szCs w:val="30"/>
        </w:rPr>
      </w:pPr>
      <w:r>
        <w:rPr>
          <w:rFonts w:hint="eastAsia" w:ascii="仿宋_GB2312" w:hAnsi="宋体" w:eastAsia="仿宋_GB2312" w:cs="宋体"/>
          <w:color w:val="000000"/>
          <w:kern w:val="0"/>
          <w:sz w:val="30"/>
          <w:szCs w:val="30"/>
        </w:rPr>
        <w:t>（四）</w:t>
      </w:r>
      <w:r>
        <w:rPr>
          <w:rFonts w:hint="eastAsia" w:ascii="仿宋_GB2312" w:eastAsia="仿宋_GB2312"/>
          <w:color w:val="000000"/>
          <w:sz w:val="30"/>
          <w:szCs w:val="30"/>
        </w:rPr>
        <w:t>计算</w:t>
      </w:r>
      <w:r>
        <w:rPr>
          <w:rFonts w:hint="eastAsia" w:ascii="仿宋_GB2312" w:hAnsi="宋体" w:eastAsia="仿宋_GB2312" w:cs="宋体"/>
          <w:color w:val="000000"/>
          <w:kern w:val="0"/>
          <w:sz w:val="30"/>
          <w:szCs w:val="30"/>
        </w:rPr>
        <w:t>预期尾部损失</w:t>
      </w:r>
      <w:r>
        <w:rPr>
          <w:rFonts w:hint="eastAsia" w:ascii="仿宋_GB2312" w:eastAsia="仿宋_GB2312"/>
          <w:color w:val="000000"/>
          <w:sz w:val="30"/>
          <w:szCs w:val="30"/>
        </w:rPr>
        <w:t>采用的观察期应符合下列要求：</w:t>
      </w:r>
    </w:p>
    <w:p>
      <w:pPr>
        <w:spacing w:line="48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1.观察期长度应至少为一年（或250个交易日）。</w:t>
      </w:r>
    </w:p>
    <w:p>
      <w:pPr>
        <w:spacing w:line="48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2.若价格波动率显著变大时，经国家金融监督管理总局或其派出机构验收通过，商业银行可使用不短于6个月的观察期计算预期尾部损失。</w:t>
      </w:r>
    </w:p>
    <w:p>
      <w:pPr>
        <w:spacing w:line="480" w:lineRule="exact"/>
        <w:ind w:firstLine="600" w:firstLineChars="200"/>
        <w:rPr>
          <w:rFonts w:ascii="仿宋_GB2312" w:hAnsi="Calibri" w:eastAsia="仿宋_GB2312"/>
          <w:color w:val="000000"/>
          <w:sz w:val="30"/>
          <w:szCs w:val="30"/>
        </w:rPr>
      </w:pPr>
      <w:r>
        <w:rPr>
          <w:rFonts w:hint="eastAsia" w:ascii="仿宋_GB2312" w:hAnsi="宋体" w:eastAsia="仿宋_GB2312" w:cs="宋体"/>
          <w:color w:val="000000"/>
          <w:kern w:val="0"/>
          <w:sz w:val="30"/>
          <w:szCs w:val="30"/>
        </w:rPr>
        <w:t>（五）</w:t>
      </w:r>
      <w:r>
        <w:rPr>
          <w:rFonts w:hint="eastAsia" w:ascii="仿宋_GB2312" w:eastAsia="仿宋_GB2312"/>
          <w:color w:val="000000"/>
          <w:sz w:val="30"/>
          <w:szCs w:val="30"/>
        </w:rPr>
        <w:t>在计算</w:t>
      </w:r>
      <w:r>
        <w:rPr>
          <w:rFonts w:hint="eastAsia" w:ascii="仿宋_GB2312" w:hAnsi="宋体" w:eastAsia="仿宋_GB2312" w:cs="宋体"/>
          <w:color w:val="000000"/>
          <w:kern w:val="0"/>
          <w:sz w:val="30"/>
          <w:szCs w:val="30"/>
        </w:rPr>
        <w:t>预期尾部损失</w:t>
      </w:r>
      <w:r>
        <w:rPr>
          <w:rFonts w:hint="eastAsia" w:ascii="仿宋_GB2312" w:eastAsia="仿宋_GB2312"/>
          <w:color w:val="000000"/>
          <w:sz w:val="30"/>
          <w:szCs w:val="30"/>
        </w:rPr>
        <w:t>的基础上，商业银行还应对其现有的资产组合计算压力</w:t>
      </w:r>
      <w:r>
        <w:rPr>
          <w:rFonts w:hint="eastAsia" w:ascii="仿宋_GB2312" w:hAnsi="宋体" w:eastAsia="仿宋_GB2312" w:cs="宋体"/>
          <w:color w:val="000000"/>
          <w:kern w:val="0"/>
          <w:sz w:val="30"/>
          <w:szCs w:val="30"/>
        </w:rPr>
        <w:t>预期尾部损失</w:t>
      </w:r>
      <w:r>
        <w:rPr>
          <w:rFonts w:hint="eastAsia" w:ascii="仿宋_GB2312" w:eastAsia="仿宋_GB2312"/>
          <w:color w:val="000000"/>
          <w:sz w:val="30"/>
          <w:szCs w:val="30"/>
        </w:rPr>
        <w:t>，压力</w:t>
      </w:r>
      <w:r>
        <w:rPr>
          <w:rFonts w:hint="eastAsia" w:ascii="仿宋_GB2312" w:hAnsi="宋体" w:eastAsia="仿宋_GB2312" w:cs="宋体"/>
          <w:color w:val="000000"/>
          <w:kern w:val="0"/>
          <w:sz w:val="30"/>
          <w:szCs w:val="30"/>
        </w:rPr>
        <w:t>预期尾部损失</w:t>
      </w:r>
      <w:r>
        <w:rPr>
          <w:rFonts w:hint="eastAsia" w:ascii="仿宋_GB2312" w:eastAsia="仿宋_GB2312"/>
          <w:color w:val="000000"/>
          <w:sz w:val="30"/>
          <w:szCs w:val="30"/>
        </w:rPr>
        <w:t>应覆盖商业银行所有的主要市场风险</w:t>
      </w:r>
      <w:r>
        <w:rPr>
          <w:rFonts w:hint="eastAsia" w:ascii="仿宋_GB2312" w:hAnsi="Calibri" w:eastAsia="仿宋_GB2312"/>
          <w:color w:val="000000"/>
          <w:sz w:val="30"/>
          <w:szCs w:val="30"/>
        </w:rPr>
        <w:t>。</w:t>
      </w:r>
    </w:p>
    <w:p>
      <w:pPr>
        <w:spacing w:line="48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（六）用于计量市场风险资本的预期尾部损失计算公式如下： </w:t>
      </w:r>
    </w:p>
    <w:p>
      <w:pPr>
        <w:spacing w:line="48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其中：</w:t>
      </w:r>
    </w:p>
    <w:p>
      <w:pPr>
        <w:jc w:val="center"/>
        <w:rPr>
          <w:rFonts w:ascii="仿宋_GB2312" w:hAnsi="宋体" w:eastAsia="仿宋_GB2312" w:cs="宋体"/>
          <w:color w:val="000000"/>
          <w:kern w:val="0"/>
          <w:sz w:val="30"/>
          <w:szCs w:val="30"/>
        </w:rPr>
      </w:pPr>
      <w:r>
        <w:rPr>
          <w:position w:val="-32"/>
          <w:sz w:val="30"/>
          <w:szCs w:val="30"/>
        </w:rPr>
        <w:object>
          <v:shape id="_x0000_i1036" o:spt="75" type="#_x0000_t75" style="height:36pt;width:98.65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6" r:id="rId27">
            <o:LockedField>false</o:LockedField>
          </o:OLEObject>
        </w:object>
      </w:r>
    </w:p>
    <w:p>
      <w:pPr>
        <w:spacing w:line="48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w:t>
      </w:r>
      <w:r>
        <w:rPr>
          <w:position w:val="-14"/>
          <w:sz w:val="30"/>
          <w:szCs w:val="30"/>
        </w:rPr>
        <w:object>
          <v:shape id="_x0000_i1037" o:spt="75" type="#_x0000_t75" style="height:19.35pt;width:30pt;" o:ole="t" filled="f" o:preferrelative="t" stroked="f" coordsize="21600,21600">
            <v:path/>
            <v:fill on="f" focussize="0,0"/>
            <v:stroke on="f" joinstyle="miter"/>
            <v:imagedata r:id="rId30" o:title=""/>
            <o:lock v:ext="edit" aspectratio="t"/>
            <w10:wrap type="none"/>
            <w10:anchorlock/>
          </v:shape>
          <o:OLEObject Type="Embed" ProgID="Equation.DSMT4" ShapeID="_x0000_i1037" DrawAspect="Content" ObjectID="_1468075737" r:id="rId29">
            <o:LockedField>false</o:LockedField>
          </o:OLEObject>
        </w:object>
      </w:r>
      <w:r>
        <w:rPr>
          <w:rFonts w:hint="eastAsia" w:ascii="仿宋_GB2312" w:hAnsi="宋体" w:eastAsia="仿宋_GB2312" w:cs="宋体"/>
          <w:color w:val="000000"/>
          <w:kern w:val="0"/>
          <w:sz w:val="30"/>
          <w:szCs w:val="30"/>
        </w:rPr>
        <w:t>是在12个月的压力情景下，使用简化风险因子组计算的预期尾部损失；压力情景根据本部分（七）确定。</w:t>
      </w:r>
    </w:p>
    <w:p>
      <w:pPr>
        <w:spacing w:line="48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w:t>
      </w:r>
      <w:r>
        <w:rPr>
          <w:position w:val="-14"/>
          <w:sz w:val="30"/>
          <w:szCs w:val="30"/>
        </w:rPr>
        <w:object>
          <v:shape id="_x0000_i1038" o:spt="75" type="#_x0000_t75" style="height:19.35pt;width:31.35pt;" o:ole="t" filled="f" o:preferrelative="t" stroked="f" coordsize="21600,21600">
            <v:path/>
            <v:fill on="f" focussize="0,0"/>
            <v:stroke on="f" joinstyle="miter"/>
            <v:imagedata r:id="rId32" o:title=""/>
            <o:lock v:ext="edit" aspectratio="t"/>
            <w10:wrap type="none"/>
            <w10:anchorlock/>
          </v:shape>
          <o:OLEObject Type="Embed" ProgID="Equation.DSMT4" ShapeID="_x0000_i1038" DrawAspect="Content" ObjectID="_1468075738" r:id="rId31">
            <o:LockedField>false</o:LockedField>
          </o:OLEObject>
        </w:object>
      </w:r>
      <w:r>
        <w:rPr>
          <w:rFonts w:hint="eastAsia" w:ascii="仿宋_GB2312" w:hAnsi="宋体" w:eastAsia="仿宋_GB2312" w:cs="宋体"/>
          <w:color w:val="000000"/>
          <w:kern w:val="0"/>
          <w:sz w:val="30"/>
          <w:szCs w:val="30"/>
        </w:rPr>
        <w:t>是基于最近12个月的观察期，使用全部风险因子计算的预期尾部损失。</w:t>
      </w:r>
    </w:p>
    <w:p>
      <w:pPr>
        <w:spacing w:line="48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w:t>
      </w:r>
      <w:r>
        <w:rPr>
          <w:position w:val="-14"/>
          <w:sz w:val="30"/>
          <w:szCs w:val="30"/>
        </w:rPr>
        <w:object>
          <v:shape id="_x0000_i1039" o:spt="75" type="#_x0000_t75" style="height:19.35pt;width:31.35pt;" o:ole="t" filled="f" o:preferrelative="t" stroked="f" coordsize="21600,21600">
            <v:path/>
            <v:fill on="f" focussize="0,0"/>
            <v:stroke on="f" joinstyle="miter"/>
            <v:imagedata r:id="rId34" o:title=""/>
            <o:lock v:ext="edit" aspectratio="t"/>
            <w10:wrap type="none"/>
            <w10:anchorlock/>
          </v:shape>
          <o:OLEObject Type="Embed" ProgID="Equation.DSMT4" ShapeID="_x0000_i1039" DrawAspect="Content" ObjectID="_1468075739" r:id="rId33">
            <o:LockedField>false</o:LockedField>
          </o:OLEObject>
        </w:object>
      </w:r>
      <w:r>
        <w:rPr>
          <w:rFonts w:hint="eastAsia" w:ascii="仿宋_GB2312" w:hAnsi="宋体" w:eastAsia="仿宋_GB2312" w:cs="宋体"/>
          <w:color w:val="000000"/>
          <w:kern w:val="0"/>
          <w:sz w:val="30"/>
          <w:szCs w:val="30"/>
        </w:rPr>
        <w:t>是基于最近12个月的观察期，使用简化风险因子组计算的预期尾部损失。</w:t>
      </w:r>
    </w:p>
    <w:p>
      <w:pPr>
        <w:spacing w:line="48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4.简化风险因子组是一组与投资组合相关且具有足够长观察历史的风险因子，应经国家金融监督管理总局或其派出机构验收通过且满足本附件第三部分规定的可建模因子数据质量要求。简化风险因子计算的预期尾部损失与完整预期尾部损失的比率的前12周平均值不小于75%。</w:t>
      </w:r>
    </w:p>
    <w:p>
      <w:pPr>
        <w:spacing w:line="48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5.</w:t>
      </w:r>
      <w:r>
        <w:rPr>
          <w:position w:val="-14"/>
          <w:sz w:val="30"/>
          <w:szCs w:val="30"/>
        </w:rPr>
        <w:object>
          <v:shape id="_x0000_i1040" o:spt="75" type="#_x0000_t75" style="height:19.35pt;width:70.65pt;" o:ole="t" filled="f" o:preferrelative="t" stroked="f" coordsize="21600,21600">
            <v:path/>
            <v:fill on="f" focussize="0,0"/>
            <v:stroke on="f" joinstyle="miter"/>
            <v:imagedata r:id="rId36" o:title=""/>
            <o:lock v:ext="edit" aspectratio="t"/>
            <w10:wrap type="none"/>
            <w10:anchorlock/>
          </v:shape>
          <o:OLEObject Type="Embed" ProgID="Equation.DSMT4" ShapeID="_x0000_i1040" DrawAspect="Content" ObjectID="_1468075740" r:id="rId35">
            <o:LockedField>false</o:LockedField>
          </o:OLEObject>
        </w:object>
      </w:r>
      <w:r>
        <w:rPr>
          <w:rFonts w:hint="eastAsia" w:ascii="仿宋_GB2312" w:hAnsi="宋体" w:eastAsia="仿宋_GB2312" w:cs="宋体"/>
          <w:color w:val="000000"/>
          <w:kern w:val="0"/>
          <w:sz w:val="30"/>
          <w:szCs w:val="30"/>
        </w:rPr>
        <w:t>最低为1。</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（七）压力预期尾部损失的计算要求包括：</w:t>
      </w:r>
    </w:p>
    <w:p>
      <w:pPr>
        <w:spacing w:line="480" w:lineRule="exact"/>
        <w:ind w:firstLine="600" w:firstLineChars="200"/>
        <w:rPr>
          <w:rFonts w:ascii="仿宋_GB2312" w:eastAsia="仿宋_GB2312"/>
          <w:color w:val="000000"/>
          <w:sz w:val="30"/>
          <w:szCs w:val="30"/>
        </w:rPr>
      </w:pPr>
      <w:bookmarkStart w:id="13" w:name="_Hlk71375514"/>
      <w:r>
        <w:rPr>
          <w:rFonts w:hint="eastAsia" w:ascii="仿宋_GB2312" w:eastAsia="仿宋_GB2312"/>
          <w:color w:val="000000"/>
          <w:sz w:val="30"/>
          <w:szCs w:val="30"/>
        </w:rPr>
        <w:t>1.选用给商业银行造成最大损失的连续的12个月压力期间作为显著压力情景。</w:t>
      </w:r>
      <w:bookmarkStart w:id="14" w:name="_Hlk71376704"/>
      <w:r>
        <w:rPr>
          <w:rFonts w:hint="eastAsia" w:ascii="仿宋_GB2312" w:eastAsia="仿宋_GB2312"/>
          <w:color w:val="000000"/>
          <w:sz w:val="30"/>
          <w:szCs w:val="30"/>
        </w:rPr>
        <w:t>商业银行应通过最大化可建模风险因子资本要求确定最大损失。</w:t>
      </w:r>
      <w:bookmarkEnd w:id="14"/>
    </w:p>
    <w:bookmarkEnd w:id="13"/>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2.选用的连续12个月的压力期间是指包括极端金融压力事件的连续期间，其观察期应至少回溯至2</w:t>
      </w:r>
      <w:r>
        <w:rPr>
          <w:rFonts w:ascii="仿宋_GB2312" w:eastAsia="仿宋_GB2312"/>
          <w:color w:val="000000"/>
          <w:sz w:val="30"/>
          <w:szCs w:val="30"/>
        </w:rPr>
        <w:t>007</w:t>
      </w:r>
      <w:r>
        <w:rPr>
          <w:rFonts w:hint="eastAsia" w:ascii="仿宋_GB2312" w:eastAsia="仿宋_GB2312"/>
          <w:color w:val="000000"/>
          <w:sz w:val="30"/>
          <w:szCs w:val="30"/>
        </w:rPr>
        <w:t>年，每个观察值应赋予相同权重。若极端压力事件的持续期间少于12个月，商业银行应使用适当方法将期间扩展至12个月。</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3.选用的连续12个月的压力期间应与商业银行自身的资产组合相关。</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4.商业银行选取压力期间的方法应经国家金融监督管理总局或其派出机构认可。商业银行应将按认可方法确定的压力期间报告国家金融监督管理总局或其派出机构，并应定期对其进行审核。</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（八）商业银行应至少每季度更新一次数据集，并同步更新简化风险因子组。如市场风险因子的变动过大影响模型数据的审慎性，则应提高更新频率。数据集更新流程应足够灵活以适应提高更新频率的要求。</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（九）商业银行可自主识别风险类别之间的相关性，书面记录并报告国家金融监督管理总局或其派出机构。</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十）不同风险因子类别对应的流动性期限如下表所列。商业银行应将每个风险因子映射到表3所列的风险因子类别之一，其中通胀风险因子与同币种利率风险因子适用相同的流动性期限。风险因子的映射应以书面形式记录，经商业银行风险管理部门验证，报送国家金融监督管理总局或其派出机构并接受内部审计。</w:t>
      </w:r>
    </w:p>
    <w:p>
      <w:pPr>
        <w:ind w:firstLine="562" w:firstLineChars="200"/>
        <w:jc w:val="center"/>
        <w:rPr>
          <w:rFonts w:ascii="楷体_GB2312" w:eastAsia="楷体_GB2312"/>
          <w:b/>
          <w:color w:val="000000"/>
          <w:sz w:val="28"/>
          <w:szCs w:val="28"/>
        </w:rPr>
      </w:pPr>
      <w:r>
        <w:rPr>
          <w:rFonts w:hint="eastAsia" w:ascii="楷体_GB2312" w:eastAsia="楷体_GB2312"/>
          <w:b/>
          <w:color w:val="000000"/>
          <w:sz w:val="28"/>
          <w:szCs w:val="28"/>
        </w:rPr>
        <w:t>表3　风险因子类别的流动性期限对应表</w:t>
      </w:r>
    </w:p>
    <w:tbl>
      <w:tblPr>
        <w:tblStyle w:val="38"/>
        <w:tblW w:w="9127" w:type="dxa"/>
        <w:tblInd w:w="108"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977"/>
        <w:gridCol w:w="1361"/>
        <w:gridCol w:w="3480"/>
        <w:gridCol w:w="1309"/>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0" w:hRule="atLeast"/>
          <w:tblHeader/>
        </w:trPr>
        <w:tc>
          <w:tcPr>
            <w:tcW w:w="2977" w:type="dxa"/>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风险因子类别</w:t>
            </w:r>
          </w:p>
        </w:tc>
        <w:tc>
          <w:tcPr>
            <w:tcW w:w="1361" w:type="dxa"/>
            <w:tcBorders>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流动性</w:t>
            </w:r>
          </w:p>
          <w:p>
            <w:pPr>
              <w:widowControl/>
              <w:jc w:val="center"/>
              <w:rPr>
                <w:rFonts w:ascii="宋体" w:hAnsi="宋体" w:cs="宋体"/>
                <w:b/>
                <w:bCs/>
                <w:color w:val="000000"/>
                <w:kern w:val="0"/>
                <w:sz w:val="24"/>
              </w:rPr>
            </w:pPr>
            <w:r>
              <w:rPr>
                <w:rFonts w:hint="eastAsia" w:ascii="宋体" w:hAnsi="宋体" w:cs="宋体"/>
                <w:b/>
                <w:bCs/>
                <w:color w:val="000000"/>
                <w:kern w:val="0"/>
                <w:sz w:val="24"/>
              </w:rPr>
              <w:t>期限</w:t>
            </w:r>
          </w:p>
        </w:tc>
        <w:tc>
          <w:tcPr>
            <w:tcW w:w="3480" w:type="dxa"/>
            <w:tcBorders>
              <w:lef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风险因子类别</w:t>
            </w:r>
          </w:p>
        </w:tc>
        <w:tc>
          <w:tcPr>
            <w:tcW w:w="1309" w:type="dxa"/>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流动性</w:t>
            </w:r>
          </w:p>
          <w:p>
            <w:pPr>
              <w:widowControl/>
              <w:jc w:val="center"/>
              <w:rPr>
                <w:rFonts w:ascii="宋体" w:hAnsi="宋体" w:cs="宋体"/>
                <w:b/>
                <w:bCs/>
                <w:color w:val="000000"/>
                <w:kern w:val="0"/>
                <w:sz w:val="24"/>
              </w:rPr>
            </w:pPr>
            <w:r>
              <w:rPr>
                <w:rFonts w:hint="eastAsia" w:ascii="宋体" w:hAnsi="宋体" w:cs="宋体"/>
                <w:b/>
                <w:bCs/>
                <w:color w:val="000000"/>
                <w:kern w:val="0"/>
                <w:sz w:val="24"/>
              </w:rPr>
              <w:t>期限</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24" w:hRule="atLeast"/>
        </w:trPr>
        <w:tc>
          <w:tcPr>
            <w:tcW w:w="297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利率：指定货币－EUR, USD, GBP, AUD, JPY, SEK, CAD和CNY</w:t>
            </w:r>
          </w:p>
        </w:tc>
        <w:tc>
          <w:tcPr>
            <w:tcW w:w="1361" w:type="dxa"/>
            <w:tcBorders>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3480" w:type="dxa"/>
            <w:tcBorders>
              <w:lef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股票价格（小市值）：波动率</w:t>
            </w:r>
          </w:p>
        </w:tc>
        <w:tc>
          <w:tcPr>
            <w:tcW w:w="1309"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60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0" w:hRule="atLeast"/>
        </w:trPr>
        <w:tc>
          <w:tcPr>
            <w:tcW w:w="297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利率：未指定的货币</w:t>
            </w:r>
          </w:p>
        </w:tc>
        <w:tc>
          <w:tcPr>
            <w:tcW w:w="1361" w:type="dxa"/>
            <w:tcBorders>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3480" w:type="dxa"/>
            <w:tcBorders>
              <w:lef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股票：其他类型</w:t>
            </w:r>
          </w:p>
        </w:tc>
        <w:tc>
          <w:tcPr>
            <w:tcW w:w="1309"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60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0" w:hRule="atLeast"/>
        </w:trPr>
        <w:tc>
          <w:tcPr>
            <w:tcW w:w="297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利率：波动率</w:t>
            </w:r>
          </w:p>
        </w:tc>
        <w:tc>
          <w:tcPr>
            <w:tcW w:w="1361" w:type="dxa"/>
            <w:tcBorders>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60</w:t>
            </w:r>
          </w:p>
        </w:tc>
        <w:tc>
          <w:tcPr>
            <w:tcW w:w="3480" w:type="dxa"/>
            <w:tcBorders>
              <w:left w:val="single" w:color="auto" w:sz="4" w:space="0"/>
            </w:tcBorders>
            <w:vAlign w:val="center"/>
          </w:tcPr>
          <w:p>
            <w:pPr>
              <w:widowControl/>
              <w:jc w:val="center"/>
              <w:rPr>
                <w:rFonts w:ascii="宋体" w:hAnsi="宋体" w:cs="宋体"/>
                <w:color w:val="000000"/>
                <w:kern w:val="0"/>
                <w:sz w:val="24"/>
                <w:vertAlign w:val="superscript"/>
              </w:rPr>
            </w:pPr>
            <w:r>
              <w:rPr>
                <w:rFonts w:hint="eastAsia" w:ascii="宋体" w:hAnsi="宋体" w:cs="宋体"/>
                <w:color w:val="000000"/>
                <w:kern w:val="0"/>
                <w:sz w:val="24"/>
              </w:rPr>
              <w:t>汇率：指定货币对</w:t>
            </w:r>
          </w:p>
        </w:tc>
        <w:tc>
          <w:tcPr>
            <w:tcW w:w="1309"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0" w:hRule="atLeast"/>
        </w:trPr>
        <w:tc>
          <w:tcPr>
            <w:tcW w:w="297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利率：其他类型</w:t>
            </w:r>
          </w:p>
        </w:tc>
        <w:tc>
          <w:tcPr>
            <w:tcW w:w="1361" w:type="dxa"/>
            <w:tcBorders>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60</w:t>
            </w:r>
          </w:p>
        </w:tc>
        <w:tc>
          <w:tcPr>
            <w:tcW w:w="3480" w:type="dxa"/>
            <w:tcBorders>
              <w:lef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汇率：未指定货币对</w:t>
            </w:r>
          </w:p>
        </w:tc>
        <w:tc>
          <w:tcPr>
            <w:tcW w:w="1309"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39" w:hRule="atLeast"/>
        </w:trPr>
        <w:tc>
          <w:tcPr>
            <w:tcW w:w="297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信用利差：主权（投资级别）</w:t>
            </w:r>
          </w:p>
        </w:tc>
        <w:tc>
          <w:tcPr>
            <w:tcW w:w="1361" w:type="dxa"/>
            <w:tcBorders>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3480" w:type="dxa"/>
            <w:tcBorders>
              <w:lef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外汇：波动率</w:t>
            </w:r>
          </w:p>
        </w:tc>
        <w:tc>
          <w:tcPr>
            <w:tcW w:w="1309"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4" w:hRule="atLeast"/>
        </w:trPr>
        <w:tc>
          <w:tcPr>
            <w:tcW w:w="297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信用利差：主权（高收益级别）</w:t>
            </w:r>
          </w:p>
        </w:tc>
        <w:tc>
          <w:tcPr>
            <w:tcW w:w="1361" w:type="dxa"/>
            <w:tcBorders>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40</w:t>
            </w:r>
          </w:p>
        </w:tc>
        <w:tc>
          <w:tcPr>
            <w:tcW w:w="3480" w:type="dxa"/>
            <w:tcBorders>
              <w:lef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外汇：其他类型</w:t>
            </w:r>
          </w:p>
        </w:tc>
        <w:tc>
          <w:tcPr>
            <w:tcW w:w="1309"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0" w:hRule="atLeast"/>
        </w:trPr>
        <w:tc>
          <w:tcPr>
            <w:tcW w:w="297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信用利差：公司（投资级别）</w:t>
            </w:r>
          </w:p>
        </w:tc>
        <w:tc>
          <w:tcPr>
            <w:tcW w:w="1361" w:type="dxa"/>
            <w:tcBorders>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40</w:t>
            </w:r>
          </w:p>
        </w:tc>
        <w:tc>
          <w:tcPr>
            <w:tcW w:w="3480" w:type="dxa"/>
            <w:tcBorders>
              <w:lef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能源和碳排放交易价格</w:t>
            </w:r>
          </w:p>
        </w:tc>
        <w:tc>
          <w:tcPr>
            <w:tcW w:w="1309"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0" w:hRule="atLeast"/>
        </w:trPr>
        <w:tc>
          <w:tcPr>
            <w:tcW w:w="297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信用利差：公司（高收益级别）</w:t>
            </w:r>
          </w:p>
        </w:tc>
        <w:tc>
          <w:tcPr>
            <w:tcW w:w="1361" w:type="dxa"/>
            <w:tcBorders>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60</w:t>
            </w:r>
          </w:p>
        </w:tc>
        <w:tc>
          <w:tcPr>
            <w:tcW w:w="3480" w:type="dxa"/>
            <w:tcBorders>
              <w:lef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贵金属和有色金属价格</w:t>
            </w:r>
          </w:p>
        </w:tc>
        <w:tc>
          <w:tcPr>
            <w:tcW w:w="1309"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0" w:hRule="atLeast"/>
        </w:trPr>
        <w:tc>
          <w:tcPr>
            <w:tcW w:w="297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信用利差：波动率</w:t>
            </w:r>
          </w:p>
        </w:tc>
        <w:tc>
          <w:tcPr>
            <w:tcW w:w="1361" w:type="dxa"/>
            <w:tcBorders>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120</w:t>
            </w:r>
          </w:p>
        </w:tc>
        <w:tc>
          <w:tcPr>
            <w:tcW w:w="3480" w:type="dxa"/>
            <w:tcBorders>
              <w:lef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其他商品价格</w:t>
            </w:r>
          </w:p>
        </w:tc>
        <w:tc>
          <w:tcPr>
            <w:tcW w:w="1309"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60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0" w:hRule="atLeast"/>
        </w:trPr>
        <w:tc>
          <w:tcPr>
            <w:tcW w:w="297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信用利差：其它类型</w:t>
            </w:r>
          </w:p>
        </w:tc>
        <w:tc>
          <w:tcPr>
            <w:tcW w:w="1361" w:type="dxa"/>
            <w:tcBorders>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120</w:t>
            </w:r>
          </w:p>
        </w:tc>
        <w:tc>
          <w:tcPr>
            <w:tcW w:w="3480" w:type="dxa"/>
            <w:tcBorders>
              <w:lef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能源和碳排放交易价格：波动率</w:t>
            </w:r>
          </w:p>
        </w:tc>
        <w:tc>
          <w:tcPr>
            <w:tcW w:w="1309"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60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0" w:hRule="atLeast"/>
        </w:trPr>
        <w:tc>
          <w:tcPr>
            <w:tcW w:w="297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股票价格（大市值）：</w:t>
            </w:r>
          </w:p>
        </w:tc>
        <w:tc>
          <w:tcPr>
            <w:tcW w:w="1361" w:type="dxa"/>
            <w:tcBorders>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3480" w:type="dxa"/>
            <w:tcBorders>
              <w:lef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贵金属和有色金属价格：波动率</w:t>
            </w:r>
          </w:p>
        </w:tc>
        <w:tc>
          <w:tcPr>
            <w:tcW w:w="1309"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60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0" w:hRule="atLeast"/>
        </w:trPr>
        <w:tc>
          <w:tcPr>
            <w:tcW w:w="297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股票价格（小市值）：</w:t>
            </w:r>
          </w:p>
        </w:tc>
        <w:tc>
          <w:tcPr>
            <w:tcW w:w="1361" w:type="dxa"/>
            <w:tcBorders>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3480" w:type="dxa"/>
            <w:tcBorders>
              <w:lef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其他商品价格：波动率</w:t>
            </w:r>
          </w:p>
        </w:tc>
        <w:tc>
          <w:tcPr>
            <w:tcW w:w="1309"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120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0" w:hRule="atLeast"/>
        </w:trPr>
        <w:tc>
          <w:tcPr>
            <w:tcW w:w="297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股票价格（大市值）：波动率</w:t>
            </w:r>
          </w:p>
        </w:tc>
        <w:tc>
          <w:tcPr>
            <w:tcW w:w="1361" w:type="dxa"/>
            <w:tcBorders>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3480" w:type="dxa"/>
            <w:tcBorders>
              <w:lef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商品：其他类型</w:t>
            </w:r>
          </w:p>
        </w:tc>
        <w:tc>
          <w:tcPr>
            <w:tcW w:w="1309"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120</w:t>
            </w:r>
          </w:p>
        </w:tc>
      </w:tr>
    </w:tbl>
    <w:p>
      <w:pPr>
        <w:ind w:firstLine="440" w:firstLineChars="200"/>
        <w:rPr>
          <w:rFonts w:ascii="楷体_GB2312" w:hAnsi="楷体_GB2312" w:eastAsia="楷体_GB2312" w:cs="楷体_GB2312"/>
          <w:color w:val="000000"/>
          <w:kern w:val="0"/>
          <w:sz w:val="22"/>
          <w:szCs w:val="22"/>
        </w:rPr>
      </w:pPr>
      <w:r>
        <w:rPr>
          <w:rFonts w:hint="eastAsia" w:ascii="楷体_GB2312" w:hAnsi="楷体_GB2312" w:eastAsia="楷体_GB2312" w:cs="楷体_GB2312"/>
          <w:color w:val="000000"/>
          <w:kern w:val="0"/>
          <w:sz w:val="22"/>
          <w:szCs w:val="22"/>
        </w:rPr>
        <w:t>注：（</w:t>
      </w:r>
      <w:r>
        <w:rPr>
          <w:rFonts w:ascii="楷体_GB2312" w:hAnsi="楷体_GB2312" w:eastAsia="楷体_GB2312" w:cs="楷体_GB2312"/>
          <w:color w:val="000000"/>
          <w:kern w:val="0"/>
          <w:sz w:val="22"/>
          <w:szCs w:val="22"/>
        </w:rPr>
        <w:t>1）投资级别应符合本办法附件25</w:t>
      </w:r>
      <w:r>
        <w:rPr>
          <w:rFonts w:hint="eastAsia" w:ascii="楷体_GB2312" w:hAnsi="楷体_GB2312" w:eastAsia="楷体_GB2312" w:cs="楷体_GB2312"/>
          <w:color w:val="000000"/>
          <w:kern w:val="0"/>
          <w:sz w:val="22"/>
          <w:szCs w:val="22"/>
        </w:rPr>
        <w:t>标准，我国主权机构可认定为投资级别。我国地方政府、公共部门实体若无法获取主体评级，可使用债项评级作为信用水平判断依据。</w:t>
      </w:r>
      <w:bookmarkStart w:id="26" w:name="_GoBack"/>
      <w:bookmarkEnd w:id="26"/>
      <w:r>
        <w:rPr>
          <w:rFonts w:hint="eastAsia" w:ascii="楷体_GB2312" w:hAnsi="楷体_GB2312" w:eastAsia="楷体_GB2312" w:cs="楷体_GB2312"/>
          <w:color w:val="000000"/>
          <w:kern w:val="0"/>
          <w:sz w:val="22"/>
          <w:szCs w:val="22"/>
        </w:rPr>
        <w:t>对于经国家金融监督管理总局或其派出机构验收通过实施信用风险内部评级法的商业银行，若无法取得发行主体的合格外部评级，可将内部评级映射到外部评级。商业银行应制定清晰的评级映射规则，至少每年检验一次映射规则的合理性，并留档备查。（</w:t>
      </w:r>
      <w:r>
        <w:rPr>
          <w:rFonts w:ascii="楷体_GB2312" w:hAnsi="楷体_GB2312" w:eastAsia="楷体_GB2312" w:cs="楷体_GB2312"/>
          <w:color w:val="000000"/>
          <w:kern w:val="0"/>
          <w:sz w:val="22"/>
          <w:szCs w:val="22"/>
        </w:rPr>
        <w:t xml:space="preserve">2）“大市值类”指股票总市值大于或等于130亿元人民币，“小市值类”指股票总市值小于130亿元人民币，其中，股票总市值是指同一上市法人或集团在全球证券交易所发行的所有可流通股票市场价值的总和。（3）指定货币对包括美元/ </w:t>
      </w:r>
      <w:r>
        <w:rPr>
          <w:rFonts w:hint="eastAsia" w:ascii="楷体_GB2312" w:hAnsi="楷体_GB2312" w:eastAsia="楷体_GB2312" w:cs="楷体_GB2312"/>
          <w:color w:val="000000"/>
          <w:kern w:val="0"/>
          <w:sz w:val="22"/>
          <w:szCs w:val="22"/>
        </w:rPr>
        <w:t>欧元、美元</w:t>
      </w:r>
      <w:r>
        <w:rPr>
          <w:rFonts w:ascii="楷体_GB2312" w:hAnsi="楷体_GB2312" w:eastAsia="楷体_GB2312" w:cs="楷体_GB2312"/>
          <w:color w:val="000000"/>
          <w:kern w:val="0"/>
          <w:sz w:val="22"/>
          <w:szCs w:val="22"/>
        </w:rPr>
        <w:t xml:space="preserve">/ </w:t>
      </w:r>
      <w:r>
        <w:rPr>
          <w:rFonts w:hint="eastAsia" w:ascii="楷体_GB2312" w:hAnsi="楷体_GB2312" w:eastAsia="楷体_GB2312" w:cs="楷体_GB2312"/>
          <w:color w:val="000000"/>
          <w:kern w:val="0"/>
          <w:sz w:val="22"/>
          <w:szCs w:val="22"/>
        </w:rPr>
        <w:t>日元、美元</w:t>
      </w:r>
      <w:r>
        <w:rPr>
          <w:rFonts w:ascii="楷体_GB2312" w:hAnsi="楷体_GB2312" w:eastAsia="楷体_GB2312" w:cs="楷体_GB2312"/>
          <w:color w:val="000000"/>
          <w:kern w:val="0"/>
          <w:sz w:val="22"/>
          <w:szCs w:val="22"/>
        </w:rPr>
        <w:t xml:space="preserve">/ </w:t>
      </w:r>
      <w:r>
        <w:rPr>
          <w:rFonts w:hint="eastAsia" w:ascii="楷体_GB2312" w:hAnsi="楷体_GB2312" w:eastAsia="楷体_GB2312" w:cs="楷体_GB2312"/>
          <w:color w:val="000000"/>
          <w:kern w:val="0"/>
          <w:sz w:val="22"/>
          <w:szCs w:val="22"/>
        </w:rPr>
        <w:t>英镑、美元</w:t>
      </w:r>
      <w:r>
        <w:rPr>
          <w:rFonts w:ascii="楷体_GB2312" w:hAnsi="楷体_GB2312" w:eastAsia="楷体_GB2312" w:cs="楷体_GB2312"/>
          <w:color w:val="000000"/>
          <w:kern w:val="0"/>
          <w:sz w:val="22"/>
          <w:szCs w:val="22"/>
        </w:rPr>
        <w:t xml:space="preserve">/ </w:t>
      </w:r>
      <w:r>
        <w:rPr>
          <w:rFonts w:hint="eastAsia" w:ascii="楷体_GB2312" w:hAnsi="楷体_GB2312" w:eastAsia="楷体_GB2312" w:cs="楷体_GB2312"/>
          <w:color w:val="000000"/>
          <w:kern w:val="0"/>
          <w:sz w:val="22"/>
          <w:szCs w:val="22"/>
        </w:rPr>
        <w:t>澳大利亚元、美元</w:t>
      </w:r>
      <w:r>
        <w:rPr>
          <w:rFonts w:ascii="楷体_GB2312" w:hAnsi="楷体_GB2312" w:eastAsia="楷体_GB2312" w:cs="楷体_GB2312"/>
          <w:color w:val="000000"/>
          <w:kern w:val="0"/>
          <w:sz w:val="22"/>
          <w:szCs w:val="22"/>
        </w:rPr>
        <w:t xml:space="preserve">/ </w:t>
      </w:r>
      <w:r>
        <w:rPr>
          <w:rFonts w:hint="eastAsia" w:ascii="楷体_GB2312" w:hAnsi="楷体_GB2312" w:eastAsia="楷体_GB2312" w:cs="楷体_GB2312"/>
          <w:color w:val="000000"/>
          <w:kern w:val="0"/>
          <w:sz w:val="22"/>
          <w:szCs w:val="22"/>
        </w:rPr>
        <w:t>加拿大元、美元</w:t>
      </w:r>
      <w:r>
        <w:rPr>
          <w:rFonts w:ascii="楷体_GB2312" w:hAnsi="楷体_GB2312" w:eastAsia="楷体_GB2312" w:cs="楷体_GB2312"/>
          <w:color w:val="000000"/>
          <w:kern w:val="0"/>
          <w:sz w:val="22"/>
          <w:szCs w:val="22"/>
        </w:rPr>
        <w:t xml:space="preserve">/ </w:t>
      </w:r>
      <w:r>
        <w:rPr>
          <w:rFonts w:hint="eastAsia" w:ascii="楷体_GB2312" w:hAnsi="楷体_GB2312" w:eastAsia="楷体_GB2312" w:cs="楷体_GB2312"/>
          <w:color w:val="000000"/>
          <w:kern w:val="0"/>
          <w:sz w:val="22"/>
          <w:szCs w:val="22"/>
        </w:rPr>
        <w:t>瑞士法郎、美元</w:t>
      </w:r>
      <w:r>
        <w:rPr>
          <w:rFonts w:ascii="楷体_GB2312" w:hAnsi="楷体_GB2312" w:eastAsia="楷体_GB2312" w:cs="楷体_GB2312"/>
          <w:color w:val="000000"/>
          <w:kern w:val="0"/>
          <w:sz w:val="22"/>
          <w:szCs w:val="22"/>
        </w:rPr>
        <w:t xml:space="preserve">/ </w:t>
      </w:r>
      <w:r>
        <w:rPr>
          <w:rFonts w:hint="eastAsia" w:ascii="楷体_GB2312" w:hAnsi="楷体_GB2312" w:eastAsia="楷体_GB2312" w:cs="楷体_GB2312"/>
          <w:color w:val="000000"/>
          <w:kern w:val="0"/>
          <w:sz w:val="22"/>
          <w:szCs w:val="22"/>
        </w:rPr>
        <w:t>墨西哥元、美元</w:t>
      </w:r>
      <w:r>
        <w:rPr>
          <w:rFonts w:ascii="楷体_GB2312" w:hAnsi="楷体_GB2312" w:eastAsia="楷体_GB2312" w:cs="楷体_GB2312"/>
          <w:color w:val="000000"/>
          <w:kern w:val="0"/>
          <w:sz w:val="22"/>
          <w:szCs w:val="22"/>
        </w:rPr>
        <w:t xml:space="preserve">/人民币、美元/ </w:t>
      </w:r>
      <w:r>
        <w:rPr>
          <w:rFonts w:hint="eastAsia" w:ascii="楷体_GB2312" w:hAnsi="楷体_GB2312" w:eastAsia="楷体_GB2312" w:cs="楷体_GB2312"/>
          <w:color w:val="000000"/>
          <w:kern w:val="0"/>
          <w:sz w:val="22"/>
          <w:szCs w:val="22"/>
        </w:rPr>
        <w:t>新西兰元、美元</w:t>
      </w:r>
      <w:r>
        <w:rPr>
          <w:rFonts w:ascii="楷体_GB2312" w:hAnsi="楷体_GB2312" w:eastAsia="楷体_GB2312" w:cs="楷体_GB2312"/>
          <w:color w:val="000000"/>
          <w:kern w:val="0"/>
          <w:sz w:val="22"/>
          <w:szCs w:val="22"/>
        </w:rPr>
        <w:t xml:space="preserve">/ </w:t>
      </w:r>
      <w:r>
        <w:rPr>
          <w:rFonts w:hint="eastAsia" w:ascii="楷体_GB2312" w:hAnsi="楷体_GB2312" w:eastAsia="楷体_GB2312" w:cs="楷体_GB2312"/>
          <w:color w:val="000000"/>
          <w:kern w:val="0"/>
          <w:sz w:val="22"/>
          <w:szCs w:val="22"/>
        </w:rPr>
        <w:t>卢布、美元</w:t>
      </w:r>
      <w:r>
        <w:rPr>
          <w:rFonts w:ascii="楷体_GB2312" w:hAnsi="楷体_GB2312" w:eastAsia="楷体_GB2312" w:cs="楷体_GB2312"/>
          <w:color w:val="000000"/>
          <w:kern w:val="0"/>
          <w:sz w:val="22"/>
          <w:szCs w:val="22"/>
        </w:rPr>
        <w:t xml:space="preserve">/ </w:t>
      </w:r>
      <w:r>
        <w:rPr>
          <w:rFonts w:hint="eastAsia" w:ascii="楷体_GB2312" w:hAnsi="楷体_GB2312" w:eastAsia="楷体_GB2312" w:cs="楷体_GB2312"/>
          <w:color w:val="000000"/>
          <w:kern w:val="0"/>
          <w:sz w:val="22"/>
          <w:szCs w:val="22"/>
        </w:rPr>
        <w:t>港元、美元</w:t>
      </w:r>
      <w:r>
        <w:rPr>
          <w:rFonts w:ascii="楷体_GB2312" w:hAnsi="楷体_GB2312" w:eastAsia="楷体_GB2312" w:cs="楷体_GB2312"/>
          <w:color w:val="000000"/>
          <w:kern w:val="0"/>
          <w:sz w:val="22"/>
          <w:szCs w:val="22"/>
        </w:rPr>
        <w:t xml:space="preserve">/ </w:t>
      </w:r>
      <w:r>
        <w:rPr>
          <w:rFonts w:hint="eastAsia" w:ascii="楷体_GB2312" w:hAnsi="楷体_GB2312" w:eastAsia="楷体_GB2312" w:cs="楷体_GB2312"/>
          <w:color w:val="000000"/>
          <w:kern w:val="0"/>
          <w:sz w:val="22"/>
          <w:szCs w:val="22"/>
        </w:rPr>
        <w:t>新加坡元、美元</w:t>
      </w:r>
      <w:r>
        <w:rPr>
          <w:rFonts w:ascii="楷体_GB2312" w:hAnsi="楷体_GB2312" w:eastAsia="楷体_GB2312" w:cs="楷体_GB2312"/>
          <w:color w:val="000000"/>
          <w:kern w:val="0"/>
          <w:sz w:val="22"/>
          <w:szCs w:val="22"/>
        </w:rPr>
        <w:t xml:space="preserve">/ </w:t>
      </w:r>
      <w:r>
        <w:rPr>
          <w:rFonts w:hint="eastAsia" w:ascii="楷体_GB2312" w:hAnsi="楷体_GB2312" w:eastAsia="楷体_GB2312" w:cs="楷体_GB2312"/>
          <w:color w:val="000000"/>
          <w:kern w:val="0"/>
          <w:sz w:val="22"/>
          <w:szCs w:val="22"/>
        </w:rPr>
        <w:t>新土耳其里拉、美元</w:t>
      </w:r>
      <w:r>
        <w:rPr>
          <w:rFonts w:ascii="楷体_GB2312" w:hAnsi="楷体_GB2312" w:eastAsia="楷体_GB2312" w:cs="楷体_GB2312"/>
          <w:color w:val="000000"/>
          <w:kern w:val="0"/>
          <w:sz w:val="22"/>
          <w:szCs w:val="22"/>
        </w:rPr>
        <w:t xml:space="preserve">/ </w:t>
      </w:r>
      <w:r>
        <w:rPr>
          <w:rFonts w:hint="eastAsia" w:ascii="楷体_GB2312" w:hAnsi="楷体_GB2312" w:eastAsia="楷体_GB2312" w:cs="楷体_GB2312"/>
          <w:color w:val="000000"/>
          <w:kern w:val="0"/>
          <w:sz w:val="22"/>
          <w:szCs w:val="22"/>
        </w:rPr>
        <w:t>韩元、美元</w:t>
      </w:r>
      <w:r>
        <w:rPr>
          <w:rFonts w:ascii="楷体_GB2312" w:hAnsi="楷体_GB2312" w:eastAsia="楷体_GB2312" w:cs="楷体_GB2312"/>
          <w:color w:val="000000"/>
          <w:kern w:val="0"/>
          <w:sz w:val="22"/>
          <w:szCs w:val="22"/>
        </w:rPr>
        <w:t xml:space="preserve">/ </w:t>
      </w:r>
      <w:r>
        <w:rPr>
          <w:rFonts w:hint="eastAsia" w:ascii="楷体_GB2312" w:hAnsi="楷体_GB2312" w:eastAsia="楷体_GB2312" w:cs="楷体_GB2312"/>
          <w:color w:val="000000"/>
          <w:kern w:val="0"/>
          <w:sz w:val="22"/>
          <w:szCs w:val="22"/>
        </w:rPr>
        <w:t>瑞典克朗、美元</w:t>
      </w:r>
      <w:r>
        <w:rPr>
          <w:rFonts w:ascii="楷体_GB2312" w:hAnsi="楷体_GB2312" w:eastAsia="楷体_GB2312" w:cs="楷体_GB2312"/>
          <w:color w:val="000000"/>
          <w:kern w:val="0"/>
          <w:sz w:val="22"/>
          <w:szCs w:val="22"/>
        </w:rPr>
        <w:t xml:space="preserve">/ </w:t>
      </w:r>
      <w:r>
        <w:rPr>
          <w:rFonts w:hint="eastAsia" w:ascii="楷体_GB2312" w:hAnsi="楷体_GB2312" w:eastAsia="楷体_GB2312" w:cs="楷体_GB2312"/>
          <w:color w:val="000000"/>
          <w:kern w:val="0"/>
          <w:sz w:val="22"/>
          <w:szCs w:val="22"/>
        </w:rPr>
        <w:t>南非兰特、美元</w:t>
      </w:r>
      <w:r>
        <w:rPr>
          <w:rFonts w:ascii="楷体_GB2312" w:hAnsi="楷体_GB2312" w:eastAsia="楷体_GB2312" w:cs="楷体_GB2312"/>
          <w:color w:val="000000"/>
          <w:kern w:val="0"/>
          <w:sz w:val="22"/>
          <w:szCs w:val="22"/>
        </w:rPr>
        <w:t xml:space="preserve">/ </w:t>
      </w:r>
      <w:r>
        <w:rPr>
          <w:rFonts w:hint="eastAsia" w:ascii="楷体_GB2312" w:hAnsi="楷体_GB2312" w:eastAsia="楷体_GB2312" w:cs="楷体_GB2312"/>
          <w:color w:val="000000"/>
          <w:kern w:val="0"/>
          <w:sz w:val="22"/>
          <w:szCs w:val="22"/>
        </w:rPr>
        <w:t>印度卢比、美元</w:t>
      </w:r>
      <w:r>
        <w:rPr>
          <w:rFonts w:ascii="楷体_GB2312" w:hAnsi="楷体_GB2312" w:eastAsia="楷体_GB2312" w:cs="楷体_GB2312"/>
          <w:color w:val="000000"/>
          <w:kern w:val="0"/>
          <w:sz w:val="22"/>
          <w:szCs w:val="22"/>
        </w:rPr>
        <w:t xml:space="preserve">/ </w:t>
      </w:r>
      <w:r>
        <w:rPr>
          <w:rFonts w:hint="eastAsia" w:ascii="楷体_GB2312" w:hAnsi="楷体_GB2312" w:eastAsia="楷体_GB2312" w:cs="楷体_GB2312"/>
          <w:color w:val="000000"/>
          <w:kern w:val="0"/>
          <w:sz w:val="22"/>
          <w:szCs w:val="22"/>
        </w:rPr>
        <w:t>挪威克朗、美元</w:t>
      </w:r>
      <w:r>
        <w:rPr>
          <w:rFonts w:ascii="楷体_GB2312" w:hAnsi="楷体_GB2312" w:eastAsia="楷体_GB2312" w:cs="楷体_GB2312"/>
          <w:color w:val="000000"/>
          <w:kern w:val="0"/>
          <w:sz w:val="22"/>
          <w:szCs w:val="22"/>
        </w:rPr>
        <w:t xml:space="preserve">/ </w:t>
      </w:r>
      <w:r>
        <w:rPr>
          <w:rFonts w:hint="eastAsia" w:ascii="楷体_GB2312" w:hAnsi="楷体_GB2312" w:eastAsia="楷体_GB2312" w:cs="楷体_GB2312"/>
          <w:color w:val="000000"/>
          <w:kern w:val="0"/>
          <w:sz w:val="22"/>
          <w:szCs w:val="22"/>
        </w:rPr>
        <w:t>巴西雷亚尔、欧元</w:t>
      </w:r>
      <w:r>
        <w:rPr>
          <w:rFonts w:ascii="楷体_GB2312" w:hAnsi="楷体_GB2312" w:eastAsia="楷体_GB2312" w:cs="楷体_GB2312"/>
          <w:color w:val="000000"/>
          <w:kern w:val="0"/>
          <w:sz w:val="22"/>
          <w:szCs w:val="22"/>
        </w:rPr>
        <w:t>/日元、欧元/英镑、欧元/瑞士法郎、日元/澳元及以上货币对的一阶交叉货币对。</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（十一）经国家金融监督管理总局认可，流动性期限可高于表</w:t>
      </w:r>
      <w:r>
        <w:rPr>
          <w:rFonts w:ascii="仿宋_GB2312" w:eastAsia="仿宋_GB2312"/>
          <w:color w:val="000000"/>
          <w:sz w:val="30"/>
          <w:szCs w:val="30"/>
        </w:rPr>
        <w:t>3</w:t>
      </w:r>
      <w:r>
        <w:rPr>
          <w:rFonts w:hint="eastAsia" w:ascii="仿宋_GB2312" w:eastAsia="仿宋_GB2312"/>
          <w:color w:val="000000"/>
          <w:sz w:val="30"/>
          <w:szCs w:val="30"/>
        </w:rPr>
        <w:t>中对应的值，但应为20天、40天、60天或120天的标准期限，并不得超过产品的剩余期限。</w:t>
      </w:r>
    </w:p>
    <w:p>
      <w:pPr>
        <w:spacing w:line="480" w:lineRule="exact"/>
        <w:ind w:firstLine="600" w:firstLineChars="200"/>
        <w:rPr>
          <w:rFonts w:ascii="仿宋_GB2312" w:hAnsi="Calibri" w:eastAsia="仿宋_GB2312"/>
          <w:color w:val="000000"/>
          <w:sz w:val="30"/>
          <w:szCs w:val="30"/>
        </w:rPr>
      </w:pPr>
      <w:r>
        <w:rPr>
          <w:rFonts w:hint="eastAsia" w:ascii="仿宋_GB2312" w:eastAsia="仿宋_GB2312"/>
          <w:color w:val="000000"/>
          <w:sz w:val="30"/>
          <w:szCs w:val="30"/>
        </w:rPr>
        <w:t>（十二）</w:t>
      </w:r>
      <w:r>
        <w:rPr>
          <w:rFonts w:hint="eastAsia" w:ascii="仿宋_GB2312" w:hAnsi="Calibri" w:eastAsia="仿宋_GB2312"/>
          <w:color w:val="000000"/>
          <w:sz w:val="30"/>
          <w:szCs w:val="30"/>
        </w:rPr>
        <w:t>可建模风险因子的总资本要求（IMCC）</w:t>
      </w:r>
      <w:r>
        <w:rPr>
          <w:rFonts w:hint="eastAsia" w:ascii="仿宋_GB2312" w:eastAsia="仿宋_GB2312"/>
          <w:color w:val="000000"/>
          <w:sz w:val="30"/>
          <w:szCs w:val="30"/>
        </w:rPr>
        <w:t>为受</w:t>
      </w:r>
      <w:r>
        <w:rPr>
          <w:rFonts w:hint="eastAsia" w:ascii="仿宋_GB2312" w:hAnsi="Calibri" w:eastAsia="仿宋_GB2312"/>
          <w:color w:val="000000"/>
          <w:sz w:val="30"/>
          <w:szCs w:val="30"/>
        </w:rPr>
        <w:t>分散效应和不受分散效应</w:t>
      </w:r>
      <w:r>
        <w:rPr>
          <w:rFonts w:hint="eastAsia" w:ascii="仿宋_GB2312" w:eastAsia="仿宋_GB2312"/>
          <w:color w:val="000000"/>
          <w:sz w:val="30"/>
          <w:szCs w:val="30"/>
        </w:rPr>
        <w:t>影响</w:t>
      </w:r>
      <w:r>
        <w:rPr>
          <w:rFonts w:hint="eastAsia" w:ascii="仿宋_GB2312" w:hAnsi="Calibri" w:eastAsia="仿宋_GB2312"/>
          <w:color w:val="000000"/>
          <w:sz w:val="30"/>
          <w:szCs w:val="30"/>
        </w:rPr>
        <w:t>的各风险类别预期尾部损失资本要求的加权平均值，公式如下：</w:t>
      </w:r>
      <w:r>
        <w:rPr>
          <w:rFonts w:hint="eastAsia" w:ascii="仿宋_GB2312" w:eastAsia="仿宋_GB2312"/>
          <w:color w:val="000000"/>
          <w:sz w:val="30"/>
          <w:szCs w:val="30"/>
        </w:rPr>
        <w:t xml:space="preserve"> </w:t>
      </w:r>
    </w:p>
    <w:p>
      <w:pPr>
        <w:jc w:val="center"/>
        <w:rPr>
          <w:rFonts w:ascii="仿宋_GB2312" w:hAnsi="Calibri" w:eastAsia="仿宋_GB2312"/>
          <w:color w:val="000000"/>
          <w:sz w:val="30"/>
          <w:szCs w:val="30"/>
        </w:rPr>
      </w:pPr>
      <w:r>
        <w:rPr>
          <w:position w:val="-30"/>
          <w:sz w:val="30"/>
          <w:szCs w:val="30"/>
        </w:rPr>
        <w:object>
          <v:shape id="_x0000_i1041" o:spt="75" type="#_x0000_t75" style="height:36pt;width:250.65pt;" o:ole="t" filled="f" o:preferrelative="t" stroked="f" coordsize="21600,21600">
            <v:path/>
            <v:fill on="f" focussize="0,0"/>
            <v:stroke on="f" joinstyle="miter"/>
            <v:imagedata r:id="rId38" o:title=""/>
            <o:lock v:ext="edit" aspectratio="t"/>
            <w10:wrap type="none"/>
            <w10:anchorlock/>
          </v:shape>
          <o:OLEObject Type="Embed" ProgID="Equation.DSMT4" ShapeID="_x0000_i1041" DrawAspect="Content" ObjectID="_1468075741" r:id="rId37">
            <o:LockedField>false</o:LockedField>
          </o:OLEObject>
        </w:objec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其中：</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1.</w:t>
      </w:r>
      <w:r>
        <w:rPr>
          <w:position w:val="-32"/>
          <w:sz w:val="30"/>
          <w:szCs w:val="30"/>
        </w:rPr>
        <w:object>
          <v:shape id="_x0000_i1042" o:spt="75" type="#_x0000_t75" style="height:36pt;width:277.35pt;" o:ole="t" filled="f" o:preferrelative="t" stroked="f" coordsize="21600,21600">
            <v:path/>
            <v:fill on="f" focussize="0,0"/>
            <v:stroke on="f" joinstyle="miter"/>
            <v:imagedata r:id="rId40" o:title=""/>
            <o:lock v:ext="edit" aspectratio="t"/>
            <w10:wrap type="none"/>
            <w10:anchorlock/>
          </v:shape>
          <o:OLEObject Type="Embed" ProgID="Equation.DSMT4" ShapeID="_x0000_i1042" DrawAspect="Content" ObjectID="_1468075742" r:id="rId39">
            <o:LockedField>false</o:LockedField>
          </o:OLEObject>
        </w:object>
      </w:r>
      <w:r>
        <w:rPr>
          <w:rFonts w:hint="eastAsia" w:ascii="仿宋_GB2312" w:eastAsia="仿宋_GB2312"/>
          <w:color w:val="000000"/>
          <w:sz w:val="30"/>
          <w:szCs w:val="30"/>
        </w:rPr>
        <w:t>。</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w:t>
      </w:r>
      <w:r>
        <w:rPr>
          <w:position w:val="-12"/>
          <w:sz w:val="30"/>
          <w:szCs w:val="30"/>
        </w:rPr>
        <w:object>
          <v:shape id="_x0000_i1043" o:spt="75" type="#_x0000_t75" style="height:19.35pt;width:59.3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ascii="仿宋_GB2312" w:eastAsia="仿宋_GB2312"/>
          <w:color w:val="000000"/>
          <w:sz w:val="30"/>
          <w:szCs w:val="30"/>
        </w:rPr>
        <w:t>为全行层面上使用内部模型计算的资本要求，受分散效应影响。</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w:t>
      </w:r>
      <w:r>
        <w:rPr>
          <w:position w:val="-12"/>
          <w:sz w:val="30"/>
          <w:szCs w:val="30"/>
        </w:rPr>
        <w:object>
          <v:shape id="_x0000_i1044" o:spt="75" type="#_x0000_t75" style="height:19.35pt;width:60.65pt;" o:ole="t" filled="f" o:preferrelative="t" stroked="f" coordsize="21600,21600">
            <v:path/>
            <v:fill on="f" focussize="0,0"/>
            <v:stroke on="f" joinstyle="miter"/>
            <v:imagedata r:id="rId44" o:title=""/>
            <o:lock v:ext="edit" aspectratio="t"/>
            <w10:wrap type="none"/>
            <w10:anchorlock/>
          </v:shape>
          <o:OLEObject Type="Embed" ProgID="Equation.DSMT4" ShapeID="_x0000_i1044" DrawAspect="Content" ObjectID="_1468075744" r:id="rId43">
            <o:LockedField>false</o:LockedField>
          </o:OLEObject>
        </w:object>
      </w:r>
      <w:r>
        <w:rPr>
          <w:rFonts w:hint="eastAsia" w:ascii="仿宋_GB2312" w:eastAsia="仿宋_GB2312"/>
          <w:color w:val="000000"/>
          <w:sz w:val="30"/>
          <w:szCs w:val="30"/>
        </w:rPr>
        <w:t>为各风险类别计算预期尾部损失资本要求，不受分散效应影响。</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4.计算风险类别层面的</w:t>
      </w:r>
      <w:r>
        <w:rPr>
          <w:position w:val="-14"/>
          <w:sz w:val="30"/>
          <w:szCs w:val="30"/>
        </w:rPr>
        <w:object>
          <v:shape id="_x0000_i1045" o:spt="75" type="#_x0000_t75" style="height:19.35pt;width:36pt;" o:ole="t" filled="f" o:preferrelative="t" stroked="f" coordsize="21600,21600">
            <v:path/>
            <v:fill on="f" focussize="0,0"/>
            <v:stroke on="f" joinstyle="miter"/>
            <v:imagedata r:id="rId46" o:title=""/>
            <o:lock v:ext="edit" aspectratio="t"/>
            <w10:wrap type="none"/>
            <w10:anchorlock/>
          </v:shape>
          <o:OLEObject Type="Embed" ProgID="Equation.DSMT4" ShapeID="_x0000_i1045" DrawAspect="Content" ObjectID="_1468075745" r:id="rId45">
            <o:LockedField>false</o:LockedField>
          </o:OLEObject>
        </w:object>
      </w:r>
      <w:r>
        <w:rPr>
          <w:rFonts w:hint="eastAsia" w:ascii="仿宋_GB2312" w:eastAsia="仿宋_GB2312"/>
          <w:color w:val="000000"/>
          <w:sz w:val="30"/>
          <w:szCs w:val="30"/>
        </w:rPr>
        <w:t>中使用的压力情景与用于计算整个投资组合的</w:t>
      </w:r>
      <w:r>
        <w:rPr>
          <w:position w:val="-14"/>
          <w:sz w:val="30"/>
          <w:szCs w:val="30"/>
        </w:rPr>
        <w:object>
          <v:shape id="_x0000_i1046" o:spt="75" type="#_x0000_t75" style="height:19.35pt;width:30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47">
            <o:LockedField>false</o:LockedField>
          </o:OLEObject>
        </w:object>
      </w:r>
      <w:r>
        <w:rPr>
          <w:rFonts w:hint="eastAsia" w:ascii="仿宋_GB2312" w:eastAsia="仿宋_GB2312"/>
          <w:color w:val="000000"/>
          <w:sz w:val="30"/>
          <w:szCs w:val="30"/>
        </w:rPr>
        <w:t>的压力情景相同。</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w:t>
      </w:r>
      <w:r>
        <w:rPr>
          <w:position w:val="-10"/>
          <w:sz w:val="30"/>
          <w:szCs w:val="30"/>
        </w:rPr>
        <w:object>
          <v:shape id="_x0000_i1047" o:spt="75" type="#_x0000_t75" style="height:12.65pt;width:12.65pt;" o:ole="t" filled="f" o:preferrelative="t" stroked="f" coordsize="21600,21600">
            <v:path/>
            <v:fill on="f" focussize="0,0"/>
            <v:stroke on="f" joinstyle="miter"/>
            <v:imagedata r:id="rId49" o:title=""/>
            <o:lock v:ext="edit" aspectratio="t"/>
            <w10:wrap type="none"/>
            <w10:anchorlock/>
          </v:shape>
          <o:OLEObject Type="Embed" ProgID="Equation.DSMT4" ShapeID="_x0000_i1047" DrawAspect="Content" ObjectID="_1468075747" r:id="rId48">
            <o:LockedField>false</o:LockedField>
          </o:OLEObject>
        </w:object>
      </w:r>
      <w:r>
        <w:rPr>
          <w:rFonts w:hint="eastAsia" w:ascii="仿宋_GB2312" w:eastAsia="仿宋_GB2312"/>
          <w:color w:val="000000"/>
          <w:sz w:val="30"/>
          <w:szCs w:val="30"/>
        </w:rPr>
        <w:t>为0.5。</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6.B为风险类别。</w:t>
      </w:r>
    </w:p>
    <w:p>
      <w:pPr>
        <w:pStyle w:val="3"/>
      </w:pPr>
      <w:r>
        <w:rPr>
          <w:rFonts w:hint="eastAsia"/>
        </w:rPr>
        <w:t>五、</w:t>
      </w:r>
      <w:bookmarkStart w:id="15" w:name="_Hlk48835910"/>
      <w:r>
        <w:rPr>
          <w:rFonts w:hint="eastAsia"/>
        </w:rPr>
        <w:t>不可建模风险因子的资本要求</w:t>
      </w:r>
      <w:bookmarkEnd w:id="15"/>
    </w:p>
    <w:p>
      <w:pPr>
        <w:spacing w:line="48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一）不可建模风险因子的资本要求由压力情景确定，压力情景应至少与用于可建模风险因子预期尾部损失的压力情景同样审慎（97.5%置信区间）。相同风险类别中的不可建模风险因子的压力情景应相同。商业银行应根据本附件第四部分（七）确定压力情景。</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w:t>
      </w:r>
      <w:r>
        <w:rPr>
          <w:rFonts w:hint="eastAsia" w:ascii="仿宋_GB2312" w:hAnsi="Calibri" w:eastAsia="仿宋_GB2312"/>
          <w:color w:val="000000"/>
          <w:sz w:val="30"/>
          <w:szCs w:val="30"/>
        </w:rPr>
        <w:t>不可建模</w:t>
      </w:r>
      <w:r>
        <w:rPr>
          <w:rFonts w:hint="eastAsia" w:ascii="仿宋_GB2312" w:eastAsia="仿宋_GB2312"/>
          <w:color w:val="000000"/>
          <w:sz w:val="30"/>
          <w:szCs w:val="30"/>
        </w:rPr>
        <w:t>风险因子的流动性期限是表</w:t>
      </w:r>
      <w:r>
        <w:rPr>
          <w:rFonts w:ascii="仿宋_GB2312" w:eastAsia="仿宋_GB2312"/>
          <w:color w:val="000000"/>
          <w:sz w:val="30"/>
          <w:szCs w:val="30"/>
        </w:rPr>
        <w:t>3</w:t>
      </w:r>
      <w:r>
        <w:rPr>
          <w:rFonts w:hint="eastAsia" w:ascii="仿宋_GB2312" w:eastAsia="仿宋_GB2312"/>
          <w:color w:val="000000"/>
          <w:sz w:val="30"/>
          <w:szCs w:val="30"/>
        </w:rPr>
        <w:t>对应的流动性期限和20天中的较大者。</w:t>
      </w:r>
    </w:p>
    <w:p>
      <w:pPr>
        <w:spacing w:line="480" w:lineRule="exact"/>
        <w:ind w:firstLine="600" w:firstLineChars="200"/>
        <w:rPr>
          <w:rFonts w:ascii="仿宋_GB2312" w:hAnsi="Calibri" w:eastAsia="仿宋_GB2312"/>
          <w:color w:val="000000"/>
          <w:sz w:val="30"/>
          <w:szCs w:val="30"/>
        </w:rPr>
      </w:pPr>
      <w:r>
        <w:rPr>
          <w:rFonts w:hint="eastAsia" w:ascii="仿宋_GB2312" w:eastAsia="仿宋_GB2312"/>
          <w:color w:val="000000"/>
          <w:sz w:val="30"/>
          <w:szCs w:val="30"/>
        </w:rPr>
        <w:t>（三）若</w:t>
      </w:r>
      <w:r>
        <w:rPr>
          <w:rFonts w:hint="eastAsia" w:ascii="仿宋_GB2312" w:hAnsi="Calibri" w:eastAsia="仿宋_GB2312"/>
          <w:color w:val="000000"/>
          <w:sz w:val="30"/>
          <w:szCs w:val="30"/>
        </w:rPr>
        <w:t>国家金融监督管理总局</w:t>
      </w:r>
      <w:r>
        <w:rPr>
          <w:rFonts w:hint="eastAsia" w:ascii="仿宋_GB2312" w:eastAsia="仿宋_GB2312"/>
          <w:color w:val="000000"/>
          <w:sz w:val="30"/>
          <w:szCs w:val="30"/>
        </w:rPr>
        <w:t>或其派出机构</w:t>
      </w:r>
      <w:r>
        <w:rPr>
          <w:rFonts w:hint="eastAsia" w:ascii="仿宋_GB2312" w:hAnsi="Calibri" w:eastAsia="仿宋_GB2312"/>
          <w:color w:val="000000"/>
          <w:sz w:val="30"/>
          <w:szCs w:val="30"/>
        </w:rPr>
        <w:t>不认可商业银行确定的压力情景，银行应使用最大可能损失作为压力情景。</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w:t>
      </w:r>
      <w:r>
        <w:rPr>
          <w:rFonts w:hint="eastAsia" w:ascii="仿宋_GB2312" w:hAnsi="Calibri" w:eastAsia="仿宋_GB2312"/>
          <w:color w:val="000000"/>
          <w:sz w:val="30"/>
          <w:szCs w:val="30"/>
        </w:rPr>
        <w:t>不可建模风险因子资本</w:t>
      </w:r>
      <w:r>
        <w:rPr>
          <w:rFonts w:hint="eastAsia" w:ascii="仿宋_GB2312" w:eastAsia="仿宋_GB2312"/>
          <w:color w:val="000000"/>
          <w:sz w:val="30"/>
          <w:szCs w:val="30"/>
        </w:rPr>
        <w:t xml:space="preserve">计算方法如下： </w:t>
      </w:r>
    </w:p>
    <w:p>
      <w:pPr>
        <w:ind w:firstLine="420" w:firstLineChars="200"/>
        <w:rPr>
          <w:rFonts w:ascii="仿宋_GB2312" w:eastAsia="仿宋_GB2312"/>
          <w:color w:val="000000"/>
          <w:sz w:val="30"/>
          <w:szCs w:val="30"/>
        </w:rPr>
      </w:pPr>
      <m:oMathPara>
        <m:oMath>
          <m:r>
            <m:rPr/>
            <w:rPr>
              <w:rFonts w:hint="eastAsia" w:ascii="DejaVu Math TeX Gyre" w:hAnsi="DejaVu Math TeX Gyre"/>
            </w:rPr>
            <m:t>SES</m:t>
          </m:r>
          <m:r>
            <m:rPr/>
            <w:rPr>
              <w:rFonts w:ascii="DejaVu Math TeX Gyre" w:hAnsi="DejaVu Math TeX Gyre"/>
            </w:rPr>
            <m:t>=</m:t>
          </m:r>
          <m:rad>
            <m:radPr>
              <m:degHide m:val="1"/>
              <m:ctrlPr>
                <w:rPr>
                  <w:rFonts w:ascii="DejaVu Math TeX Gyre" w:hAnsi="DejaVu Math TeX Gyre"/>
                  <w:i/>
                </w:rPr>
              </m:ctrlPr>
            </m:radPr>
            <m:deg>
              <m:ctrlPr>
                <w:rPr>
                  <w:rFonts w:ascii="DejaVu Math TeX Gyre" w:hAnsi="DejaVu Math TeX Gyre"/>
                  <w:i/>
                </w:rPr>
              </m:ctrlPr>
            </m:deg>
            <m:e>
              <m:nary>
                <m:naryPr>
                  <m:chr m:val="∑"/>
                  <m:ctrlPr>
                    <w:rPr>
                      <w:rFonts w:ascii="DejaVu Math TeX Gyre" w:hAnsi="DejaVu Math TeX Gyre"/>
                      <w:i/>
                    </w:rPr>
                  </m:ctrlPr>
                </m:naryPr>
                <m:sub>
                  <m:r>
                    <m:rPr/>
                    <w:rPr>
                      <w:rFonts w:ascii="DejaVu Math TeX Gyre" w:hAnsi="DejaVu Math TeX Gyre"/>
                    </w:rPr>
                    <m:t>i=1</m:t>
                  </m:r>
                  <m:ctrlPr>
                    <w:rPr>
                      <w:rFonts w:ascii="DejaVu Math TeX Gyre" w:hAnsi="DejaVu Math TeX Gyre"/>
                      <w:i/>
                    </w:rPr>
                  </m:ctrlPr>
                </m:sub>
                <m:sup>
                  <m:r>
                    <m:rPr/>
                    <w:rPr>
                      <w:rFonts w:ascii="DejaVu Math TeX Gyre" w:hAnsi="DejaVu Math TeX Gyre"/>
                    </w:rPr>
                    <m:t>I</m:t>
                  </m:r>
                  <m:ctrlPr>
                    <w:rPr>
                      <w:rFonts w:ascii="DejaVu Math TeX Gyre" w:hAnsi="DejaVu Math TeX Gyre"/>
                      <w:i/>
                    </w:rPr>
                  </m:ctrlPr>
                </m:sup>
                <m:e>
                  <m:r>
                    <m:rPr/>
                    <w:rPr>
                      <w:rFonts w:ascii="DejaVu Math TeX Gyre" w:hAnsi="DejaVu Math TeX Gyre"/>
                    </w:rPr>
                    <m:t>ISE</m:t>
                  </m:r>
                  <m:sSubSup>
                    <m:sSubSupPr>
                      <m:ctrlPr>
                        <w:rPr>
                          <w:rFonts w:ascii="DejaVu Math TeX Gyre" w:hAnsi="DejaVu Math TeX Gyre"/>
                          <w:i/>
                        </w:rPr>
                      </m:ctrlPr>
                    </m:sSubSupPr>
                    <m:e>
                      <m:r>
                        <m:rPr/>
                        <w:rPr>
                          <w:rFonts w:ascii="DejaVu Math TeX Gyre" w:hAnsi="DejaVu Math TeX Gyre"/>
                        </w:rPr>
                        <m:t>S</m:t>
                      </m:r>
                      <m:ctrlPr>
                        <w:rPr>
                          <w:rFonts w:ascii="DejaVu Math TeX Gyre" w:hAnsi="DejaVu Math TeX Gyre"/>
                          <w:i/>
                        </w:rPr>
                      </m:ctrlPr>
                    </m:e>
                    <m:sub>
                      <m:r>
                        <m:rPr/>
                        <w:rPr>
                          <w:rFonts w:ascii="DejaVu Math TeX Gyre" w:hAnsi="DejaVu Math TeX Gyre"/>
                        </w:rPr>
                        <m:t>NM,i</m:t>
                      </m:r>
                      <m:ctrlPr>
                        <w:rPr>
                          <w:rFonts w:ascii="DejaVu Math TeX Gyre" w:hAnsi="DejaVu Math TeX Gyre"/>
                          <w:i/>
                        </w:rPr>
                      </m:ctrlPr>
                    </m:sub>
                    <m:sup>
                      <m:r>
                        <m:rPr/>
                        <w:rPr>
                          <w:rFonts w:ascii="DejaVu Math TeX Gyre" w:hAnsi="DejaVu Math TeX Gyre"/>
                        </w:rPr>
                        <m:t>2</m:t>
                      </m:r>
                      <m:ctrlPr>
                        <w:rPr>
                          <w:rFonts w:ascii="DejaVu Math TeX Gyre" w:hAnsi="DejaVu Math TeX Gyre"/>
                          <w:i/>
                        </w:rPr>
                      </m:ctrlPr>
                    </m:sup>
                  </m:sSubSup>
                  <m:ctrlPr>
                    <w:rPr>
                      <w:rFonts w:ascii="DejaVu Math TeX Gyre" w:hAnsi="DejaVu Math TeX Gyre"/>
                      <w:i/>
                    </w:rPr>
                  </m:ctrlPr>
                </m:e>
              </m:nary>
              <m:ctrlPr>
                <w:rPr>
                  <w:rFonts w:ascii="DejaVu Math TeX Gyre" w:hAnsi="DejaVu Math TeX Gyre"/>
                  <w:i/>
                </w:rPr>
              </m:ctrlPr>
            </m:e>
          </m:rad>
          <m:r>
            <m:rPr/>
            <w:rPr>
              <w:rFonts w:ascii="DejaVu Math TeX Gyre" w:hAnsi="DejaVu Math TeX Gyre"/>
            </w:rPr>
            <m:t>+</m:t>
          </m:r>
          <m:rad>
            <m:radPr>
              <m:degHide m:val="1"/>
              <m:ctrlPr>
                <w:rPr>
                  <w:rFonts w:ascii="DejaVu Math TeX Gyre" w:hAnsi="DejaVu Math TeX Gyre"/>
                  <w:i/>
                </w:rPr>
              </m:ctrlPr>
            </m:radPr>
            <m:deg>
              <m:ctrlPr>
                <w:rPr>
                  <w:rFonts w:ascii="DejaVu Math TeX Gyre" w:hAnsi="DejaVu Math TeX Gyre"/>
                  <w:i/>
                </w:rPr>
              </m:ctrlPr>
            </m:deg>
            <m:e>
              <m:nary>
                <m:naryPr>
                  <m:chr m:val="∑"/>
                  <m:ctrlPr>
                    <w:rPr>
                      <w:rFonts w:ascii="DejaVu Math TeX Gyre" w:hAnsi="DejaVu Math TeX Gyre"/>
                      <w:i/>
                    </w:rPr>
                  </m:ctrlPr>
                </m:naryPr>
                <m:sub>
                  <m:r>
                    <m:rPr/>
                    <w:rPr>
                      <w:rFonts w:ascii="DejaVu Math TeX Gyre" w:hAnsi="DejaVu Math TeX Gyre"/>
                    </w:rPr>
                    <m:t>j=1</m:t>
                  </m:r>
                  <m:ctrlPr>
                    <w:rPr>
                      <w:rFonts w:ascii="DejaVu Math TeX Gyre" w:hAnsi="DejaVu Math TeX Gyre"/>
                      <w:i/>
                    </w:rPr>
                  </m:ctrlPr>
                </m:sub>
                <m:sup>
                  <m:r>
                    <m:rPr/>
                    <w:rPr>
                      <w:rFonts w:ascii="DejaVu Math TeX Gyre" w:hAnsi="DejaVu Math TeX Gyre"/>
                    </w:rPr>
                    <m:t>J</m:t>
                  </m:r>
                  <m:ctrlPr>
                    <w:rPr>
                      <w:rFonts w:ascii="DejaVu Math TeX Gyre" w:hAnsi="DejaVu Math TeX Gyre"/>
                      <w:i/>
                    </w:rPr>
                  </m:ctrlPr>
                </m:sup>
                <m:e>
                  <m:r>
                    <m:rPr/>
                    <w:rPr>
                      <w:rFonts w:ascii="DejaVu Math TeX Gyre" w:hAnsi="DejaVu Math TeX Gyre"/>
                    </w:rPr>
                    <m:t>ISE</m:t>
                  </m:r>
                  <m:sSubSup>
                    <m:sSubSupPr>
                      <m:ctrlPr>
                        <w:rPr>
                          <w:rFonts w:ascii="DejaVu Math TeX Gyre" w:hAnsi="DejaVu Math TeX Gyre"/>
                          <w:i/>
                        </w:rPr>
                      </m:ctrlPr>
                    </m:sSubSupPr>
                    <m:e>
                      <m:r>
                        <m:rPr/>
                        <w:rPr>
                          <w:rFonts w:ascii="DejaVu Math TeX Gyre" w:hAnsi="DejaVu Math TeX Gyre"/>
                        </w:rPr>
                        <m:t>S</m:t>
                      </m:r>
                      <m:ctrlPr>
                        <w:rPr>
                          <w:rFonts w:ascii="DejaVu Math TeX Gyre" w:hAnsi="DejaVu Math TeX Gyre"/>
                          <w:i/>
                        </w:rPr>
                      </m:ctrlPr>
                    </m:e>
                    <m:sub>
                      <m:r>
                        <m:rPr/>
                        <w:rPr>
                          <w:rFonts w:ascii="DejaVu Math TeX Gyre" w:hAnsi="DejaVu Math TeX Gyre"/>
                        </w:rPr>
                        <m:t>NM,j</m:t>
                      </m:r>
                      <m:ctrlPr>
                        <w:rPr>
                          <w:rFonts w:ascii="DejaVu Math TeX Gyre" w:hAnsi="DejaVu Math TeX Gyre"/>
                          <w:i/>
                        </w:rPr>
                      </m:ctrlPr>
                    </m:sub>
                    <m:sup>
                      <m:r>
                        <m:rPr/>
                        <w:rPr>
                          <w:rFonts w:ascii="DejaVu Math TeX Gyre" w:hAnsi="DejaVu Math TeX Gyre"/>
                        </w:rPr>
                        <m:t>2</m:t>
                      </m:r>
                      <m:ctrlPr>
                        <w:rPr>
                          <w:rFonts w:ascii="DejaVu Math TeX Gyre" w:hAnsi="DejaVu Math TeX Gyre"/>
                          <w:i/>
                        </w:rPr>
                      </m:ctrlPr>
                    </m:sup>
                  </m:sSubSup>
                  <m:ctrlPr>
                    <w:rPr>
                      <w:rFonts w:ascii="DejaVu Math TeX Gyre" w:hAnsi="DejaVu Math TeX Gyre"/>
                      <w:i/>
                    </w:rPr>
                  </m:ctrlPr>
                </m:e>
              </m:nary>
              <m:ctrlPr>
                <w:rPr>
                  <w:rFonts w:ascii="DejaVu Math TeX Gyre" w:hAnsi="DejaVu Math TeX Gyre"/>
                  <w:i/>
                </w:rPr>
              </m:ctrlPr>
            </m:e>
          </m:rad>
          <m:r>
            <m:rPr/>
            <w:rPr>
              <w:rFonts w:ascii="DejaVu Math TeX Gyre" w:hAnsi="DejaVu Math TeX Gyre"/>
            </w:rPr>
            <m:t>+</m:t>
          </m:r>
          <m:rad>
            <m:radPr>
              <m:degHide m:val="1"/>
              <m:ctrlPr>
                <w:rPr>
                  <w:rFonts w:ascii="DejaVu Math TeX Gyre" w:hAnsi="DejaVu Math TeX Gyre"/>
                  <w:i/>
                </w:rPr>
              </m:ctrlPr>
            </m:radPr>
            <m:deg>
              <m:ctrlPr>
                <w:rPr>
                  <w:rFonts w:ascii="DejaVu Math TeX Gyre" w:hAnsi="DejaVu Math TeX Gyre"/>
                  <w:i/>
                </w:rPr>
              </m:ctrlPr>
            </m:deg>
            <m:e>
              <m:r>
                <m:rPr/>
                <w:rPr>
                  <w:rFonts w:ascii="DejaVu Math TeX Gyre" w:hAnsi="DejaVu Math TeX Gyre"/>
                </w:rPr>
                <m:t>(ρ×</m:t>
              </m:r>
              <m:nary>
                <m:naryPr>
                  <m:chr m:val="∑"/>
                  <m:ctrlPr>
                    <w:rPr>
                      <w:rFonts w:ascii="DejaVu Math TeX Gyre" w:hAnsi="DejaVu Math TeX Gyre"/>
                      <w:i/>
                    </w:rPr>
                  </m:ctrlPr>
                </m:naryPr>
                <m:sub>
                  <m:r>
                    <m:rPr/>
                    <w:rPr>
                      <w:rFonts w:ascii="DejaVu Math TeX Gyre" w:hAnsi="DejaVu Math TeX Gyre"/>
                    </w:rPr>
                    <m:t>k=1</m:t>
                  </m:r>
                  <m:ctrlPr>
                    <w:rPr>
                      <w:rFonts w:ascii="DejaVu Math TeX Gyre" w:hAnsi="DejaVu Math TeX Gyre"/>
                      <w:i/>
                    </w:rPr>
                  </m:ctrlPr>
                </m:sub>
                <m:sup>
                  <m:r>
                    <m:rPr/>
                    <w:rPr>
                      <w:rFonts w:ascii="DejaVu Math TeX Gyre" w:hAnsi="DejaVu Math TeX Gyre"/>
                    </w:rPr>
                    <m:t>K</m:t>
                  </m:r>
                  <m:ctrlPr>
                    <w:rPr>
                      <w:rFonts w:ascii="DejaVu Math TeX Gyre" w:hAnsi="DejaVu Math TeX Gyre"/>
                      <w:i/>
                    </w:rPr>
                  </m:ctrlPr>
                </m:sup>
                <m:e>
                  <m:r>
                    <m:rPr/>
                    <w:rPr>
                      <w:rFonts w:ascii="DejaVu Math TeX Gyre" w:hAnsi="DejaVu Math TeX Gyre"/>
                    </w:rPr>
                    <m:t>SE</m:t>
                  </m:r>
                  <m:sSub>
                    <m:sSubPr>
                      <m:ctrlPr>
                        <w:rPr>
                          <w:rFonts w:ascii="DejaVu Math TeX Gyre" w:hAnsi="DejaVu Math TeX Gyre"/>
                          <w:i/>
                        </w:rPr>
                      </m:ctrlPr>
                    </m:sSubPr>
                    <m:e>
                      <m:r>
                        <m:rPr/>
                        <w:rPr>
                          <w:rFonts w:ascii="DejaVu Math TeX Gyre" w:hAnsi="DejaVu Math TeX Gyre"/>
                        </w:rPr>
                        <m:t>S</m:t>
                      </m:r>
                      <m:ctrlPr>
                        <w:rPr>
                          <w:rFonts w:ascii="DejaVu Math TeX Gyre" w:hAnsi="DejaVu Math TeX Gyre"/>
                          <w:i/>
                        </w:rPr>
                      </m:ctrlPr>
                    </m:e>
                    <m:sub>
                      <m:r>
                        <m:rPr/>
                        <w:rPr>
                          <w:rFonts w:ascii="DejaVu Math TeX Gyre" w:hAnsi="DejaVu Math TeX Gyre"/>
                        </w:rPr>
                        <m:t>NM,k</m:t>
                      </m:r>
                      <m:ctrlPr>
                        <w:rPr>
                          <w:rFonts w:ascii="DejaVu Math TeX Gyre" w:hAnsi="DejaVu Math TeX Gyre"/>
                          <w:i/>
                        </w:rPr>
                      </m:ctrlPr>
                    </m:sub>
                  </m:sSub>
                  <m:ctrlPr>
                    <w:rPr>
                      <w:rFonts w:ascii="DejaVu Math TeX Gyre" w:hAnsi="DejaVu Math TeX Gyre"/>
                      <w:i/>
                    </w:rPr>
                  </m:ctrlPr>
                </m:e>
              </m:nary>
              <m:sSup>
                <m:sSupPr>
                  <m:ctrlPr>
                    <w:rPr>
                      <w:rFonts w:ascii="DejaVu Math TeX Gyre" w:hAnsi="DejaVu Math TeX Gyre"/>
                      <w:i/>
                    </w:rPr>
                  </m:ctrlPr>
                </m:sSupPr>
                <m:e>
                  <m:r>
                    <m:rPr/>
                    <w:rPr>
                      <w:rFonts w:ascii="DejaVu Math TeX Gyre" w:hAnsi="DejaVu Math TeX Gyre"/>
                    </w:rPr>
                    <m:t>)</m:t>
                  </m:r>
                  <m:ctrlPr>
                    <w:rPr>
                      <w:rFonts w:ascii="DejaVu Math TeX Gyre" w:hAnsi="DejaVu Math TeX Gyre"/>
                      <w:i/>
                    </w:rPr>
                  </m:ctrlPr>
                </m:e>
                <m:sup>
                  <m:r>
                    <m:rPr/>
                    <w:rPr>
                      <w:rFonts w:ascii="DejaVu Math TeX Gyre" w:hAnsi="DejaVu Math TeX Gyre"/>
                    </w:rPr>
                    <m:t>2</m:t>
                  </m:r>
                  <m:ctrlPr>
                    <w:rPr>
                      <w:rFonts w:ascii="DejaVu Math TeX Gyre" w:hAnsi="DejaVu Math TeX Gyre"/>
                      <w:i/>
                    </w:rPr>
                  </m:ctrlPr>
                </m:sup>
              </m:sSup>
              <m:r>
                <m:rPr/>
                <w:rPr>
                  <w:rFonts w:ascii="DejaVu Math TeX Gyre" w:hAnsi="DejaVu Math TeX Gyre"/>
                </w:rPr>
                <m:t>+(1−</m:t>
              </m:r>
              <m:sSup>
                <m:sSupPr>
                  <m:ctrlPr>
                    <w:rPr>
                      <w:rFonts w:ascii="DejaVu Math TeX Gyre" w:hAnsi="DejaVu Math TeX Gyre"/>
                      <w:i/>
                    </w:rPr>
                  </m:ctrlPr>
                </m:sSupPr>
                <m:e>
                  <m:r>
                    <m:rPr/>
                    <w:rPr>
                      <w:rFonts w:ascii="DejaVu Math TeX Gyre" w:hAnsi="DejaVu Math TeX Gyre"/>
                    </w:rPr>
                    <m:t>ρ</m:t>
                  </m:r>
                  <m:ctrlPr>
                    <w:rPr>
                      <w:rFonts w:ascii="DejaVu Math TeX Gyre" w:hAnsi="DejaVu Math TeX Gyre"/>
                      <w:i/>
                    </w:rPr>
                  </m:ctrlPr>
                </m:e>
                <m:sup>
                  <m:r>
                    <m:rPr/>
                    <w:rPr>
                      <w:rFonts w:ascii="DejaVu Math TeX Gyre" w:hAnsi="DejaVu Math TeX Gyre"/>
                    </w:rPr>
                    <m:t>2</m:t>
                  </m:r>
                  <m:ctrlPr>
                    <w:rPr>
                      <w:rFonts w:ascii="DejaVu Math TeX Gyre" w:hAnsi="DejaVu Math TeX Gyre"/>
                      <w:i/>
                    </w:rPr>
                  </m:ctrlPr>
                </m:sup>
              </m:sSup>
              <m:r>
                <m:rPr/>
                <w:rPr>
                  <w:rFonts w:ascii="DejaVu Math TeX Gyre" w:hAnsi="DejaVu Math TeX Gyre"/>
                </w:rPr>
                <m:t>)×</m:t>
              </m:r>
              <m:nary>
                <m:naryPr>
                  <m:chr m:val="∑"/>
                  <m:ctrlPr>
                    <w:rPr>
                      <w:rFonts w:ascii="DejaVu Math TeX Gyre" w:hAnsi="DejaVu Math TeX Gyre"/>
                      <w:i/>
                    </w:rPr>
                  </m:ctrlPr>
                </m:naryPr>
                <m:sub>
                  <m:r>
                    <m:rPr/>
                    <w:rPr>
                      <w:rFonts w:ascii="DejaVu Math TeX Gyre" w:hAnsi="DejaVu Math TeX Gyre"/>
                    </w:rPr>
                    <m:t>k=1</m:t>
                  </m:r>
                  <m:ctrlPr>
                    <w:rPr>
                      <w:rFonts w:ascii="DejaVu Math TeX Gyre" w:hAnsi="DejaVu Math TeX Gyre"/>
                      <w:i/>
                    </w:rPr>
                  </m:ctrlPr>
                </m:sub>
                <m:sup>
                  <m:r>
                    <m:rPr/>
                    <w:rPr>
                      <w:rFonts w:ascii="DejaVu Math TeX Gyre" w:hAnsi="DejaVu Math TeX Gyre"/>
                    </w:rPr>
                    <m:t>K</m:t>
                  </m:r>
                  <m:ctrlPr>
                    <w:rPr>
                      <w:rFonts w:ascii="DejaVu Math TeX Gyre" w:hAnsi="DejaVu Math TeX Gyre"/>
                      <w:i/>
                    </w:rPr>
                  </m:ctrlPr>
                </m:sup>
                <m:e>
                  <m:r>
                    <m:rPr/>
                    <w:rPr>
                      <w:rFonts w:ascii="DejaVu Math TeX Gyre" w:hAnsi="DejaVu Math TeX Gyre"/>
                    </w:rPr>
                    <m:t>SE</m:t>
                  </m:r>
                  <m:sSubSup>
                    <m:sSubSupPr>
                      <m:ctrlPr>
                        <w:rPr>
                          <w:rFonts w:ascii="DejaVu Math TeX Gyre" w:hAnsi="DejaVu Math TeX Gyre"/>
                          <w:i/>
                        </w:rPr>
                      </m:ctrlPr>
                    </m:sSubSupPr>
                    <m:e>
                      <m:r>
                        <m:rPr/>
                        <w:rPr>
                          <w:rFonts w:ascii="DejaVu Math TeX Gyre" w:hAnsi="DejaVu Math TeX Gyre"/>
                        </w:rPr>
                        <m:t>S</m:t>
                      </m:r>
                      <m:ctrlPr>
                        <w:rPr>
                          <w:rFonts w:ascii="DejaVu Math TeX Gyre" w:hAnsi="DejaVu Math TeX Gyre"/>
                          <w:i/>
                        </w:rPr>
                      </m:ctrlPr>
                    </m:e>
                    <m:sub>
                      <m:r>
                        <m:rPr/>
                        <w:rPr>
                          <w:rFonts w:ascii="DejaVu Math TeX Gyre" w:hAnsi="DejaVu Math TeX Gyre"/>
                        </w:rPr>
                        <m:t>NM,k</m:t>
                      </m:r>
                      <m:ctrlPr>
                        <w:rPr>
                          <w:rFonts w:ascii="DejaVu Math TeX Gyre" w:hAnsi="DejaVu Math TeX Gyre"/>
                          <w:i/>
                        </w:rPr>
                      </m:ctrlPr>
                    </m:sub>
                    <m:sup>
                      <m:r>
                        <m:rPr/>
                        <w:rPr>
                          <w:rFonts w:ascii="DejaVu Math TeX Gyre" w:hAnsi="DejaVu Math TeX Gyre"/>
                        </w:rPr>
                        <m:t>2</m:t>
                      </m:r>
                      <m:ctrlPr>
                        <w:rPr>
                          <w:rFonts w:ascii="DejaVu Math TeX Gyre" w:hAnsi="DejaVu Math TeX Gyre"/>
                          <w:i/>
                        </w:rPr>
                      </m:ctrlPr>
                    </m:sup>
                  </m:sSubSup>
                  <m:ctrlPr>
                    <w:rPr>
                      <w:rFonts w:ascii="DejaVu Math TeX Gyre" w:hAnsi="DejaVu Math TeX Gyre"/>
                      <w:i/>
                    </w:rPr>
                  </m:ctrlPr>
                </m:e>
              </m:nary>
              <m:ctrlPr>
                <w:rPr>
                  <w:rFonts w:ascii="DejaVu Math TeX Gyre" w:hAnsi="DejaVu Math TeX Gyre"/>
                  <w:i/>
                </w:rPr>
              </m:ctrlPr>
            </m:e>
          </m:rad>
          <m:r>
            <m:rPr>
              <m:sty m:val="p"/>
            </m:rPr>
            <w:rPr>
              <w:rFonts w:ascii="DejaVu Math TeX Gyre" w:hAnsi="DejaVu Math TeX Gyre"/>
            </w:rPr>
            <w:br w:type="textWrapping"/>
          </m:r>
        </m:oMath>
      </m:oMathPara>
      <w:r>
        <w:rPr>
          <w:rFonts w:hint="eastAsia" w:ascii="仿宋_GB2312" w:eastAsia="仿宋_GB2312"/>
          <w:color w:val="000000"/>
          <w:sz w:val="30"/>
          <w:szCs w:val="30"/>
        </w:rPr>
        <w:t>其中：</w:t>
      </w:r>
    </w:p>
    <w:p>
      <w:pPr>
        <w:spacing w:line="480" w:lineRule="exact"/>
        <w:ind w:firstLine="600" w:firstLineChars="200"/>
        <w:rPr>
          <w:rFonts w:ascii="仿宋_GB2312" w:hAnsi="Calibri" w:eastAsia="仿宋_GB2312"/>
          <w:color w:val="000000"/>
          <w:sz w:val="30"/>
          <w:szCs w:val="30"/>
        </w:rPr>
      </w:pPr>
      <w:r>
        <w:rPr>
          <w:rFonts w:hint="eastAsia" w:ascii="仿宋_GB2312" w:eastAsia="仿宋_GB2312"/>
          <w:color w:val="000000"/>
          <w:sz w:val="30"/>
          <w:szCs w:val="30"/>
        </w:rPr>
        <w:t>1.</w:t>
      </w:r>
      <w:r>
        <w:rPr>
          <w:position w:val="-16"/>
          <w:sz w:val="30"/>
          <w:szCs w:val="30"/>
        </w:rPr>
        <w:object>
          <v:shape id="_x0000_i1048" o:spt="75" type="#_x0000_t75" style="height:20.65pt;width:52pt;" o:ole="t" filled="f" o:preferrelative="t" stroked="f" coordsize="21600,21600">
            <v:path/>
            <v:fill on="f" focussize="0,0"/>
            <v:stroke on="f" joinstyle="miter"/>
            <v:imagedata r:id="rId51" o:title=""/>
            <o:lock v:ext="edit" aspectratio="t"/>
            <w10:wrap type="none"/>
            <w10:anchorlock/>
          </v:shape>
          <o:OLEObject Type="Embed" ProgID="Equation.DSMT4" ShapeID="_x0000_i1048" DrawAspect="Content" ObjectID="_1468075748" r:id="rId50">
            <o:LockedField>false</o:LockedField>
          </o:OLEObject>
        </w:object>
      </w:r>
      <w:r>
        <w:rPr>
          <w:rFonts w:hint="eastAsia" w:ascii="仿宋_GB2312" w:hAnsi="Calibri" w:eastAsia="仿宋_GB2312"/>
          <w:color w:val="000000"/>
          <w:sz w:val="30"/>
          <w:szCs w:val="30"/>
        </w:rPr>
        <w:t>是已证明适用零相关性加总的不可建模特定信用利差风险因子集合I中风险因子i的压力情景资本要求</w:t>
      </w:r>
      <w:r>
        <w:rPr>
          <w:rFonts w:hint="eastAsia" w:ascii="仿宋_GB2312" w:eastAsia="仿宋_GB2312"/>
          <w:color w:val="000000"/>
          <w:sz w:val="30"/>
          <w:szCs w:val="30"/>
        </w:rPr>
        <w:t>。</w:t>
      </w:r>
    </w:p>
    <w:p>
      <w:pPr>
        <w:spacing w:line="480" w:lineRule="exact"/>
        <w:ind w:firstLine="600" w:firstLineChars="200"/>
        <w:rPr>
          <w:rFonts w:ascii="仿宋_GB2312" w:hAnsi="Calibri" w:eastAsia="仿宋_GB2312"/>
          <w:color w:val="000000"/>
          <w:sz w:val="30"/>
          <w:szCs w:val="30"/>
        </w:rPr>
      </w:pPr>
      <w:r>
        <w:rPr>
          <w:rFonts w:hint="eastAsia" w:ascii="仿宋_GB2312" w:eastAsia="仿宋_GB2312"/>
          <w:color w:val="000000"/>
          <w:sz w:val="30"/>
          <w:szCs w:val="30"/>
        </w:rPr>
        <w:t>2.</w:t>
      </w:r>
      <w:r>
        <w:rPr>
          <w:position w:val="-16"/>
          <w:sz w:val="30"/>
          <w:szCs w:val="30"/>
        </w:rPr>
        <w:object>
          <v:shape id="_x0000_i1049" o:spt="75" type="#_x0000_t75" style="height:20.65pt;width:54.65pt;" o:ole="t" filled="f" o:preferrelative="t" stroked="f" coordsize="21600,21600">
            <v:path/>
            <v:fill on="f" focussize="0,0"/>
            <v:stroke on="f" joinstyle="miter"/>
            <v:imagedata r:id="rId53" o:title=""/>
            <o:lock v:ext="edit" aspectratio="t"/>
            <w10:wrap type="none"/>
            <w10:anchorlock/>
          </v:shape>
          <o:OLEObject Type="Embed" ProgID="Equation.DSMT4" ShapeID="_x0000_i1049" DrawAspect="Content" ObjectID="_1468075749" r:id="rId52">
            <o:LockedField>false</o:LockedField>
          </o:OLEObject>
        </w:object>
      </w:r>
      <w:r>
        <w:rPr>
          <w:rFonts w:hint="eastAsia" w:ascii="仿宋_GB2312" w:hAnsi="Calibri" w:eastAsia="仿宋_GB2312"/>
          <w:color w:val="000000"/>
          <w:sz w:val="30"/>
          <w:szCs w:val="30"/>
        </w:rPr>
        <w:t>是已证明适用零相关性加总的不可建模特定股票风险因子集合J中风险因子j的压力情景资本要求</w:t>
      </w:r>
      <w:r>
        <w:rPr>
          <w:rFonts w:hint="eastAsia" w:ascii="仿宋_GB2312" w:eastAsia="仿宋_GB2312"/>
          <w:color w:val="000000"/>
          <w:sz w:val="30"/>
          <w:szCs w:val="30"/>
        </w:rPr>
        <w:t>。</w:t>
      </w:r>
    </w:p>
    <w:p>
      <w:pPr>
        <w:spacing w:line="480" w:lineRule="exact"/>
        <w:ind w:firstLine="600" w:firstLineChars="200"/>
        <w:rPr>
          <w:rFonts w:ascii="仿宋_GB2312" w:hAnsi="Calibri" w:eastAsia="仿宋_GB2312"/>
          <w:color w:val="000000"/>
          <w:sz w:val="30"/>
          <w:szCs w:val="30"/>
        </w:rPr>
      </w:pPr>
      <w:r>
        <w:rPr>
          <w:rFonts w:hint="eastAsia" w:ascii="仿宋_GB2312" w:eastAsia="仿宋_GB2312"/>
          <w:color w:val="000000"/>
          <w:sz w:val="30"/>
          <w:szCs w:val="30"/>
        </w:rPr>
        <w:t>3.</w:t>
      </w:r>
      <w:r>
        <w:rPr>
          <w:position w:val="-16"/>
          <w:sz w:val="30"/>
          <w:szCs w:val="30"/>
        </w:rPr>
        <w:object>
          <v:shape id="_x0000_i1050" o:spt="75" type="#_x0000_t75" style="height:20pt;width:49.35pt;" o:ole="t" filled="f" o:preferrelative="t" stroked="f" coordsize="21600,21600">
            <v:path/>
            <v:fill on="f" focussize="0,0"/>
            <v:stroke on="f" joinstyle="miter"/>
            <v:imagedata r:id="rId55" o:title=""/>
            <o:lock v:ext="edit" aspectratio="t"/>
            <w10:wrap type="none"/>
            <w10:anchorlock/>
          </v:shape>
          <o:OLEObject Type="Embed" ProgID="Equation.DSMT4" ShapeID="_x0000_i1050" DrawAspect="Content" ObjectID="_1468075750" r:id="rId54">
            <o:LockedField>false</o:LockedField>
          </o:OLEObject>
        </w:object>
      </w:r>
      <w:r>
        <w:rPr>
          <w:rFonts w:hint="eastAsia" w:ascii="仿宋_GB2312" w:hAnsi="Calibri" w:eastAsia="仿宋_GB2312"/>
          <w:color w:val="000000"/>
          <w:sz w:val="30"/>
          <w:szCs w:val="30"/>
        </w:rPr>
        <w:t>是可建模交易台下其他不可建模风险因子集合K中的风险因子</w:t>
      </w:r>
      <w:r>
        <w:rPr>
          <w:rFonts w:hint="eastAsia" w:ascii="仿宋_GB2312" w:eastAsia="仿宋_GB2312"/>
          <w:color w:val="000000"/>
          <w:sz w:val="30"/>
          <w:szCs w:val="30"/>
        </w:rPr>
        <w:t>k</w:t>
      </w:r>
      <w:r>
        <w:rPr>
          <w:rFonts w:hint="eastAsia" w:ascii="仿宋_GB2312" w:hAnsi="Calibri" w:eastAsia="仿宋_GB2312"/>
          <w:color w:val="000000"/>
          <w:sz w:val="30"/>
          <w:szCs w:val="30"/>
        </w:rPr>
        <w:t>的压力情景资本要求。</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w:t>
      </w:r>
      <w:r>
        <w:rPr>
          <w:position w:val="-10"/>
          <w:sz w:val="30"/>
          <w:szCs w:val="30"/>
        </w:rPr>
        <w:object>
          <v:shape id="_x0000_i1051" o:spt="75" type="#_x0000_t75" style="height:12.65pt;width:12.65pt;" o:ole="t" filled="f" o:preferrelative="t" stroked="f" coordsize="21600,21600">
            <v:path/>
            <v:fill on="f" focussize="0,0"/>
            <v:stroke on="f" joinstyle="miter"/>
            <v:imagedata r:id="rId49" o:title=""/>
            <o:lock v:ext="edit" aspectratio="t"/>
            <w10:wrap type="none"/>
            <w10:anchorlock/>
          </v:shape>
          <o:OLEObject Type="Embed" ProgID="Equation.DSMT4" ShapeID="_x0000_i1051" DrawAspect="Content" ObjectID="_1468075751" r:id="rId56">
            <o:LockedField>false</o:LockedField>
          </o:OLEObject>
        </w:object>
      </w:r>
      <w:r>
        <w:rPr>
          <w:rFonts w:hint="eastAsia" w:ascii="仿宋_GB2312" w:eastAsia="仿宋_GB2312"/>
          <w:color w:val="000000"/>
          <w:sz w:val="30"/>
          <w:szCs w:val="30"/>
        </w:rPr>
        <w:t>为0.6。</w:t>
      </w:r>
    </w:p>
    <w:p>
      <w:pPr>
        <w:pStyle w:val="3"/>
      </w:pPr>
      <w:r>
        <w:rPr>
          <w:rFonts w:hint="eastAsia"/>
        </w:rPr>
        <w:t>六、</w:t>
      </w:r>
      <w:bookmarkStart w:id="16" w:name="_Hlk48835921"/>
      <w:r>
        <w:rPr>
          <w:rFonts w:hint="eastAsia"/>
        </w:rPr>
        <w:t>内部模型法交易台的资本要求</w:t>
      </w:r>
      <w:bookmarkEnd w:id="16"/>
      <w:bookmarkStart w:id="17" w:name="_Hlk48835941"/>
      <w:r>
        <w:rPr>
          <w:rFonts w:hint="eastAsia"/>
        </w:rPr>
        <w:t>（不含违约风险）</w:t>
      </w:r>
      <w:bookmarkEnd w:id="17"/>
    </w:p>
    <w:p>
      <w:pPr>
        <w:spacing w:line="480" w:lineRule="exact"/>
        <w:ind w:firstLine="600" w:firstLineChars="200"/>
        <w:jc w:val="left"/>
        <w:rPr>
          <w:rFonts w:ascii="仿宋_GB2312" w:eastAsia="仿宋_GB2312"/>
          <w:color w:val="000000"/>
          <w:sz w:val="30"/>
          <w:szCs w:val="30"/>
          <w:shd w:val="clear" w:color="auto" w:fill="FFFFFF"/>
          <w:lang w:bidi="ar"/>
        </w:rPr>
      </w:pPr>
      <w:r>
        <w:rPr>
          <w:rFonts w:hint="eastAsia" w:ascii="仿宋_GB2312" w:eastAsia="仿宋_GB2312"/>
          <w:color w:val="000000"/>
          <w:sz w:val="30"/>
          <w:szCs w:val="30"/>
          <w:shd w:val="clear" w:color="auto" w:fill="FFFFFF"/>
          <w:lang w:bidi="ar"/>
        </w:rPr>
        <w:t>（一）可使用内部模型法的交易台应满足以下两个条件：</w:t>
      </w:r>
    </w:p>
    <w:p>
      <w:pPr>
        <w:spacing w:line="480" w:lineRule="exact"/>
        <w:ind w:firstLine="600" w:firstLineChars="200"/>
        <w:jc w:val="left"/>
        <w:rPr>
          <w:rFonts w:ascii="仿宋_GB2312" w:eastAsia="仿宋_GB2312"/>
          <w:color w:val="000000"/>
          <w:sz w:val="30"/>
          <w:szCs w:val="30"/>
          <w:shd w:val="clear" w:color="auto" w:fill="FFFFFF"/>
          <w:lang w:bidi="ar"/>
        </w:rPr>
      </w:pPr>
      <w:r>
        <w:rPr>
          <w:rFonts w:ascii="仿宋_GB2312" w:eastAsia="仿宋_GB2312"/>
          <w:color w:val="000000"/>
          <w:sz w:val="30"/>
          <w:szCs w:val="30"/>
          <w:shd w:val="clear" w:color="auto" w:fill="FFFFFF"/>
          <w:lang w:bidi="ar"/>
        </w:rPr>
        <w:t>1</w:t>
      </w:r>
      <w:r>
        <w:rPr>
          <w:rFonts w:hint="eastAsia" w:ascii="仿宋_GB2312" w:eastAsia="仿宋_GB2312"/>
          <w:color w:val="000000"/>
          <w:sz w:val="30"/>
          <w:szCs w:val="30"/>
          <w:shd w:val="clear" w:color="auto" w:fill="FFFFFF"/>
          <w:lang w:bidi="ar"/>
        </w:rPr>
        <w:t>.经国家金融监督管理总局或其派出机构验收通过。</w:t>
      </w:r>
    </w:p>
    <w:p>
      <w:pPr>
        <w:spacing w:line="480" w:lineRule="exact"/>
        <w:ind w:firstLine="600" w:firstLineChars="200"/>
        <w:jc w:val="left"/>
        <w:rPr>
          <w:rFonts w:ascii="仿宋_GB2312" w:eastAsia="仿宋_GB2312"/>
          <w:color w:val="000000"/>
          <w:sz w:val="30"/>
          <w:szCs w:val="30"/>
          <w:lang w:bidi="ar"/>
        </w:rPr>
      </w:pPr>
      <w:r>
        <w:rPr>
          <w:rFonts w:ascii="仿宋_GB2312" w:eastAsia="仿宋_GB2312"/>
          <w:color w:val="000000"/>
          <w:sz w:val="30"/>
          <w:szCs w:val="30"/>
          <w:shd w:val="clear" w:color="auto" w:fill="FFFFFF"/>
          <w:lang w:bidi="ar"/>
        </w:rPr>
        <w:t>2</w:t>
      </w:r>
      <w:r>
        <w:rPr>
          <w:rFonts w:hint="eastAsia" w:ascii="仿宋_GB2312" w:eastAsia="仿宋_GB2312"/>
          <w:color w:val="000000"/>
          <w:sz w:val="30"/>
          <w:szCs w:val="30"/>
          <w:shd w:val="clear" w:color="auto" w:fill="FFFFFF"/>
          <w:lang w:bidi="ar"/>
        </w:rPr>
        <w:t>.</w:t>
      </w:r>
      <w:r>
        <w:rPr>
          <w:rFonts w:hint="eastAsia" w:ascii="仿宋_GB2312" w:eastAsia="仿宋_GB2312"/>
          <w:color w:val="000000"/>
          <w:sz w:val="30"/>
          <w:szCs w:val="30"/>
          <w:lang w:bidi="ar"/>
        </w:rPr>
        <w:t>通过返回检验，且损益归因测试结果处于绿区或黄区。</w:t>
      </w:r>
    </w:p>
    <w:p>
      <w:pPr>
        <w:spacing w:line="480" w:lineRule="exact"/>
        <w:ind w:firstLine="600" w:firstLineChars="200"/>
        <w:jc w:val="left"/>
        <w:rPr>
          <w:rFonts w:ascii="仿宋_GB2312" w:eastAsia="仿宋_GB2312"/>
          <w:color w:val="000000"/>
          <w:sz w:val="30"/>
          <w:szCs w:val="30"/>
          <w:lang w:bidi="ar"/>
        </w:rPr>
      </w:pPr>
      <w:r>
        <w:rPr>
          <w:rFonts w:hint="eastAsia" w:ascii="仿宋_GB2312" w:eastAsia="仿宋_GB2312"/>
          <w:color w:val="000000"/>
          <w:sz w:val="30"/>
          <w:szCs w:val="30"/>
          <w:shd w:val="clear" w:color="auto" w:fill="FFFFFF"/>
          <w:lang w:bidi="ar"/>
        </w:rPr>
        <w:t>可使用内部模型法的交易台</w:t>
      </w:r>
      <w:r>
        <w:rPr>
          <w:rFonts w:hint="eastAsia" w:ascii="仿宋_GB2312" w:eastAsia="仿宋_GB2312"/>
          <w:color w:val="000000"/>
          <w:sz w:val="30"/>
          <w:szCs w:val="30"/>
          <w:lang w:bidi="ar"/>
        </w:rPr>
        <w:t>资本要求包括可建模风险因子的资本要求和不可建模风险因子的资本要求。</w:t>
      </w:r>
    </w:p>
    <w:p>
      <w:pPr>
        <w:widowControl/>
        <w:spacing w:line="480" w:lineRule="exact"/>
        <w:ind w:firstLine="600" w:firstLineChars="200"/>
        <w:jc w:val="left"/>
        <w:rPr>
          <w:rFonts w:ascii="仿宋_GB2312" w:eastAsia="仿宋_GB2312"/>
          <w:color w:val="000000"/>
          <w:sz w:val="30"/>
          <w:szCs w:val="30"/>
          <w:lang w:bidi="ar"/>
        </w:rPr>
      </w:pPr>
      <w:r>
        <w:rPr>
          <w:rFonts w:hint="eastAsia" w:ascii="仿宋_GB2312" w:eastAsia="仿宋_GB2312"/>
          <w:color w:val="000000"/>
          <w:sz w:val="30"/>
          <w:szCs w:val="30"/>
          <w:lang w:bidi="ar"/>
        </w:rPr>
        <w:t>（二）</w:t>
      </w:r>
      <w:r>
        <w:rPr>
          <w:rFonts w:hint="eastAsia" w:ascii="仿宋_GB2312" w:eastAsia="仿宋_GB2312"/>
          <w:color w:val="000000"/>
          <w:sz w:val="30"/>
          <w:szCs w:val="30"/>
          <w:shd w:val="clear" w:color="auto" w:fill="FFFFFF"/>
          <w:lang w:bidi="ar"/>
        </w:rPr>
        <w:t>可使用内部模型法的交易台</w:t>
      </w:r>
      <w:r>
        <w:rPr>
          <w:rFonts w:hint="eastAsia" w:ascii="仿宋_GB2312" w:eastAsia="仿宋_GB2312"/>
          <w:color w:val="000000"/>
          <w:sz w:val="30"/>
          <w:szCs w:val="30"/>
          <w:lang w:bidi="ar"/>
        </w:rPr>
        <w:t>的总资本要求（不含违约风险资本）计算公式如下：</w:t>
      </w:r>
    </w:p>
    <w:p>
      <w:pPr>
        <w:widowControl/>
        <w:jc w:val="center"/>
        <w:rPr>
          <w:rFonts w:ascii="仿宋_GB2312" w:eastAsia="仿宋_GB2312"/>
          <w:color w:val="000000"/>
          <w:sz w:val="30"/>
          <w:szCs w:val="30"/>
          <w:lang w:bidi="ar"/>
        </w:rPr>
      </w:pPr>
      <w:r>
        <w:rPr>
          <w:position w:val="-14"/>
          <w:sz w:val="30"/>
          <w:szCs w:val="30"/>
        </w:rPr>
        <w:object>
          <v:shape id="_x0000_i1052" o:spt="75" type="#_x0000_t75" style="height:19.35pt;width:248pt;" o:ole="t" filled="f" o:preferrelative="t" stroked="f" coordsize="21600,21600">
            <v:path/>
            <v:fill on="f" focussize="0,0"/>
            <v:stroke on="f" joinstyle="miter"/>
            <v:imagedata r:id="rId58" o:title=""/>
            <o:lock v:ext="edit" aspectratio="t"/>
            <w10:wrap type="none"/>
            <w10:anchorlock/>
          </v:shape>
          <o:OLEObject Type="Embed" ProgID="Equation.DSMT4" ShapeID="_x0000_i1052" DrawAspect="Content" ObjectID="_1468075752" r:id="rId57">
            <o:LockedField>false</o:LockedField>
          </o:OLEObject>
        </w:object>
      </w:r>
    </w:p>
    <w:p>
      <w:pPr>
        <w:widowControl/>
        <w:shd w:val="clear" w:color="auto" w:fill="FFFFFF"/>
        <w:spacing w:line="480" w:lineRule="exact"/>
        <w:ind w:firstLine="600" w:firstLineChars="200"/>
        <w:jc w:val="left"/>
        <w:rPr>
          <w:color w:val="000000"/>
          <w:sz w:val="30"/>
          <w:szCs w:val="30"/>
        </w:rPr>
      </w:pPr>
      <w:r>
        <w:rPr>
          <w:rFonts w:hint="eastAsia" w:ascii="仿宋_GB2312" w:eastAsia="仿宋_GB2312"/>
          <w:color w:val="000000"/>
          <w:sz w:val="30"/>
          <w:szCs w:val="30"/>
          <w:shd w:val="clear" w:color="auto" w:fill="FFFFFF"/>
          <w:lang w:bidi="ar"/>
        </w:rPr>
        <w:t>内部模型法交易台的</w:t>
      </w:r>
      <w:r>
        <w:rPr>
          <w:rFonts w:hint="eastAsia" w:ascii="仿宋_GB2312" w:eastAsia="仿宋_GB2312" w:cs="仿宋_GB2312"/>
          <w:color w:val="000000"/>
          <w:kern w:val="0"/>
          <w:sz w:val="30"/>
          <w:szCs w:val="30"/>
          <w:shd w:val="clear" w:color="auto" w:fill="FFFFFF"/>
          <w:lang w:bidi="ar"/>
        </w:rPr>
        <w:t>总资本要求</w:t>
      </w:r>
      <w:r>
        <w:rPr>
          <w:rFonts w:hint="eastAsia" w:ascii="仿宋_GB2312" w:eastAsia="仿宋_GB2312"/>
          <w:color w:val="000000"/>
          <w:sz w:val="30"/>
          <w:szCs w:val="30"/>
          <w:lang w:bidi="ar"/>
        </w:rPr>
        <w:t>（不含违约风险资本）</w:t>
      </w:r>
      <w:r>
        <w:rPr>
          <w:rFonts w:hint="eastAsia" w:ascii="仿宋_GB2312" w:eastAsia="仿宋_GB2312" w:cs="仿宋_GB2312"/>
          <w:color w:val="000000"/>
          <w:kern w:val="0"/>
          <w:sz w:val="30"/>
          <w:szCs w:val="30"/>
          <w:shd w:val="clear" w:color="auto" w:fill="FFFFFF"/>
          <w:lang w:bidi="ar"/>
        </w:rPr>
        <w:t>为</w:t>
      </w:r>
      <w:r>
        <w:rPr>
          <w:rFonts w:ascii="仿宋_GB2312" w:eastAsia="仿宋_GB2312" w:cs="仿宋_GB2312"/>
          <w:color w:val="000000"/>
          <w:kern w:val="0"/>
          <w:sz w:val="30"/>
          <w:szCs w:val="30"/>
          <w:shd w:val="clear" w:color="auto" w:fill="FFFFFF"/>
          <w:lang w:bidi="ar"/>
        </w:rPr>
        <w:t>以下两项中的较大值：</w:t>
      </w:r>
    </w:p>
    <w:p>
      <w:pPr>
        <w:widowControl/>
        <w:spacing w:line="480" w:lineRule="exact"/>
        <w:ind w:firstLine="600" w:firstLineChars="200"/>
        <w:jc w:val="left"/>
        <w:rPr>
          <w:color w:val="000000"/>
          <w:sz w:val="30"/>
          <w:szCs w:val="30"/>
        </w:rPr>
      </w:pPr>
      <w:r>
        <w:rPr>
          <w:rFonts w:ascii="仿宋_GB2312" w:eastAsia="仿宋_GB2312" w:cs="仿宋_GB2312"/>
          <w:color w:val="000000"/>
          <w:kern w:val="0"/>
          <w:sz w:val="30"/>
          <w:szCs w:val="30"/>
          <w:shd w:val="clear" w:color="auto" w:fill="FFFFFF"/>
          <w:lang w:bidi="ar"/>
        </w:rPr>
        <w:t>1</w:t>
      </w: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根据内部模型计量的上一交易日的</w:t>
      </w:r>
      <w:r>
        <w:rPr>
          <w:rFonts w:hint="eastAsia" w:ascii="仿宋_GB2312" w:eastAsia="仿宋_GB2312" w:cs="仿宋_GB2312"/>
          <w:color w:val="000000"/>
          <w:kern w:val="0"/>
          <w:sz w:val="30"/>
          <w:szCs w:val="30"/>
          <w:shd w:val="clear" w:color="auto" w:fill="FFFFFF"/>
          <w:lang w:bidi="ar"/>
        </w:rPr>
        <w:t>可建模风险因子资本要求</w:t>
      </w:r>
      <w:r>
        <w:rPr>
          <w:position w:val="-12"/>
          <w:sz w:val="30"/>
          <w:szCs w:val="30"/>
        </w:rPr>
        <w:object>
          <v:shape id="_x0000_i1053" o:spt="75" type="#_x0000_t75" style="height:19.35pt;width:46.65pt;" o:ole="t" filled="f" o:preferrelative="t" stroked="f" coordsize="21600,21600">
            <v:path/>
            <v:fill on="f" focussize="0,0"/>
            <v:stroke on="f" joinstyle="miter"/>
            <v:imagedata r:id="rId60" o:title=""/>
            <o:lock v:ext="edit" aspectratio="t"/>
            <w10:wrap type="none"/>
            <w10:anchorlock/>
          </v:shape>
          <o:OLEObject Type="Embed" ProgID="Equation.DSMT4" ShapeID="_x0000_i1053" DrawAspect="Content" ObjectID="_1468075753" r:id="rId59">
            <o:LockedField>false</o:LockedField>
          </o:OLEObject>
        </w:object>
      </w:r>
      <w:r>
        <w:rPr>
          <w:rFonts w:hint="eastAsia" w:ascii="仿宋_GB2312" w:eastAsia="仿宋_GB2312" w:cs="仿宋_GB2312"/>
          <w:color w:val="000000"/>
          <w:kern w:val="0"/>
          <w:sz w:val="30"/>
          <w:szCs w:val="30"/>
          <w:shd w:val="clear" w:color="auto" w:fill="FFFFFF"/>
          <w:lang w:bidi="ar"/>
        </w:rPr>
        <w:t>和不可建模风险因子资本要求</w:t>
      </w:r>
      <w:r>
        <w:rPr>
          <w:position w:val="-12"/>
          <w:sz w:val="30"/>
          <w:szCs w:val="30"/>
        </w:rPr>
        <w:object>
          <v:shape id="_x0000_i1054" o:spt="75" type="#_x0000_t75" style="height:19.35pt;width:36.65pt;" o:ole="t" filled="f" o:preferrelative="t" stroked="f" coordsize="21600,21600">
            <v:path/>
            <v:fill on="f" focussize="0,0"/>
            <v:stroke on="f" joinstyle="miter"/>
            <v:imagedata r:id="rId62" o:title=""/>
            <o:lock v:ext="edit" aspectratio="t"/>
            <w10:wrap type="none"/>
            <w10:anchorlock/>
          </v:shape>
          <o:OLEObject Type="Embed" ProgID="Equation.DSMT4" ShapeID="_x0000_i1054" DrawAspect="Content" ObjectID="_1468075754" r:id="rId61">
            <o:LockedField>false</o:LockedField>
          </o:OLEObject>
        </w:object>
      </w:r>
      <w:r>
        <w:rPr>
          <w:rFonts w:hint="eastAsia" w:ascii="仿宋_GB2312" w:eastAsia="仿宋_GB2312" w:cs="仿宋_GB2312"/>
          <w:color w:val="000000"/>
          <w:kern w:val="0"/>
          <w:sz w:val="30"/>
          <w:szCs w:val="30"/>
          <w:shd w:val="clear" w:color="auto" w:fill="FFFFFF"/>
          <w:lang w:bidi="ar"/>
        </w:rPr>
        <w:t>之和</w:t>
      </w:r>
      <w:r>
        <w:rPr>
          <w:rFonts w:ascii="仿宋_GB2312" w:eastAsia="仿宋_GB2312" w:cs="仿宋_GB2312"/>
          <w:color w:val="000000"/>
          <w:kern w:val="0"/>
          <w:sz w:val="30"/>
          <w:szCs w:val="30"/>
          <w:shd w:val="clear" w:color="auto" w:fill="FFFFFF"/>
          <w:lang w:bidi="ar"/>
        </w:rPr>
        <w:t>。</w:t>
      </w:r>
    </w:p>
    <w:p>
      <w:pPr>
        <w:widowControl/>
        <w:spacing w:line="480" w:lineRule="exact"/>
        <w:ind w:firstLine="600" w:firstLineChars="200"/>
        <w:jc w:val="left"/>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2</w:t>
      </w:r>
      <w:r>
        <w:rPr>
          <w:rFonts w:hint="eastAsia" w:ascii="仿宋_GB2312" w:eastAsia="仿宋_GB2312" w:cs="仿宋_GB2312"/>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最近60个交易日</w:t>
      </w:r>
      <w:r>
        <w:rPr>
          <w:rFonts w:hint="eastAsia" w:ascii="仿宋_GB2312" w:eastAsia="仿宋_GB2312" w:cs="仿宋_GB2312"/>
          <w:color w:val="000000"/>
          <w:kern w:val="0"/>
          <w:sz w:val="30"/>
          <w:szCs w:val="30"/>
          <w:shd w:val="clear" w:color="auto" w:fill="FFFFFF"/>
          <w:lang w:bidi="ar"/>
        </w:rPr>
        <w:t>可建模风险因子资本要求的</w:t>
      </w:r>
      <w:r>
        <w:rPr>
          <w:rFonts w:ascii="仿宋_GB2312" w:eastAsia="仿宋_GB2312" w:cs="仿宋_GB2312"/>
          <w:color w:val="000000"/>
          <w:kern w:val="0"/>
          <w:sz w:val="30"/>
          <w:szCs w:val="30"/>
          <w:shd w:val="clear" w:color="auto" w:fill="FFFFFF"/>
          <w:lang w:bidi="ar"/>
        </w:rPr>
        <w:t>均值</w:t>
      </w:r>
      <w:r>
        <w:rPr>
          <w:position w:val="-16"/>
          <w:sz w:val="30"/>
          <w:szCs w:val="30"/>
        </w:rPr>
        <w:object>
          <v:shape id="_x0000_i1055" o:spt="75" type="#_x0000_t75" style="height:20.65pt;width:56pt;" o:ole="t" filled="f" o:preferrelative="t" stroked="f" coordsize="21600,21600">
            <v:path/>
            <v:fill on="f" focussize="0,0"/>
            <v:stroke on="f" joinstyle="miter"/>
            <v:imagedata r:id="rId64" o:title=""/>
            <o:lock v:ext="edit" aspectratio="t"/>
            <w10:wrap type="none"/>
            <w10:anchorlock/>
          </v:shape>
          <o:OLEObject Type="Embed" ProgID="Equation.DSMT4" ShapeID="_x0000_i1055" DrawAspect="Content" ObjectID="_1468075755" r:id="rId63">
            <o:LockedField>false</o:LockedField>
          </o:OLEObject>
        </w:object>
      </w:r>
      <w:r>
        <w:rPr>
          <w:rFonts w:ascii="仿宋_GB2312" w:eastAsia="仿宋_GB2312" w:cs="仿宋_GB2312"/>
          <w:color w:val="000000"/>
          <w:kern w:val="0"/>
          <w:sz w:val="30"/>
          <w:szCs w:val="30"/>
          <w:shd w:val="clear" w:color="auto" w:fill="FFFFFF"/>
          <w:lang w:bidi="ar"/>
        </w:rPr>
        <w:t>乘以</w:t>
      </w:r>
      <w:r>
        <w:rPr>
          <w:position w:val="-12"/>
          <w:sz w:val="30"/>
          <w:szCs w:val="30"/>
        </w:rPr>
        <w:object>
          <v:shape id="_x0000_i1056" o:spt="75" type="#_x0000_t75" style="height:19.35pt;width:19.35pt;" o:ole="t" filled="f" o:preferrelative="t" stroked="f" coordsize="21600,21600">
            <v:path/>
            <v:fill on="f" focussize="0,0"/>
            <v:stroke on="f" joinstyle="miter"/>
            <v:imagedata r:id="rId66" o:title=""/>
            <o:lock v:ext="edit" aspectratio="t"/>
            <w10:wrap type="none"/>
            <w10:anchorlock/>
          </v:shape>
          <o:OLEObject Type="Embed" ProgID="Equation.DSMT4" ShapeID="_x0000_i1056" DrawAspect="Content" ObjectID="_1468075756" r:id="rId65">
            <o:LockedField>false</o:LockedField>
          </o:OLEObject>
        </w:object>
      </w:r>
      <w:r>
        <w:rPr>
          <w:rFonts w:hint="eastAsia" w:ascii="仿宋_GB2312" w:eastAsia="仿宋_GB2312" w:cs="仿宋_GB2312"/>
          <w:color w:val="000000"/>
          <w:kern w:val="0"/>
          <w:sz w:val="30"/>
          <w:szCs w:val="30"/>
          <w:shd w:val="clear" w:color="auto" w:fill="FFFFFF"/>
          <w:lang w:bidi="ar"/>
        </w:rPr>
        <w:t>加上</w:t>
      </w:r>
      <w:r>
        <w:rPr>
          <w:rFonts w:ascii="仿宋_GB2312" w:eastAsia="仿宋_GB2312" w:cs="仿宋_GB2312"/>
          <w:color w:val="000000"/>
          <w:kern w:val="0"/>
          <w:sz w:val="30"/>
          <w:szCs w:val="30"/>
          <w:shd w:val="clear" w:color="auto" w:fill="FFFFFF"/>
          <w:lang w:bidi="ar"/>
        </w:rPr>
        <w:t>最近60个交易日</w:t>
      </w:r>
      <w:r>
        <w:rPr>
          <w:rFonts w:hint="eastAsia" w:ascii="仿宋_GB2312" w:eastAsia="仿宋_GB2312" w:cs="仿宋_GB2312"/>
          <w:color w:val="000000"/>
          <w:kern w:val="0"/>
          <w:sz w:val="30"/>
          <w:szCs w:val="30"/>
          <w:shd w:val="clear" w:color="auto" w:fill="FFFFFF"/>
          <w:lang w:bidi="ar"/>
        </w:rPr>
        <w:t>不可建模风险因子资本要求的</w:t>
      </w:r>
      <w:r>
        <w:rPr>
          <w:rFonts w:ascii="仿宋_GB2312" w:eastAsia="仿宋_GB2312" w:cs="仿宋_GB2312"/>
          <w:color w:val="000000"/>
          <w:kern w:val="0"/>
          <w:sz w:val="30"/>
          <w:szCs w:val="30"/>
          <w:shd w:val="clear" w:color="auto" w:fill="FFFFFF"/>
          <w:lang w:bidi="ar"/>
        </w:rPr>
        <w:t>均值</w:t>
      </w:r>
      <w:r>
        <w:rPr>
          <w:position w:val="-16"/>
          <w:sz w:val="30"/>
          <w:szCs w:val="30"/>
        </w:rPr>
        <w:object>
          <v:shape id="_x0000_i1057" o:spt="75" type="#_x0000_t75" style="height:20.65pt;width:42.65pt;" o:ole="t" filled="f" o:preferrelative="t" stroked="f" coordsize="21600,21600">
            <v:path/>
            <v:fill on="f" focussize="0,0"/>
            <v:stroke on="f" joinstyle="miter"/>
            <v:imagedata r:id="rId68" o:title=""/>
            <o:lock v:ext="edit" aspectratio="t"/>
            <w10:wrap type="none"/>
            <w10:anchorlock/>
          </v:shape>
          <o:OLEObject Type="Embed" ProgID="Equation.DSMT4" ShapeID="_x0000_i1057" DrawAspect="Content" ObjectID="_1468075757" r:id="rId67">
            <o:LockedField>false</o:LockedField>
          </o:OLEObject>
        </w:object>
      </w:r>
      <w:r>
        <w:rPr>
          <w:rFonts w:ascii="仿宋_GB2312" w:eastAsia="仿宋_GB2312" w:cs="仿宋_GB2312"/>
          <w:color w:val="000000"/>
          <w:kern w:val="0"/>
          <w:sz w:val="30"/>
          <w:szCs w:val="30"/>
          <w:shd w:val="clear" w:color="auto" w:fill="FFFFFF"/>
          <w:lang w:bidi="ar"/>
        </w:rPr>
        <w:t>。</w:t>
      </w:r>
      <w:r>
        <w:rPr>
          <w:position w:val="-12"/>
          <w:sz w:val="30"/>
          <w:szCs w:val="30"/>
        </w:rPr>
        <w:object>
          <v:shape id="_x0000_i1058" o:spt="75" type="#_x0000_t75" style="height:19.35pt;width:19.35pt;" o:ole="t" filled="f" o:preferrelative="t" stroked="f" coordsize="21600,21600">
            <v:path/>
            <v:fill on="f" focussize="0,0"/>
            <v:stroke on="f" joinstyle="miter"/>
            <v:imagedata r:id="rId70" o:title=""/>
            <o:lock v:ext="edit" aspectratio="t"/>
            <w10:wrap type="none"/>
            <w10:anchorlock/>
          </v:shape>
          <o:OLEObject Type="Embed" ProgID="Equation.DSMT4" ShapeID="_x0000_i1058" DrawAspect="Content" ObjectID="_1468075758" r:id="rId69">
            <o:LockedField>false</o:LockedField>
          </o:OLEObject>
        </w:object>
      </w:r>
      <w:r>
        <w:rPr>
          <w:rFonts w:hint="eastAsia" w:ascii="仿宋_GB2312" w:eastAsia="仿宋_GB2312" w:cs="仿宋_GB2312"/>
          <w:color w:val="000000"/>
          <w:kern w:val="0"/>
          <w:sz w:val="30"/>
          <w:szCs w:val="30"/>
          <w:shd w:val="clear" w:color="auto" w:fill="FFFFFF"/>
          <w:lang w:bidi="ar"/>
        </w:rPr>
        <w:t>为返回检验乘数因子，等于固定因子与附加因子之和，其中固定因子为1.5</w:t>
      </w:r>
      <w:r>
        <w:rPr>
          <w:rFonts w:ascii="仿宋_GB2312" w:eastAsia="仿宋_GB2312" w:cs="仿宋_GB2312"/>
          <w:color w:val="000000"/>
          <w:kern w:val="0"/>
          <w:sz w:val="30"/>
          <w:szCs w:val="30"/>
          <w:shd w:val="clear" w:color="auto" w:fill="FFFFFF"/>
          <w:lang w:bidi="ar"/>
        </w:rPr>
        <w:t>，</w:t>
      </w:r>
      <w:r>
        <w:rPr>
          <w:rFonts w:hint="eastAsia" w:ascii="仿宋_GB2312" w:eastAsia="仿宋_GB2312" w:cs="仿宋_GB2312"/>
          <w:color w:val="000000"/>
          <w:kern w:val="0"/>
          <w:sz w:val="30"/>
          <w:szCs w:val="30"/>
          <w:shd w:val="clear" w:color="auto" w:fill="FFFFFF"/>
          <w:lang w:bidi="ar"/>
        </w:rPr>
        <w:t>附加因子包括定性附加因子和返回检验附加因子。返回检验附加因子范围在0-0.5，</w:t>
      </w:r>
      <w:r>
        <w:rPr>
          <w:rFonts w:ascii="仿宋_GB2312" w:eastAsia="仿宋_GB2312" w:cs="仿宋_GB2312"/>
          <w:color w:val="000000"/>
          <w:kern w:val="0"/>
          <w:sz w:val="30"/>
          <w:szCs w:val="30"/>
          <w:shd w:val="clear" w:color="auto" w:fill="FFFFFF"/>
          <w:lang w:bidi="ar"/>
        </w:rPr>
        <w:t>根据</w:t>
      </w:r>
      <w:r>
        <w:rPr>
          <w:rFonts w:hint="eastAsia" w:ascii="仿宋_GB2312" w:eastAsia="仿宋_GB2312" w:cs="仿宋_GB2312"/>
          <w:color w:val="000000"/>
          <w:kern w:val="0"/>
          <w:sz w:val="30"/>
          <w:szCs w:val="30"/>
          <w:shd w:val="clear" w:color="auto" w:fill="FFFFFF"/>
          <w:lang w:bidi="ar"/>
        </w:rPr>
        <w:t>全行层面</w:t>
      </w:r>
      <w:r>
        <w:rPr>
          <w:rFonts w:ascii="仿宋_GB2312" w:eastAsia="仿宋_GB2312" w:cs="仿宋_GB2312"/>
          <w:color w:val="000000"/>
          <w:kern w:val="0"/>
          <w:sz w:val="30"/>
          <w:szCs w:val="30"/>
          <w:shd w:val="clear" w:color="auto" w:fill="FFFFFF"/>
          <w:lang w:bidi="ar"/>
        </w:rPr>
        <w:t>返回检验的突破次数</w:t>
      </w:r>
      <w:r>
        <w:rPr>
          <w:rFonts w:hint="eastAsia" w:ascii="仿宋_GB2312" w:eastAsia="仿宋_GB2312" w:cs="仿宋_GB2312"/>
          <w:color w:val="000000"/>
          <w:kern w:val="0"/>
          <w:sz w:val="30"/>
          <w:szCs w:val="30"/>
          <w:shd w:val="clear" w:color="auto" w:fill="FFFFFF"/>
          <w:lang w:bidi="ar"/>
        </w:rPr>
        <w:t>决定，详见表</w:t>
      </w:r>
      <w:r>
        <w:rPr>
          <w:rFonts w:ascii="仿宋_GB2312" w:eastAsia="仿宋_GB2312" w:cs="仿宋_GB2312"/>
          <w:color w:val="000000"/>
          <w:kern w:val="0"/>
          <w:sz w:val="30"/>
          <w:szCs w:val="30"/>
          <w:shd w:val="clear" w:color="auto" w:fill="FFFFFF"/>
          <w:lang w:bidi="ar"/>
        </w:rPr>
        <w:t>4。</w:t>
      </w:r>
      <w:r>
        <w:rPr>
          <w:rFonts w:hint="eastAsia" w:ascii="仿宋_GB2312" w:eastAsia="仿宋_GB2312" w:cs="仿宋_GB2312"/>
          <w:color w:val="000000"/>
          <w:kern w:val="0"/>
          <w:sz w:val="30"/>
          <w:szCs w:val="30"/>
          <w:shd w:val="clear" w:color="auto" w:fill="FFFFFF"/>
          <w:lang w:bidi="ar"/>
        </w:rPr>
        <w:t>国家金融监督管理总局</w:t>
      </w:r>
      <w:r>
        <w:rPr>
          <w:rFonts w:hint="eastAsia" w:ascii="仿宋_GB2312" w:eastAsia="仿宋_GB2312"/>
          <w:color w:val="000000"/>
          <w:sz w:val="30"/>
          <w:szCs w:val="30"/>
        </w:rPr>
        <w:t>或其派出机构</w:t>
      </w:r>
      <w:r>
        <w:rPr>
          <w:rFonts w:hint="eastAsia" w:ascii="仿宋_GB2312" w:eastAsia="仿宋_GB2312" w:cs="仿宋_GB2312"/>
          <w:color w:val="000000"/>
          <w:kern w:val="0"/>
          <w:sz w:val="30"/>
          <w:szCs w:val="30"/>
          <w:shd w:val="clear" w:color="auto" w:fill="FFFFFF"/>
          <w:lang w:bidi="ar"/>
        </w:rPr>
        <w:t>可根据商业银行内部模型定性要求的执行情况设定定性附加因子，最小值即初始值为0。</w:t>
      </w:r>
    </w:p>
    <w:p>
      <w:pPr>
        <w:pStyle w:val="3"/>
      </w:pPr>
      <w:r>
        <w:rPr>
          <w:rFonts w:hint="eastAsia"/>
        </w:rPr>
        <w:t>七、</w:t>
      </w:r>
      <w:bookmarkStart w:id="18" w:name="_Hlk48836023"/>
      <w:r>
        <w:rPr>
          <w:rFonts w:hint="eastAsia"/>
        </w:rPr>
        <w:t>内部模型法交易台的违约风险资本要求</w:t>
      </w:r>
      <w:bookmarkEnd w:id="18"/>
    </w:p>
    <w:p>
      <w:pPr>
        <w:spacing w:line="480" w:lineRule="exact"/>
        <w:ind w:firstLine="600" w:firstLineChars="200"/>
        <w:rPr>
          <w:rFonts w:ascii="仿宋_GB2312" w:eastAsia="仿宋_GB2312"/>
          <w:color w:val="000000"/>
          <w:kern w:val="0"/>
          <w:sz w:val="30"/>
          <w:szCs w:val="30"/>
        </w:rPr>
      </w:pPr>
      <w:r>
        <w:rPr>
          <w:rFonts w:hint="eastAsia" w:ascii="仿宋_GB2312" w:eastAsia="仿宋_GB2312"/>
          <w:color w:val="000000"/>
          <w:sz w:val="30"/>
          <w:szCs w:val="30"/>
        </w:rPr>
        <w:t>（一）</w:t>
      </w:r>
      <w:r>
        <w:rPr>
          <w:rFonts w:hint="eastAsia" w:ascii="仿宋_GB2312" w:eastAsia="仿宋_GB2312"/>
          <w:color w:val="000000"/>
          <w:kern w:val="0"/>
          <w:sz w:val="30"/>
          <w:szCs w:val="30"/>
        </w:rPr>
        <w:t>违约风险是指由于债务人违约而导致直接损失的风险，以及违约事件可能导致的潜在非直接损失的风险。</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商业银行应使用单独的内部模型计量违约风险资本要求，内部模型未达到合格标准或未覆盖违约风险的，则应采用标准法计量违约市场风险资本要求。</w:t>
      </w:r>
    </w:p>
    <w:p>
      <w:pPr>
        <w:spacing w:line="480" w:lineRule="exact"/>
        <w:ind w:firstLine="600" w:firstLineChars="200"/>
        <w:rPr>
          <w:rFonts w:ascii="仿宋_GB2312" w:eastAsia="仿宋_GB2312"/>
          <w:color w:val="000000"/>
          <w:kern w:val="0"/>
          <w:sz w:val="30"/>
          <w:szCs w:val="30"/>
        </w:rPr>
      </w:pPr>
      <w:r>
        <w:rPr>
          <w:rFonts w:ascii="仿宋_GB2312" w:eastAsia="仿宋_GB2312"/>
          <w:color w:val="000000"/>
          <w:kern w:val="0"/>
          <w:sz w:val="30"/>
          <w:szCs w:val="30"/>
        </w:rPr>
        <w:t>违约风险</w:t>
      </w:r>
      <w:r>
        <w:rPr>
          <w:rFonts w:hint="eastAsia" w:ascii="仿宋_GB2312" w:eastAsia="仿宋_GB2312"/>
          <w:color w:val="000000"/>
          <w:kern w:val="0"/>
          <w:sz w:val="30"/>
          <w:szCs w:val="30"/>
        </w:rPr>
        <w:t>应评估</w:t>
      </w:r>
      <w:r>
        <w:rPr>
          <w:rFonts w:ascii="仿宋_GB2312" w:eastAsia="仿宋_GB2312"/>
          <w:color w:val="000000"/>
          <w:kern w:val="0"/>
          <w:sz w:val="30"/>
          <w:szCs w:val="30"/>
        </w:rPr>
        <w:t>超过当前估值中已经考虑的盯市损失以外的</w:t>
      </w:r>
      <w:r>
        <w:rPr>
          <w:rFonts w:hint="eastAsia" w:ascii="仿宋_GB2312" w:eastAsia="仿宋_GB2312"/>
          <w:color w:val="000000"/>
          <w:kern w:val="0"/>
          <w:sz w:val="30"/>
          <w:szCs w:val="30"/>
        </w:rPr>
        <w:t>增量损失</w:t>
      </w:r>
      <w:r>
        <w:rPr>
          <w:rFonts w:ascii="仿宋_GB2312" w:eastAsia="仿宋_GB2312"/>
          <w:color w:val="000000"/>
          <w:kern w:val="0"/>
          <w:sz w:val="30"/>
          <w:szCs w:val="30"/>
        </w:rPr>
        <w:t>。</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（二）商业银行应使用风险价值模型来衡量违约风险，风险价值应基于1年持有期、单尾99.9%置信区间的假设。违约风险资本模型应具有两类系统性风险因子。</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（三）违约风险的资本要求为以下两项中的较大值：</w:t>
      </w:r>
    </w:p>
    <w:p>
      <w:pPr>
        <w:spacing w:line="480" w:lineRule="exact"/>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1.过去十二周的违约风险价值均值。</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kern w:val="0"/>
          <w:sz w:val="30"/>
          <w:szCs w:val="30"/>
        </w:rPr>
        <w:t>2.最近一次计算得到的违约风险价值。</w:t>
      </w:r>
    </w:p>
    <w:p>
      <w:pPr>
        <w:spacing w:line="480" w:lineRule="exact"/>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商业银行应至少每周计算一次违约风险的资本要求。商业银行计量违约风险的模型应假设在1年持有期内头寸不变，其中，对于特定股票子组合头寸可假设60天持有期内头寸不变，并根据集中度、风险对冲策略和期权特征加以调整；同时也应反映可能影响多个证券发行人的市场性事件。</w:t>
      </w:r>
    </w:p>
    <w:p>
      <w:pPr>
        <w:spacing w:line="480" w:lineRule="exact"/>
        <w:ind w:firstLine="600" w:firstLineChars="200"/>
        <w:rPr>
          <w:rFonts w:ascii="仿宋_GB2312" w:eastAsia="仿宋_GB2312"/>
          <w:color w:val="000000"/>
          <w:kern w:val="0"/>
          <w:sz w:val="30"/>
          <w:szCs w:val="30"/>
        </w:rPr>
      </w:pPr>
      <w:r>
        <w:rPr>
          <w:rFonts w:hint="eastAsia" w:ascii="仿宋_GB2312" w:eastAsia="仿宋_GB2312"/>
          <w:color w:val="000000"/>
          <w:sz w:val="30"/>
          <w:szCs w:val="30"/>
        </w:rPr>
        <w:t>（四）</w:t>
      </w:r>
      <w:r>
        <w:rPr>
          <w:rFonts w:hint="eastAsia" w:ascii="仿宋_GB2312" w:eastAsia="仿宋_GB2312"/>
          <w:color w:val="000000"/>
          <w:kern w:val="0"/>
          <w:sz w:val="30"/>
          <w:szCs w:val="30"/>
        </w:rPr>
        <w:t>商业银行的违约风险资本模型应充分考虑产品或组合的流动性期限。</w:t>
      </w:r>
    </w:p>
    <w:p>
      <w:pPr>
        <w:spacing w:line="480" w:lineRule="exact"/>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1.流动性期限可以按照头寸或者组合为单位进行估计；如果以组合为单位估计流动性期限，应对组合的划分方法予以清晰定义，以合理反映不同组合的流动性期限差异。</w:t>
      </w:r>
    </w:p>
    <w:p>
      <w:pPr>
        <w:spacing w:line="480" w:lineRule="exact"/>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2.对非投资级产品、二级市场流动性不足的产品和从未大幅下跌过的产品的流动性期限应予以审慎估计。</w:t>
      </w:r>
    </w:p>
    <w:p>
      <w:pPr>
        <w:tabs>
          <w:tab w:val="left" w:pos="720"/>
          <w:tab w:val="left" w:pos="5130"/>
        </w:tabs>
        <w:spacing w:line="480" w:lineRule="exact"/>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3.股票类头寸的流动性期限最低为60天。</w:t>
      </w:r>
    </w:p>
    <w:p>
      <w:pPr>
        <w:tabs>
          <w:tab w:val="left" w:pos="720"/>
          <w:tab w:val="left" w:pos="5130"/>
        </w:tabs>
        <w:spacing w:line="480" w:lineRule="exact"/>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五）商业银行应对每个债务人计量违约风险。如果商业银行信用风险内部评级法中的违约概率或违约损失率估值经国家金融监督管理总局或其派出机构验收通过，应使用内部评级结果，否则应基于历史数据，使用与内部评级法一致的方法来计算违约概率和违约损失率。商业银行可以使用与投资组合相关的外部数据。</w:t>
      </w:r>
    </w:p>
    <w:p>
      <w:pPr>
        <w:tabs>
          <w:tab w:val="left" w:pos="720"/>
          <w:tab w:val="left" w:pos="5130"/>
        </w:tabs>
        <w:spacing w:line="480" w:lineRule="exact"/>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商业银行应建立违约概率和违约损失率数据来源优先级的排名表。违约概率应根据过去一年历史违约数据进行估算，或在商业银行能够证明理论推导符合历史违约经验的前提下，进行推导计算。违约损失率的计算应以头寸的当前市场价值减去违约后的预期市场价值，反映该头寸的类型和优先级, 且不得低于零。</w:t>
      </w:r>
    </w:p>
    <w:p>
      <w:pPr>
        <w:tabs>
          <w:tab w:val="left" w:pos="720"/>
          <w:tab w:val="left" w:pos="5130"/>
        </w:tabs>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违约概率不能为市场价格中隐含的违约概率，最低为0.05%。</w:t>
      </w:r>
    </w:p>
    <w:p>
      <w:pPr>
        <w:tabs>
          <w:tab w:val="left" w:pos="720"/>
          <w:tab w:val="left" w:pos="5130"/>
        </w:tabs>
        <w:spacing w:line="480" w:lineRule="exact"/>
        <w:ind w:firstLine="600" w:firstLineChars="200"/>
        <w:rPr>
          <w:rFonts w:ascii="仿宋_GB2312" w:eastAsia="仿宋_GB2312"/>
          <w:color w:val="000000"/>
          <w:kern w:val="0"/>
          <w:sz w:val="30"/>
          <w:szCs w:val="30"/>
        </w:rPr>
      </w:pPr>
      <w:r>
        <w:rPr>
          <w:rFonts w:hint="eastAsia" w:ascii="仿宋_GB2312" w:eastAsia="仿宋_GB2312"/>
          <w:color w:val="000000"/>
          <w:sz w:val="30"/>
          <w:szCs w:val="30"/>
        </w:rPr>
        <w:t>（六）如</w:t>
      </w:r>
      <w:r>
        <w:rPr>
          <w:rFonts w:ascii="仿宋_GB2312" w:eastAsia="仿宋_GB2312"/>
          <w:color w:val="000000"/>
          <w:sz w:val="30"/>
          <w:szCs w:val="30"/>
        </w:rPr>
        <w:t>同一债务人</w:t>
      </w:r>
      <w:r>
        <w:rPr>
          <w:rFonts w:hint="eastAsia" w:ascii="仿宋_GB2312" w:eastAsia="仿宋_GB2312"/>
          <w:color w:val="000000"/>
          <w:sz w:val="30"/>
          <w:szCs w:val="30"/>
        </w:rPr>
        <w:t>违约</w:t>
      </w:r>
      <w:r>
        <w:rPr>
          <w:rFonts w:ascii="仿宋_GB2312" w:eastAsia="仿宋_GB2312"/>
          <w:color w:val="000000"/>
          <w:sz w:val="30"/>
          <w:szCs w:val="30"/>
        </w:rPr>
        <w:t>风险暴露</w:t>
      </w:r>
      <w:r>
        <w:rPr>
          <w:rFonts w:hint="eastAsia" w:ascii="仿宋_GB2312" w:eastAsia="仿宋_GB2312"/>
          <w:color w:val="000000"/>
          <w:sz w:val="30"/>
          <w:szCs w:val="30"/>
        </w:rPr>
        <w:t>涵盖</w:t>
      </w:r>
      <w:r>
        <w:rPr>
          <w:rFonts w:ascii="仿宋_GB2312" w:eastAsia="仿宋_GB2312"/>
          <w:color w:val="000000"/>
          <w:sz w:val="30"/>
          <w:szCs w:val="30"/>
        </w:rPr>
        <w:t>不同工具, 净额结算时</w:t>
      </w:r>
      <w:r>
        <w:rPr>
          <w:rFonts w:hint="eastAsia" w:ascii="仿宋_GB2312" w:eastAsia="仿宋_GB2312"/>
          <w:color w:val="000000"/>
          <w:sz w:val="30"/>
          <w:szCs w:val="30"/>
        </w:rPr>
        <w:t>应体现</w:t>
      </w:r>
      <w:r>
        <w:rPr>
          <w:rFonts w:ascii="仿宋_GB2312" w:eastAsia="仿宋_GB2312"/>
          <w:color w:val="000000"/>
          <w:sz w:val="30"/>
          <w:szCs w:val="30"/>
        </w:rPr>
        <w:t>不同工具</w:t>
      </w:r>
      <w:r>
        <w:rPr>
          <w:rFonts w:hint="eastAsia" w:ascii="仿宋_GB2312" w:eastAsia="仿宋_GB2312"/>
          <w:color w:val="000000"/>
          <w:sz w:val="30"/>
          <w:szCs w:val="30"/>
        </w:rPr>
        <w:t>价格非对称波动导致</w:t>
      </w:r>
      <w:r>
        <w:rPr>
          <w:rFonts w:ascii="仿宋_GB2312" w:eastAsia="仿宋_GB2312"/>
          <w:color w:val="000000"/>
          <w:sz w:val="30"/>
          <w:szCs w:val="30"/>
        </w:rPr>
        <w:t>的损失</w:t>
      </w:r>
      <w:r>
        <w:rPr>
          <w:rFonts w:hint="eastAsia" w:ascii="仿宋_GB2312" w:eastAsia="仿宋_GB2312"/>
          <w:color w:val="000000"/>
          <w:kern w:val="0"/>
          <w:sz w:val="30"/>
          <w:szCs w:val="30"/>
        </w:rPr>
        <w:t>。</w:t>
      </w:r>
      <w:r>
        <w:rPr>
          <w:rFonts w:hint="eastAsia" w:ascii="仿宋_GB2312" w:eastAsia="仿宋_GB2312"/>
          <w:color w:val="000000"/>
          <w:sz w:val="30"/>
          <w:szCs w:val="30"/>
        </w:rPr>
        <w:t>违约</w:t>
      </w:r>
      <w:r>
        <w:rPr>
          <w:rFonts w:ascii="仿宋_GB2312" w:eastAsia="仿宋_GB2312"/>
          <w:color w:val="000000"/>
          <w:sz w:val="30"/>
          <w:szCs w:val="30"/>
        </w:rPr>
        <w:t>风险暴露</w:t>
      </w:r>
      <w:r>
        <w:rPr>
          <w:rFonts w:hint="eastAsia" w:ascii="仿宋_GB2312" w:hAnsi="Calibri" w:eastAsia="仿宋_GB2312"/>
          <w:color w:val="000000"/>
          <w:kern w:val="0"/>
          <w:sz w:val="30"/>
          <w:szCs w:val="30"/>
        </w:rPr>
        <w:t>应考虑</w:t>
      </w:r>
      <w:r>
        <w:rPr>
          <w:rFonts w:ascii="仿宋_GB2312" w:eastAsia="仿宋_GB2312"/>
          <w:color w:val="000000"/>
          <w:sz w:val="30"/>
          <w:szCs w:val="30"/>
        </w:rPr>
        <w:t>不同债务人多头和空头</w:t>
      </w:r>
      <w:r>
        <w:rPr>
          <w:rFonts w:hint="eastAsia" w:ascii="仿宋_GB2312" w:eastAsia="仿宋_GB2312"/>
          <w:color w:val="000000"/>
          <w:sz w:val="30"/>
          <w:szCs w:val="30"/>
        </w:rPr>
        <w:t>抵消效应，但</w:t>
      </w:r>
      <w:r>
        <w:rPr>
          <w:rFonts w:ascii="仿宋_GB2312" w:eastAsia="仿宋_GB2312"/>
          <w:color w:val="000000"/>
          <w:sz w:val="30"/>
          <w:szCs w:val="30"/>
        </w:rPr>
        <w:t>不</w:t>
      </w:r>
      <w:r>
        <w:rPr>
          <w:rFonts w:hint="eastAsia" w:ascii="仿宋_GB2312" w:eastAsia="仿宋_GB2312"/>
          <w:color w:val="000000"/>
          <w:sz w:val="30"/>
          <w:szCs w:val="30"/>
        </w:rPr>
        <w:t>得在数据输入模型前</w:t>
      </w:r>
      <w:r>
        <w:rPr>
          <w:rFonts w:ascii="仿宋_GB2312" w:eastAsia="仿宋_GB2312"/>
          <w:color w:val="000000"/>
          <w:sz w:val="30"/>
          <w:szCs w:val="30"/>
        </w:rPr>
        <w:t>对头寸进行轧差。</w:t>
      </w:r>
      <w:r>
        <w:rPr>
          <w:rFonts w:hint="eastAsia" w:ascii="仿宋_GB2312" w:eastAsia="仿宋_GB2312"/>
          <w:color w:val="000000"/>
          <w:kern w:val="0"/>
          <w:sz w:val="30"/>
          <w:szCs w:val="30"/>
        </w:rPr>
        <w:t>工具的基差风险、优先级结构、评级、期限和轧差误差都应予以合理计量。</w:t>
      </w:r>
    </w:p>
    <w:p>
      <w:pPr>
        <w:tabs>
          <w:tab w:val="left" w:pos="720"/>
          <w:tab w:val="left" w:pos="5130"/>
        </w:tabs>
        <w:spacing w:line="480" w:lineRule="exact"/>
        <w:ind w:firstLine="600" w:firstLineChars="200"/>
        <w:jc w:val="left"/>
        <w:rPr>
          <w:rFonts w:ascii="仿宋_GB2312" w:hAnsi="Calibri" w:eastAsia="仿宋_GB2312"/>
          <w:color w:val="000000"/>
          <w:kern w:val="0"/>
          <w:sz w:val="30"/>
          <w:szCs w:val="30"/>
        </w:rPr>
      </w:pPr>
      <w:r>
        <w:rPr>
          <w:rFonts w:hint="eastAsia" w:ascii="仿宋_GB2312" w:eastAsia="仿宋_GB2312"/>
          <w:color w:val="000000"/>
          <w:kern w:val="0"/>
          <w:sz w:val="30"/>
          <w:szCs w:val="30"/>
        </w:rPr>
        <w:t>（七）</w:t>
      </w:r>
      <w:r>
        <w:rPr>
          <w:rFonts w:hint="eastAsia" w:ascii="仿宋_GB2312" w:hAnsi="Calibri" w:eastAsia="仿宋_GB2312"/>
          <w:color w:val="000000"/>
          <w:kern w:val="0"/>
          <w:sz w:val="30"/>
          <w:szCs w:val="30"/>
        </w:rPr>
        <w:t>违约风险资本模型应识别债务人违约的相关性影响</w:t>
      </w:r>
      <w:r>
        <w:rPr>
          <w:rFonts w:hint="eastAsia" w:ascii="仿宋_GB2312" w:eastAsia="仿宋_GB2312"/>
          <w:color w:val="000000"/>
          <w:kern w:val="0"/>
          <w:sz w:val="30"/>
          <w:szCs w:val="30"/>
        </w:rPr>
        <w:t>，</w:t>
      </w:r>
      <w:r>
        <w:rPr>
          <w:rFonts w:hint="eastAsia" w:ascii="仿宋_GB2312" w:hAnsi="Calibri" w:eastAsia="仿宋_GB2312"/>
          <w:color w:val="000000"/>
          <w:kern w:val="0"/>
          <w:sz w:val="30"/>
          <w:szCs w:val="30"/>
        </w:rPr>
        <w:t>相关性应基于客观数据</w:t>
      </w:r>
      <w:r>
        <w:rPr>
          <w:rFonts w:hint="eastAsia" w:ascii="仿宋_GB2312" w:eastAsia="仿宋_GB2312"/>
          <w:color w:val="000000"/>
          <w:kern w:val="0"/>
          <w:sz w:val="30"/>
          <w:szCs w:val="30"/>
        </w:rPr>
        <w:t>。商业</w:t>
      </w:r>
      <w:r>
        <w:rPr>
          <w:rFonts w:hint="eastAsia" w:ascii="仿宋_GB2312" w:hAnsi="Calibri" w:eastAsia="仿宋_GB2312"/>
          <w:color w:val="000000"/>
          <w:kern w:val="0"/>
          <w:sz w:val="30"/>
          <w:szCs w:val="30"/>
        </w:rPr>
        <w:t>银行应验证相关性的建模方法符合其投资组合的特征</w:t>
      </w:r>
      <w:r>
        <w:rPr>
          <w:rFonts w:hint="eastAsia" w:ascii="仿宋_GB2312" w:eastAsia="仿宋_GB2312"/>
          <w:color w:val="000000"/>
          <w:kern w:val="0"/>
          <w:sz w:val="30"/>
          <w:szCs w:val="30"/>
        </w:rPr>
        <w:t>，</w:t>
      </w:r>
      <w:r>
        <w:rPr>
          <w:rFonts w:hint="eastAsia" w:ascii="仿宋_GB2312" w:hAnsi="Calibri" w:eastAsia="仿宋_GB2312"/>
          <w:color w:val="000000"/>
          <w:kern w:val="0"/>
          <w:sz w:val="30"/>
          <w:szCs w:val="30"/>
        </w:rPr>
        <w:t>记录建模方法和用于校准模型的时间段，时间段至少为1</w:t>
      </w:r>
      <w:r>
        <w:rPr>
          <w:rFonts w:ascii="仿宋_GB2312" w:hAnsi="Calibri" w:eastAsia="仿宋_GB2312"/>
          <w:color w:val="000000"/>
          <w:kern w:val="0"/>
          <w:sz w:val="30"/>
          <w:szCs w:val="30"/>
        </w:rPr>
        <w:t>0</w:t>
      </w:r>
      <w:r>
        <w:rPr>
          <w:rFonts w:hint="eastAsia" w:ascii="仿宋_GB2312" w:hAnsi="Calibri" w:eastAsia="仿宋_GB2312"/>
          <w:color w:val="000000"/>
          <w:kern w:val="0"/>
          <w:sz w:val="30"/>
          <w:szCs w:val="30"/>
        </w:rPr>
        <w:t>年。</w:t>
      </w:r>
    </w:p>
    <w:p>
      <w:pPr>
        <w:tabs>
          <w:tab w:val="left" w:pos="720"/>
          <w:tab w:val="left" w:pos="5130"/>
        </w:tabs>
        <w:spacing w:line="480" w:lineRule="exact"/>
        <w:ind w:firstLine="600" w:firstLineChars="200"/>
        <w:jc w:val="left"/>
        <w:rPr>
          <w:rFonts w:ascii="仿宋_GB2312" w:eastAsia="仿宋_GB2312"/>
          <w:color w:val="000000"/>
          <w:kern w:val="0"/>
          <w:sz w:val="30"/>
          <w:szCs w:val="30"/>
        </w:rPr>
      </w:pPr>
      <w:r>
        <w:rPr>
          <w:rFonts w:hint="eastAsia" w:ascii="仿宋_GB2312" w:hAnsi="Calibri" w:eastAsia="仿宋_GB2312"/>
          <w:color w:val="000000"/>
          <w:kern w:val="0"/>
          <w:sz w:val="30"/>
          <w:szCs w:val="30"/>
        </w:rPr>
        <w:t>违约相关性的计量应基于信用利差或上市股票价格，以及一年的流动性期限</w:t>
      </w:r>
      <w:r>
        <w:rPr>
          <w:rFonts w:hint="eastAsia" w:ascii="仿宋_GB2312" w:eastAsia="仿宋_GB2312"/>
          <w:color w:val="000000"/>
          <w:kern w:val="0"/>
          <w:sz w:val="30"/>
          <w:szCs w:val="30"/>
        </w:rPr>
        <w:t>。商业银行计量相关性时，</w:t>
      </w:r>
      <w:r>
        <w:rPr>
          <w:rFonts w:hint="eastAsia" w:ascii="仿宋_GB2312" w:hAnsi="Calibri" w:eastAsia="仿宋_GB2312"/>
          <w:color w:val="000000"/>
          <w:kern w:val="0"/>
          <w:sz w:val="30"/>
          <w:szCs w:val="30"/>
        </w:rPr>
        <w:t>应反映所有重大基差风险，制定相关制度规范校准过程, 记录使用信用利差或上市股票价格的情况。</w:t>
      </w:r>
    </w:p>
    <w:p>
      <w:pPr>
        <w:tabs>
          <w:tab w:val="left" w:pos="720"/>
          <w:tab w:val="left" w:pos="5130"/>
        </w:tabs>
        <w:spacing w:line="480" w:lineRule="exact"/>
        <w:ind w:firstLine="600" w:firstLineChars="200"/>
        <w:jc w:val="left"/>
        <w:rPr>
          <w:rFonts w:ascii="仿宋_GB2312" w:eastAsia="仿宋_GB2312"/>
          <w:color w:val="000000"/>
          <w:kern w:val="0"/>
          <w:sz w:val="30"/>
          <w:szCs w:val="30"/>
        </w:rPr>
      </w:pPr>
      <w:r>
        <w:rPr>
          <w:rFonts w:hint="eastAsia" w:ascii="仿宋_GB2312" w:eastAsia="仿宋_GB2312"/>
          <w:color w:val="000000"/>
          <w:kern w:val="0"/>
          <w:sz w:val="30"/>
          <w:szCs w:val="30"/>
        </w:rPr>
        <w:t>（八）</w:t>
      </w:r>
      <w:r>
        <w:rPr>
          <w:rFonts w:hint="eastAsia" w:ascii="仿宋_GB2312" w:hAnsi="Calibri" w:eastAsia="仿宋_GB2312"/>
          <w:color w:val="000000"/>
          <w:kern w:val="0"/>
          <w:sz w:val="30"/>
          <w:szCs w:val="30"/>
        </w:rPr>
        <w:t>违约风险资本模型应反映错配风险、集中度风险、期权性风险和其他重大非线性头寸的违约风险，并考虑经济周期。</w:t>
      </w:r>
    </w:p>
    <w:p>
      <w:pPr>
        <w:tabs>
          <w:tab w:val="left" w:pos="720"/>
          <w:tab w:val="left" w:pos="5130"/>
        </w:tabs>
        <w:spacing w:line="480" w:lineRule="exact"/>
        <w:ind w:firstLine="600" w:firstLineChars="200"/>
        <w:rPr>
          <w:rFonts w:ascii="仿宋_GB2312" w:eastAsia="仿宋_GB2312"/>
          <w:color w:val="000000"/>
          <w:kern w:val="0"/>
          <w:sz w:val="30"/>
          <w:szCs w:val="30"/>
        </w:rPr>
      </w:pPr>
      <w:r>
        <w:rPr>
          <w:rFonts w:hint="eastAsia" w:ascii="仿宋_GB2312" w:eastAsia="仿宋_GB2312"/>
          <w:color w:val="000000"/>
          <w:sz w:val="30"/>
          <w:szCs w:val="30"/>
        </w:rPr>
        <w:t>（九）</w:t>
      </w:r>
      <w:r>
        <w:rPr>
          <w:rFonts w:hint="eastAsia" w:ascii="仿宋_GB2312" w:eastAsia="仿宋_GB2312"/>
          <w:color w:val="000000"/>
          <w:kern w:val="0"/>
          <w:sz w:val="30"/>
          <w:szCs w:val="30"/>
        </w:rPr>
        <w:t xml:space="preserve">商业银行的违约风险模型在满足以下条件时可以考虑动态对冲策略的对冲效果，而不将其作为对冲误差处理： </w:t>
      </w:r>
    </w:p>
    <w:p>
      <w:pPr>
        <w:tabs>
          <w:tab w:val="left" w:pos="720"/>
          <w:tab w:val="left" w:pos="5130"/>
        </w:tabs>
        <w:spacing w:line="480" w:lineRule="exact"/>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1.动态对冲策略一致地应用于交易账户的所有相关头寸。</w:t>
      </w:r>
    </w:p>
    <w:p>
      <w:pPr>
        <w:spacing w:line="480" w:lineRule="exact"/>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2.证明采用动态对冲策略是一种较好的风险管理方法。</w:t>
      </w:r>
    </w:p>
    <w:p>
      <w:pPr>
        <w:spacing w:line="480" w:lineRule="exact"/>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3.证明对冲工具有足够流动性以保证即便在压力市场条件下仍然能够采取动态对冲策略管理风险。</w:t>
      </w:r>
    </w:p>
    <w:p>
      <w:pPr>
        <w:spacing w:line="480" w:lineRule="exact"/>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（十）违约风险资本模型的验证包括但不限于压力测试、敏感性分析和情景分析。</w:t>
      </w:r>
    </w:p>
    <w:p>
      <w:pPr>
        <w:spacing w:line="480" w:lineRule="exact"/>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（十一）商业银行应建立文档来确定模型标准, 用于评估违约风险资本模型的准确性。</w:t>
      </w:r>
    </w:p>
    <w:p>
      <w:pPr>
        <w:pStyle w:val="3"/>
      </w:pPr>
      <w:r>
        <w:rPr>
          <w:rFonts w:hint="eastAsia"/>
        </w:rPr>
        <w:t>八、</w:t>
      </w:r>
      <w:bookmarkStart w:id="19" w:name="_Hlk48836030"/>
      <w:r>
        <w:rPr>
          <w:rFonts w:hint="eastAsia"/>
        </w:rPr>
        <w:t>市场风险总资本要求</w:t>
      </w:r>
    </w:p>
    <w:bookmarkEnd w:id="19"/>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市场风险的总资本要求（</w:t>
      </w:r>
      <w:r>
        <w:rPr>
          <w:position w:val="-12"/>
          <w:sz w:val="30"/>
          <w:szCs w:val="30"/>
        </w:rPr>
        <w:object>
          <v:shape id="_x0000_i1059" o:spt="75" type="#_x0000_t75" style="height:19.35pt;width:40pt;" o:ole="t" filled="f" o:preferrelative="t" stroked="f" coordsize="21600,21600">
            <v:path/>
            <v:fill on="f" focussize="0,0"/>
            <v:stroke on="f" joinstyle="miter"/>
            <v:imagedata r:id="rId72" o:title=""/>
            <o:lock v:ext="edit" aspectratio="t"/>
            <w10:wrap type="none"/>
            <w10:anchorlock/>
          </v:shape>
          <o:OLEObject Type="Embed" ProgID="Equation.DSMT4" ShapeID="_x0000_i1059" DrawAspect="Content" ObjectID="_1468075759" r:id="rId71">
            <o:LockedField>false</o:LockedField>
          </o:OLEObject>
        </w:object>
      </w:r>
      <w:r>
        <w:rPr>
          <w:rFonts w:hint="eastAsia" w:ascii="仿宋_GB2312" w:eastAsia="仿宋_GB2312"/>
          <w:color w:val="000000"/>
          <w:sz w:val="30"/>
          <w:szCs w:val="30"/>
        </w:rPr>
        <w:t>）等于经验收通过使用内部模型法且符合内部模型法使用条件的交易台的总资本要求（</w:t>
      </w:r>
      <w:r>
        <w:rPr>
          <w:position w:val="-14"/>
          <w:sz w:val="30"/>
          <w:szCs w:val="30"/>
        </w:rPr>
        <w:object>
          <v:shape id="_x0000_i1060" o:spt="75" type="#_x0000_t75" style="height:19.35pt;width:98.65pt;" o:ole="t" filled="f" o:preferrelative="t" stroked="f" coordsize="21600,21600">
            <v:path/>
            <v:fill on="f" focussize="0,0"/>
            <v:stroke on="f" joinstyle="miter"/>
            <v:imagedata r:id="rId74" o:title=""/>
            <o:lock v:ext="edit" aspectratio="t"/>
            <w10:wrap type="none"/>
            <w10:anchorlock/>
          </v:shape>
          <o:OLEObject Type="Embed" ProgID="Equation.DSMT4" ShapeID="_x0000_i1060" DrawAspect="Content" ObjectID="_1468075760" r:id="rId73">
            <o:LockedField>false</o:LockedField>
          </o:OLEObject>
        </w:object>
      </w:r>
      <w:r>
        <w:rPr>
          <w:rFonts w:hint="eastAsia" w:ascii="仿宋_GB2312" w:eastAsia="仿宋_GB2312"/>
          <w:color w:val="000000"/>
          <w:sz w:val="30"/>
          <w:szCs w:val="30"/>
        </w:rPr>
        <w:t>，含违约风险资本要求）加上未经验收通过使用内部模型法或不符合内部模型法使用条件的交易台按标准法计算的资本要求</w:t>
      </w:r>
      <w:r>
        <w:rPr>
          <w:position w:val="-12"/>
          <w:sz w:val="30"/>
          <w:szCs w:val="30"/>
        </w:rPr>
        <w:object>
          <v:shape id="_x0000_i1061" o:spt="75" type="#_x0000_t75" style="height:19.35pt;width:17.35pt;" o:ole="t" filled="f" o:preferrelative="t" stroked="f" coordsize="21600,21600">
            <v:path/>
            <v:fill on="f" focussize="0,0"/>
            <v:stroke on="f" joinstyle="miter"/>
            <v:imagedata r:id="rId76" o:title=""/>
            <o:lock v:ext="edit" aspectratio="t"/>
            <w10:wrap type="none"/>
            <w10:anchorlock/>
          </v:shape>
          <o:OLEObject Type="Embed" ProgID="Equation.DSMT4" ShapeID="_x0000_i1061" DrawAspect="Content" ObjectID="_1468075761" r:id="rId75">
            <o:LockedField>false</o:LockedField>
          </o:OLEObject>
        </w:object>
      </w:r>
      <w:r>
        <w:rPr>
          <w:rFonts w:hint="eastAsia"/>
          <w:sz w:val="30"/>
          <w:szCs w:val="30"/>
        </w:rPr>
        <w:t>。</w:t>
      </w:r>
      <w:r>
        <w:rPr>
          <w:rFonts w:hint="eastAsia" w:ascii="仿宋_GB2312" w:eastAsia="仿宋_GB2312"/>
          <w:color w:val="000000"/>
          <w:sz w:val="30"/>
          <w:szCs w:val="30"/>
        </w:rPr>
        <w:t>如果至少有一个符合条件的交易台落入损益归因测试黄色区域，则会施加资本附加（</w:t>
      </w:r>
      <w:r>
        <w:rPr>
          <w:rFonts w:ascii="仿宋_GB2312" w:eastAsia="仿宋_GB2312"/>
          <w:color w:val="000000"/>
          <w:sz w:val="30"/>
          <w:szCs w:val="30"/>
        </w:rPr>
        <w:t>Capital surcharge</w:t>
      </w:r>
      <w:r>
        <w:rPr>
          <w:rFonts w:hint="eastAsia" w:ascii="仿宋_GB2312" w:eastAsia="仿宋_GB2312"/>
          <w:color w:val="000000"/>
          <w:sz w:val="30"/>
          <w:szCs w:val="30"/>
        </w:rPr>
        <w:t>）。资本附加的计算详见本附件第十部分（五）。</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内部模型法总资本要求计算如下：</w:t>
      </w:r>
    </w:p>
    <w:p>
      <w:pPr>
        <w:spacing w:line="560" w:lineRule="exact"/>
        <w:ind w:firstLine="480" w:firstLineChars="200"/>
        <w:jc w:val="left"/>
        <w:rPr>
          <w:color w:val="000000"/>
          <w:sz w:val="30"/>
          <w:szCs w:val="30"/>
        </w:rPr>
      </w:pPr>
      <m:oMathPara>
        <m:oMath>
          <m:r>
            <m:rPr>
              <m:sty m:val="p"/>
            </m:rPr>
            <w:rPr>
              <w:rFonts w:hint="eastAsia" w:ascii="DejaVu Math TeX Gyre" w:hAnsi="DejaVu Math TeX Gyre" w:eastAsia="仿宋_GB2312" w:cs="仿宋_GB2312"/>
              <w:sz w:val="24"/>
              <w:szCs w:val="36"/>
            </w:rPr>
            <m:t>ACRtotal=</m:t>
          </m:r>
          <m:r>
            <m:rPr>
              <m:sty m:val="p"/>
            </m:rPr>
            <w:rPr>
              <w:rFonts w:hint="eastAsia" w:ascii="Cambria Math" w:hAnsi="DejaVu Math TeX Gyre" w:eastAsia="仿宋_GB2312" w:cs="仿宋_GB2312"/>
              <w:sz w:val="24"/>
              <w:szCs w:val="36"/>
            </w:rPr>
            <m:t>m</m:t>
          </m:r>
          <m:r>
            <m:rPr>
              <m:sty m:val="p"/>
            </m:rPr>
            <w:rPr>
              <w:rFonts w:hint="eastAsia" w:ascii="DejaVu Math TeX Gyre" w:hAnsi="DejaVu Math TeX Gyre" w:eastAsia="仿宋_GB2312" w:cs="仿宋_GB2312"/>
              <w:sz w:val="24"/>
              <w:szCs w:val="36"/>
            </w:rPr>
            <m:t>in</m:t>
          </m:r>
          <m:d>
            <m:dPr>
              <m:ctrlPr>
                <w:rPr>
                  <w:rFonts w:ascii="DejaVu Math TeX Gyre" w:hAnsi="DejaVu Math TeX Gyre" w:eastAsia="仿宋_GB2312" w:cs="仿宋_GB2312"/>
                  <w:sz w:val="24"/>
                  <w:szCs w:val="36"/>
                </w:rPr>
              </m:ctrlPr>
            </m:dPr>
            <m:e>
              <m:sSub>
                <m:sSubPr>
                  <m:ctrlPr>
                    <w:rPr>
                      <w:rFonts w:ascii="DejaVu Math TeX Gyre" w:hAnsi="DejaVu Math TeX Gyre" w:eastAsia="仿宋_GB2312" w:cs="仿宋_GB2312"/>
                      <w:sz w:val="24"/>
                      <w:szCs w:val="36"/>
                    </w:rPr>
                  </m:ctrlPr>
                </m:sSubPr>
                <m:e>
                  <m:r>
                    <m:rPr>
                      <m:sty m:val="p"/>
                    </m:rPr>
                    <w:rPr>
                      <w:rFonts w:hint="eastAsia" w:ascii="DejaVu Math TeX Gyre" w:hAnsi="DejaVu Math TeX Gyre" w:eastAsia="仿宋_GB2312" w:cs="仿宋_GB2312"/>
                      <w:sz w:val="24"/>
                      <w:szCs w:val="36"/>
                    </w:rPr>
                    <m:t>IMA</m:t>
                  </m:r>
                  <m:ctrlPr>
                    <w:rPr>
                      <w:rFonts w:ascii="DejaVu Math TeX Gyre" w:hAnsi="DejaVu Math TeX Gyre" w:eastAsia="仿宋_GB2312" w:cs="仿宋_GB2312"/>
                      <w:sz w:val="24"/>
                      <w:szCs w:val="36"/>
                    </w:rPr>
                  </m:ctrlPr>
                </m:e>
                <m:sub>
                  <m:r>
                    <m:rPr>
                      <m:sty m:val="p"/>
                    </m:rPr>
                    <w:rPr>
                      <w:rFonts w:hint="eastAsia" w:ascii="DejaVu Math TeX Gyre" w:hAnsi="DejaVu Math TeX Gyre" w:eastAsia="仿宋_GB2312" w:cs="仿宋_GB2312"/>
                      <w:sz w:val="24"/>
                      <w:szCs w:val="36"/>
                    </w:rPr>
                    <m:t>G,A</m:t>
                  </m:r>
                  <m:ctrlPr>
                    <w:rPr>
                      <w:rFonts w:ascii="DejaVu Math TeX Gyre" w:hAnsi="DejaVu Math TeX Gyre" w:eastAsia="仿宋_GB2312" w:cs="仿宋_GB2312"/>
                      <w:sz w:val="24"/>
                      <w:szCs w:val="36"/>
                    </w:rPr>
                  </m:ctrlPr>
                </m:sub>
              </m:sSub>
              <m:r>
                <m:rPr>
                  <m:sty m:val="p"/>
                </m:rPr>
                <w:rPr>
                  <w:rFonts w:hint="eastAsia" w:ascii="DejaVu Math TeX Gyre" w:hAnsi="DejaVu Math TeX Gyre" w:eastAsia="仿宋_GB2312" w:cs="仿宋_GB2312"/>
                  <w:sz w:val="24"/>
                  <w:szCs w:val="36"/>
                </w:rPr>
                <m:t>+</m:t>
              </m:r>
              <m:sSub>
                <m:sSubPr>
                  <m:ctrlPr>
                    <w:rPr>
                      <w:rFonts w:ascii="DejaVu Math TeX Gyre" w:hAnsi="DejaVu Math TeX Gyre" w:eastAsia="仿宋_GB2312" w:cs="仿宋_GB2312"/>
                      <w:sz w:val="24"/>
                      <w:szCs w:val="36"/>
                    </w:rPr>
                  </m:ctrlPr>
                </m:sSubPr>
                <m:e>
                  <m:r>
                    <m:rPr>
                      <m:sty m:val="p"/>
                    </m:rPr>
                    <w:rPr>
                      <w:rFonts w:hint="eastAsia" w:ascii="DejaVu Math TeX Gyre" w:hAnsi="DejaVu Math TeX Gyre" w:eastAsia="仿宋_GB2312" w:cs="仿宋_GB2312"/>
                      <w:sz w:val="24"/>
                      <w:szCs w:val="36"/>
                    </w:rPr>
                    <m:t>C</m:t>
                  </m:r>
                  <m:ctrlPr>
                    <w:rPr>
                      <w:rFonts w:ascii="DejaVu Math TeX Gyre" w:hAnsi="DejaVu Math TeX Gyre" w:eastAsia="仿宋_GB2312" w:cs="仿宋_GB2312"/>
                      <w:sz w:val="24"/>
                      <w:szCs w:val="36"/>
                    </w:rPr>
                  </m:ctrlPr>
                </m:e>
                <m:sub>
                  <m:r>
                    <m:rPr>
                      <m:sty m:val="p"/>
                    </m:rPr>
                    <w:rPr>
                      <w:rFonts w:hint="eastAsia" w:ascii="DejaVu Math TeX Gyre" w:hAnsi="DejaVu Math TeX Gyre" w:eastAsia="仿宋_GB2312" w:cs="仿宋_GB2312"/>
                      <w:sz w:val="24"/>
                      <w:szCs w:val="36"/>
                    </w:rPr>
                    <m:t>U</m:t>
                  </m:r>
                  <m:ctrlPr>
                    <w:rPr>
                      <w:rFonts w:ascii="DejaVu Math TeX Gyre" w:hAnsi="DejaVu Math TeX Gyre" w:eastAsia="仿宋_GB2312" w:cs="仿宋_GB2312"/>
                      <w:sz w:val="24"/>
                      <w:szCs w:val="36"/>
                    </w:rPr>
                  </m:ctrlPr>
                </m:sub>
              </m:sSub>
              <m:r>
                <m:rPr>
                  <m:sty m:val="p"/>
                </m:rPr>
                <w:rPr>
                  <w:rFonts w:hint="eastAsia" w:ascii="DejaVu Math TeX Gyre" w:hAnsi="DejaVu Math TeX Gyre" w:eastAsia="仿宋_GB2312" w:cs="仿宋_GB2312"/>
                  <w:sz w:val="24"/>
                  <w:szCs w:val="36"/>
                </w:rPr>
                <m:t>+资本附加，</m:t>
              </m:r>
              <m:sSub>
                <m:sSubPr>
                  <m:ctrlPr>
                    <w:rPr>
                      <w:rFonts w:ascii="DejaVu Math TeX Gyre" w:hAnsi="DejaVu Math TeX Gyre" w:eastAsia="仿宋_GB2312" w:cs="仿宋_GB2312"/>
                      <w:sz w:val="24"/>
                      <w:szCs w:val="36"/>
                    </w:rPr>
                  </m:ctrlPr>
                </m:sSubPr>
                <m:e>
                  <m:r>
                    <m:rPr>
                      <m:sty m:val="p"/>
                    </m:rPr>
                    <w:rPr>
                      <w:rFonts w:hint="eastAsia" w:ascii="DejaVu Math TeX Gyre" w:hAnsi="DejaVu Math TeX Gyre" w:eastAsia="仿宋_GB2312" w:cs="仿宋_GB2312"/>
                      <w:sz w:val="24"/>
                      <w:szCs w:val="36"/>
                    </w:rPr>
                    <m:t>SA</m:t>
                  </m:r>
                  <m:ctrlPr>
                    <w:rPr>
                      <w:rFonts w:ascii="DejaVu Math TeX Gyre" w:hAnsi="DejaVu Math TeX Gyre" w:eastAsia="仿宋_GB2312" w:cs="仿宋_GB2312"/>
                      <w:sz w:val="24"/>
                      <w:szCs w:val="36"/>
                    </w:rPr>
                  </m:ctrlPr>
                </m:e>
                <m:sub>
                  <m:r>
                    <m:rPr>
                      <m:sty m:val="p"/>
                    </m:rPr>
                    <w:rPr>
                      <w:rFonts w:hint="eastAsia" w:ascii="DejaVu Math TeX Gyre" w:hAnsi="DejaVu Math TeX Gyre" w:eastAsia="仿宋_GB2312" w:cs="仿宋_GB2312"/>
                      <w:sz w:val="24"/>
                      <w:szCs w:val="36"/>
                    </w:rPr>
                    <m:t>all desk</m:t>
                  </m:r>
                  <m:ctrlPr>
                    <w:rPr>
                      <w:rFonts w:ascii="DejaVu Math TeX Gyre" w:hAnsi="DejaVu Math TeX Gyre" w:eastAsia="仿宋_GB2312" w:cs="仿宋_GB2312"/>
                      <w:sz w:val="24"/>
                      <w:szCs w:val="36"/>
                    </w:rPr>
                  </m:ctrlPr>
                </m:sub>
              </m:sSub>
              <m:ctrlPr>
                <w:rPr>
                  <w:rFonts w:ascii="DejaVu Math TeX Gyre" w:hAnsi="DejaVu Math TeX Gyre" w:eastAsia="仿宋_GB2312" w:cs="仿宋_GB2312"/>
                  <w:sz w:val="24"/>
                  <w:szCs w:val="36"/>
                </w:rPr>
              </m:ctrlPr>
            </m:e>
          </m:d>
          <m:r>
            <m:rPr>
              <m:sty m:val="p"/>
            </m:rPr>
            <w:rPr>
              <w:rFonts w:hint="eastAsia" w:ascii="DejaVu Math TeX Gyre" w:hAnsi="DejaVu Math TeX Gyre" w:eastAsia="仿宋_GB2312" w:cs="仿宋_GB2312"/>
              <w:sz w:val="24"/>
              <w:szCs w:val="36"/>
            </w:rPr>
            <m:t>+</m:t>
          </m:r>
          <m:r>
            <m:rPr>
              <m:sty m:val="p"/>
            </m:rPr>
            <w:rPr>
              <w:rFonts w:hint="eastAsia" w:ascii="Cambria Math" w:hAnsi="DejaVu Math TeX Gyre" w:eastAsia="仿宋_GB2312" w:cs="仿宋_GB2312"/>
              <w:sz w:val="24"/>
              <w:szCs w:val="36"/>
            </w:rPr>
            <m:t>m</m:t>
          </m:r>
          <m:r>
            <m:rPr>
              <m:sty m:val="p"/>
            </m:rPr>
            <w:rPr>
              <w:rFonts w:hint="eastAsia" w:ascii="DejaVu Math TeX Gyre" w:hAnsi="DejaVu Math TeX Gyre" w:eastAsia="仿宋_GB2312" w:cs="仿宋_GB2312"/>
              <w:sz w:val="24"/>
              <w:szCs w:val="36"/>
            </w:rPr>
            <m:t>ax(0,</m:t>
          </m:r>
          <m:sSub>
            <m:sSubPr>
              <m:ctrlPr>
                <w:rPr>
                  <w:rFonts w:ascii="DejaVu Math TeX Gyre" w:hAnsi="DejaVu Math TeX Gyre" w:eastAsia="仿宋_GB2312" w:cs="仿宋_GB2312"/>
                  <w:sz w:val="24"/>
                  <w:szCs w:val="36"/>
                </w:rPr>
              </m:ctrlPr>
            </m:sSubPr>
            <m:e>
              <m:r>
                <m:rPr>
                  <m:sty m:val="p"/>
                </m:rPr>
                <w:rPr>
                  <w:rFonts w:hint="eastAsia" w:ascii="DejaVu Math TeX Gyre" w:hAnsi="DejaVu Math TeX Gyre" w:eastAsia="仿宋_GB2312" w:cs="仿宋_GB2312"/>
                  <w:sz w:val="24"/>
                  <w:szCs w:val="36"/>
                </w:rPr>
                <m:t>IMA</m:t>
              </m:r>
              <m:ctrlPr>
                <w:rPr>
                  <w:rFonts w:ascii="DejaVu Math TeX Gyre" w:hAnsi="DejaVu Math TeX Gyre" w:eastAsia="仿宋_GB2312" w:cs="仿宋_GB2312"/>
                  <w:sz w:val="24"/>
                  <w:szCs w:val="36"/>
                </w:rPr>
              </m:ctrlPr>
            </m:e>
            <m:sub>
              <m:r>
                <m:rPr>
                  <m:sty m:val="p"/>
                </m:rPr>
                <w:rPr>
                  <w:rFonts w:hint="eastAsia" w:ascii="DejaVu Math TeX Gyre" w:hAnsi="DejaVu Math TeX Gyre" w:eastAsia="仿宋_GB2312" w:cs="仿宋_GB2312"/>
                  <w:sz w:val="24"/>
                  <w:szCs w:val="36"/>
                </w:rPr>
                <m:t>G,A</m:t>
              </m:r>
              <m:ctrlPr>
                <w:rPr>
                  <w:rFonts w:ascii="DejaVu Math TeX Gyre" w:hAnsi="DejaVu Math TeX Gyre" w:eastAsia="仿宋_GB2312" w:cs="仿宋_GB2312"/>
                  <w:sz w:val="24"/>
                  <w:szCs w:val="36"/>
                </w:rPr>
              </m:ctrlPr>
            </m:sub>
          </m:sSub>
          <m:r>
            <m:rPr>
              <m:sty m:val="p"/>
            </m:rPr>
            <w:rPr>
              <w:rFonts w:ascii="DejaVu Math TeX Gyre" w:hAnsi="DejaVu Math TeX Gyre" w:eastAsia="仿宋_GB2312" w:cs="仿宋_GB2312"/>
              <w:sz w:val="24"/>
              <w:szCs w:val="36"/>
            </w:rPr>
            <m:t>−</m:t>
          </m:r>
          <m:sSub>
            <m:sSubPr>
              <m:ctrlPr>
                <w:rPr>
                  <w:rFonts w:ascii="DejaVu Math TeX Gyre" w:hAnsi="DejaVu Math TeX Gyre" w:eastAsia="仿宋_GB2312" w:cs="仿宋_GB2312"/>
                  <w:sz w:val="24"/>
                  <w:szCs w:val="36"/>
                </w:rPr>
              </m:ctrlPr>
            </m:sSubPr>
            <m:e>
              <m:r>
                <m:rPr>
                  <m:sty m:val="p"/>
                </m:rPr>
                <w:rPr>
                  <w:rFonts w:hint="eastAsia" w:ascii="DejaVu Math TeX Gyre" w:hAnsi="DejaVu Math TeX Gyre" w:eastAsia="仿宋_GB2312" w:cs="仿宋_GB2312"/>
                  <w:sz w:val="24"/>
                  <w:szCs w:val="36"/>
                </w:rPr>
                <m:t>SA</m:t>
              </m:r>
              <m:ctrlPr>
                <w:rPr>
                  <w:rFonts w:ascii="DejaVu Math TeX Gyre" w:hAnsi="DejaVu Math TeX Gyre" w:eastAsia="仿宋_GB2312" w:cs="仿宋_GB2312"/>
                  <w:sz w:val="24"/>
                  <w:szCs w:val="36"/>
                </w:rPr>
              </m:ctrlPr>
            </m:e>
            <m:sub>
              <m:r>
                <m:rPr>
                  <m:sty m:val="p"/>
                </m:rPr>
                <w:rPr>
                  <w:rFonts w:hint="eastAsia" w:ascii="DejaVu Math TeX Gyre" w:hAnsi="DejaVu Math TeX Gyre" w:eastAsia="仿宋_GB2312" w:cs="仿宋_GB2312"/>
                  <w:sz w:val="24"/>
                  <w:szCs w:val="36"/>
                </w:rPr>
                <m:t>G,A</m:t>
              </m:r>
              <m:ctrlPr>
                <w:rPr>
                  <w:rFonts w:ascii="DejaVu Math TeX Gyre" w:hAnsi="DejaVu Math TeX Gyre" w:eastAsia="仿宋_GB2312" w:cs="仿宋_GB2312"/>
                  <w:sz w:val="24"/>
                  <w:szCs w:val="36"/>
                </w:rPr>
              </m:ctrlPr>
            </m:sub>
          </m:sSub>
          <m:r>
            <m:rPr>
              <m:sty m:val="p"/>
            </m:rPr>
            <w:rPr>
              <w:rFonts w:hint="eastAsia" w:ascii="DejaVu Math TeX Gyre" w:hAnsi="DejaVu Math TeX Gyre" w:eastAsia="仿宋_GB2312" w:cs="仿宋_GB2312"/>
              <w:sz w:val="24"/>
              <w:szCs w:val="36"/>
            </w:rPr>
            <m:t>)</m:t>
          </m:r>
        </m:oMath>
      </m:oMathPara>
    </w:p>
    <w:p>
      <w:pPr>
        <w:spacing w:line="480" w:lineRule="exact"/>
        <w:ind w:firstLine="600" w:firstLineChars="200"/>
        <w:rPr>
          <w:rFonts w:ascii="仿宋_GB2312" w:eastAsia="仿宋_GB2312"/>
          <w:color w:val="000000"/>
          <w:sz w:val="30"/>
          <w:szCs w:val="30"/>
        </w:rPr>
      </w:pPr>
      <w:r>
        <w:rPr>
          <w:rFonts w:ascii="仿宋_GB2312" w:eastAsia="仿宋_GB2312"/>
          <w:color w:val="000000"/>
          <w:sz w:val="30"/>
          <w:szCs w:val="30"/>
        </w:rPr>
        <w:object>
          <v:shape id="_x0000_i1062" o:spt="75" type="#_x0000_t75" style="height:20pt;width:50.65pt;" o:ole="t" filled="f" o:preferrelative="t" stroked="f" coordsize="21600,21600">
            <v:path/>
            <v:fill on="f" focussize="0,0"/>
            <v:stroke on="f" joinstyle="miter"/>
            <v:imagedata r:id="rId78" o:title=""/>
            <o:lock v:ext="edit" aspectratio="t"/>
            <w10:wrap type="none"/>
            <w10:anchorlock/>
          </v:shape>
          <o:OLEObject Type="Embed" ProgID="Equation.DSMT4" ShapeID="_x0000_i1062" DrawAspect="Content" ObjectID="_1468075762" r:id="rId77">
            <o:LockedField>false</o:LockedField>
          </o:OLEObject>
        </w:object>
      </w:r>
      <w:r>
        <w:rPr>
          <w:rFonts w:hint="eastAsia" w:ascii="仿宋_GB2312" w:eastAsia="仿宋_GB2312"/>
          <w:color w:val="000000"/>
          <w:sz w:val="30"/>
          <w:szCs w:val="30"/>
        </w:rPr>
        <w:t>为所有交易台按标准法计量的市场风险资本要求。</w:t>
      </w:r>
    </w:p>
    <w:p>
      <w:pPr>
        <w:spacing w:line="480" w:lineRule="exact"/>
        <w:ind w:firstLine="600" w:firstLineChars="200"/>
        <w:rPr>
          <w:rFonts w:ascii="仿宋_GB2312" w:eastAsia="仿宋_GB2312"/>
          <w:color w:val="000000"/>
          <w:sz w:val="30"/>
          <w:szCs w:val="30"/>
        </w:rPr>
      </w:pPr>
      <w:r>
        <w:rPr>
          <w:rFonts w:ascii="仿宋_GB2312" w:eastAsia="仿宋_GB2312"/>
          <w:color w:val="000000"/>
          <w:sz w:val="30"/>
          <w:szCs w:val="30"/>
        </w:rPr>
        <w:object>
          <v:shape id="_x0000_i1063" o:spt="75" type="#_x0000_t75" style="height:23.35pt;width:36pt;" o:ole="t" filled="f" o:preferrelative="t" stroked="f" coordsize="21600,21600">
            <v:path/>
            <v:fill on="f" focussize="0,0"/>
            <v:stroke on="f" joinstyle="miter"/>
            <v:imagedata r:id="rId80" o:title=""/>
            <o:lock v:ext="edit" aspectratio="t"/>
            <w10:wrap type="none"/>
            <w10:anchorlock/>
          </v:shape>
          <o:OLEObject Type="Embed" ProgID="Equation.DSMT4" ShapeID="_x0000_i1063" DrawAspect="Content" ObjectID="_1468075763" r:id="rId79">
            <o:LockedField>false</o:LockedField>
          </o:OLEObject>
        </w:object>
      </w:r>
      <w:r>
        <w:rPr>
          <w:rFonts w:hint="eastAsia" w:ascii="仿宋_GB2312" w:eastAsia="仿宋_GB2312"/>
          <w:color w:val="000000"/>
          <w:sz w:val="30"/>
          <w:szCs w:val="30"/>
        </w:rPr>
        <w:t>为经验收通过使用内部模型法且符合内部模型法使用条件的交易台按标准法计量的市场风险资本要求。</w:t>
      </w:r>
    </w:p>
    <w:p>
      <w:pPr>
        <w:pStyle w:val="3"/>
      </w:pPr>
      <w:r>
        <w:rPr>
          <w:rFonts w:hint="eastAsia"/>
        </w:rPr>
        <w:t>九、</w:t>
      </w:r>
      <w:bookmarkStart w:id="20" w:name="_Hlk48836039"/>
      <w:r>
        <w:rPr>
          <w:rFonts w:hint="eastAsia"/>
        </w:rPr>
        <w:t>返回检验要求</w:t>
      </w:r>
      <w:bookmarkEnd w:id="20"/>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商业银行应比较每日的实际损益数据及假设损益数据与内部模型产生的风险价值数据，进行全行层面和交易台层面的返回检验。商业银行依据最近250个交易日突破次数确定市场风险资本计算的附加因子，并按季度将返回检验结果及附加因子调整情况报告国家金融监督管理总局或其派出机构。</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国家金融监督管理总局或其派出机构对商业银行返回检验结果和附加因子调整情况进行监督，并评估银行是否可继续使用内部模型法计量资本。</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（二）符合以下情况的，商业银行可向国家金融监督管理总局申请特殊处理：</w:t>
      </w:r>
    </w:p>
    <w:p>
      <w:pPr>
        <w:spacing w:line="480" w:lineRule="exact"/>
        <w:ind w:firstLine="600" w:firstLineChars="200"/>
        <w:rPr>
          <w:rFonts w:ascii="仿宋_GB2312" w:eastAsia="仿宋_GB2312"/>
          <w:color w:val="000000"/>
          <w:sz w:val="30"/>
          <w:szCs w:val="30"/>
        </w:rPr>
      </w:pPr>
      <w:r>
        <w:rPr>
          <w:rFonts w:ascii="仿宋_GB2312" w:eastAsia="仿宋_GB2312"/>
          <w:color w:val="000000"/>
          <w:sz w:val="30"/>
          <w:szCs w:val="30"/>
        </w:rPr>
        <w:t>1</w:t>
      </w:r>
      <w:r>
        <w:rPr>
          <w:rFonts w:hint="eastAsia" w:ascii="仿宋_GB2312" w:eastAsia="仿宋_GB2312"/>
          <w:color w:val="000000"/>
          <w:sz w:val="30"/>
          <w:szCs w:val="30"/>
        </w:rPr>
        <w:t>.当金融市场发生重大制度转变或重大金融市场压力事件时，市场数据的波动与相关系数的重大变化可能引发短时间内的大量突破事件。在此情况下，商业银行可申请暂不调高附加因子并继续使用内部模型法，同时应尽快将上述压力情景纳入模型。</w:t>
      </w:r>
    </w:p>
    <w:p>
      <w:pPr>
        <w:spacing w:line="480" w:lineRule="exact"/>
        <w:ind w:firstLine="600" w:firstLineChars="200"/>
        <w:rPr>
          <w:rFonts w:ascii="仿宋_GB2312" w:eastAsia="仿宋_GB2312"/>
          <w:color w:val="000000"/>
          <w:sz w:val="30"/>
          <w:szCs w:val="30"/>
        </w:rPr>
      </w:pPr>
      <w:r>
        <w:rPr>
          <w:rFonts w:ascii="仿宋_GB2312" w:eastAsia="仿宋_GB2312"/>
          <w:color w:val="000000"/>
          <w:sz w:val="30"/>
          <w:szCs w:val="30"/>
        </w:rPr>
        <w:t>2</w:t>
      </w:r>
      <w:r>
        <w:rPr>
          <w:rFonts w:hint="eastAsia" w:ascii="仿宋_GB2312" w:eastAsia="仿宋_GB2312"/>
          <w:color w:val="000000"/>
          <w:sz w:val="30"/>
          <w:szCs w:val="30"/>
        </w:rPr>
        <w:t>.如果突破情况和不可建模风险因子相关，且该不可建模风险因子的资本要求超过了当日的实际损失或假设损失，商业银行可向国家金融监督管理总局申请不将该突破事件计入突破次数。商业银行应记录相关不可建模风险因子价值的历史变动情况，并提供充足证据证明是该不可建模风险因子导致的相关损失。</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（三）内部模型的返回检验应至少满足以下要求：</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1.商业银行应每日计算基于T-1日头寸的风险价值与T日的损益数据并进行比较，如实际损失或假设损失超过风险价值，或者出现损益或风险价值无法获取的情况，则称为发生一次突破。</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2.全行层面返回检验风险价值的持有期为1天，置信区间为99%，计算方法以及使用的历史数据期限等参数应与使用内部模型法计提市场风险资本要求时所用参数保持一致。</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3.交易台层面返回检验风险价值的持有期为1天，置信区间为99%及97.5%，计算方法以及使用的历史数据期限等参数应与使用内部模型法计提市场风险资本要求时所用参数保持一致。</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若在最近250个交易日内，交易台在99%的置信区间下突破次数超过1</w:t>
      </w:r>
      <w:r>
        <w:rPr>
          <w:rFonts w:ascii="仿宋_GB2312" w:eastAsia="仿宋_GB2312"/>
          <w:color w:val="000000"/>
          <w:sz w:val="30"/>
          <w:szCs w:val="30"/>
        </w:rPr>
        <w:t>2</w:t>
      </w:r>
      <w:r>
        <w:rPr>
          <w:rFonts w:hint="eastAsia" w:ascii="仿宋_GB2312" w:eastAsia="仿宋_GB2312"/>
          <w:color w:val="000000"/>
          <w:sz w:val="30"/>
          <w:szCs w:val="30"/>
        </w:rPr>
        <w:t>次，或在97.5%的置信水平突破次数超过3</w:t>
      </w:r>
      <w:r>
        <w:rPr>
          <w:rFonts w:ascii="仿宋_GB2312" w:eastAsia="仿宋_GB2312"/>
          <w:color w:val="000000"/>
          <w:sz w:val="30"/>
          <w:szCs w:val="30"/>
        </w:rPr>
        <w:t>0</w:t>
      </w:r>
      <w:r>
        <w:rPr>
          <w:rFonts w:hint="eastAsia" w:ascii="仿宋_GB2312" w:eastAsia="仿宋_GB2312"/>
          <w:color w:val="000000"/>
          <w:sz w:val="30"/>
          <w:szCs w:val="30"/>
        </w:rPr>
        <w:t>次，应按标准法计量该交易台的资本要求，并及时向国家金融监督管理总局或其派出机构报告。若重新采用内部模型法，应经国家金融监督管理总局或其派出机构认可。</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4.突破的统计方法采用简单突破法，即每季度末统计最近250个交易日的返回检验结果中总计发生的突破次数。总体的突破数量是实际损失突破情况和假设损失突破情况中的较大值。</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5.商业银行向国家金融监督管理总局或其派出机构申请实施内部模型法时，应建立返回检验流程，并积累至少250个交易日的返回检验结果数据，国家金融监督管理总局或其派出机构</w:t>
      </w:r>
      <w:r>
        <w:rPr>
          <w:rFonts w:ascii="仿宋_GB2312" w:eastAsia="仿宋_GB2312"/>
          <w:color w:val="000000"/>
          <w:sz w:val="30"/>
          <w:szCs w:val="30"/>
        </w:rPr>
        <w:t>可要求</w:t>
      </w:r>
      <w:r>
        <w:rPr>
          <w:rFonts w:hint="eastAsia" w:ascii="仿宋_GB2312" w:eastAsia="仿宋_GB2312"/>
          <w:color w:val="000000"/>
          <w:sz w:val="30"/>
          <w:szCs w:val="30"/>
        </w:rPr>
        <w:t>商业</w:t>
      </w:r>
      <w:r>
        <w:rPr>
          <w:rFonts w:ascii="仿宋_GB2312" w:eastAsia="仿宋_GB2312"/>
          <w:color w:val="000000"/>
          <w:sz w:val="30"/>
          <w:szCs w:val="30"/>
        </w:rPr>
        <w:t>银行提供在此日期之前的返回检验</w:t>
      </w:r>
      <w:r>
        <w:rPr>
          <w:rFonts w:hint="eastAsia" w:ascii="仿宋_GB2312" w:eastAsia="仿宋_GB2312"/>
          <w:color w:val="000000"/>
          <w:sz w:val="30"/>
          <w:szCs w:val="30"/>
        </w:rPr>
        <w:t>结果数据。</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6.根据最新的交易台层面返回检验、风险因子合格性检验以及损益归因测试的结果，每季度更新全行层面返回检验的投资组合范围。</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（四）商业银行应建立返回检验的文档管理和报告制度。</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1.商业银行应对返回检验过程及结果建立完整的书面文档记录，以供内部管理、外部审计和国家金融监督管理总局或其派出机构查阅使用。</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2.返回检验突破事件发生后，应及时书面报告商业银行负责市场风险管理的高级管理层成员。</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3.商业银行正式实施市场风险内部模型法后，应每季度将最近250个交易日的返回检验结果报告提交国家金融监督管理总局或其派出机构。</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（五）按照全行范围最近250个交易日的返回检验突破次数，其结果可分为绿区、黄区和红区三个区域。</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1.绿区，包括0至4次突破事件。绿区代表返回检验结果并未显示商业银行的内部模型存在问题。</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2.黄区，包括5至9次突破事件。黄区代表返回检验结果显示商业银行的内部模型可能存在问题，但有关结论尚不确定，通常情况下，随着出现突破事件次数由5次增加至9次，模型不准确的可能性会逐步增大。</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3.红区，包括10次或以上突破事件。红区代表返回检验结果显示商业银行的内部模型存在问题的可能性极大。</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（六）市场风险返回检验突破次数、分区及乘数因子的对应关系见表</w:t>
      </w:r>
      <w:r>
        <w:rPr>
          <w:rFonts w:ascii="仿宋_GB2312" w:eastAsia="仿宋_GB2312"/>
          <w:color w:val="000000"/>
          <w:sz w:val="30"/>
          <w:szCs w:val="30"/>
        </w:rPr>
        <w:t>4</w:t>
      </w:r>
      <w:r>
        <w:rPr>
          <w:rFonts w:hint="eastAsia" w:ascii="仿宋_GB2312" w:eastAsia="仿宋_GB2312"/>
          <w:color w:val="000000"/>
          <w:sz w:val="30"/>
          <w:szCs w:val="30"/>
        </w:rPr>
        <w:t>。国家金融监督管理总局或其派出机构可根据商业银行模型运行表现在返回检验乘数因子之上另行增设定性附加因子。</w:t>
      </w:r>
    </w:p>
    <w:p>
      <w:pPr>
        <w:jc w:val="center"/>
        <w:rPr>
          <w:rFonts w:ascii="楷体_GB2312" w:eastAsia="楷体_GB2312"/>
          <w:b/>
          <w:color w:val="000000"/>
          <w:sz w:val="28"/>
          <w:szCs w:val="28"/>
        </w:rPr>
      </w:pPr>
      <w:r>
        <w:rPr>
          <w:rFonts w:hint="eastAsia" w:ascii="楷体_GB2312" w:eastAsia="楷体_GB2312"/>
          <w:b/>
          <w:color w:val="000000"/>
          <w:sz w:val="28"/>
          <w:szCs w:val="28"/>
        </w:rPr>
        <w:t>表4 突破次数与乘数因子关系表</w:t>
      </w:r>
    </w:p>
    <w:tbl>
      <w:tblPr>
        <w:tblStyle w:val="38"/>
        <w:tblW w:w="0" w:type="auto"/>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0"/>
        <w:gridCol w:w="4860"/>
        <w:gridCol w:w="2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blHeader/>
        </w:trPr>
        <w:tc>
          <w:tcPr>
            <w:tcW w:w="10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color w:val="000000"/>
                <w:sz w:val="24"/>
              </w:rPr>
            </w:pPr>
            <w:r>
              <w:rPr>
                <w:rFonts w:hint="eastAsia" w:ascii="宋体" w:hAnsi="宋体"/>
                <w:b/>
                <w:color w:val="000000"/>
                <w:sz w:val="24"/>
              </w:rPr>
              <w:t>分区</w:t>
            </w:r>
          </w:p>
        </w:tc>
        <w:tc>
          <w:tcPr>
            <w:tcW w:w="486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color w:val="000000"/>
                <w:sz w:val="24"/>
              </w:rPr>
            </w:pPr>
            <w:r>
              <w:rPr>
                <w:rFonts w:hint="eastAsia" w:ascii="宋体" w:hAnsi="宋体"/>
                <w:b/>
                <w:color w:val="000000"/>
                <w:sz w:val="24"/>
              </w:rPr>
              <w:t>最近250个交易日的返回检验突破次数</w:t>
            </w:r>
          </w:p>
        </w:tc>
        <w:tc>
          <w:tcPr>
            <w:tcW w:w="26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color w:val="000000"/>
                <w:sz w:val="24"/>
              </w:rPr>
            </w:pPr>
            <w:bookmarkStart w:id="21" w:name="_Hlk49267385"/>
            <w:r>
              <w:rPr>
                <w:rFonts w:hint="eastAsia" w:ascii="宋体" w:hAnsi="宋体"/>
                <w:b/>
                <w:color w:val="000000"/>
                <w:sz w:val="24"/>
              </w:rPr>
              <w:t>返回检验乘数因子</w:t>
            </w:r>
          </w:p>
          <w:bookmarkEnd w:id="21"/>
          <w:p>
            <w:pPr>
              <w:spacing w:line="360" w:lineRule="exact"/>
              <w:jc w:val="center"/>
              <w:rPr>
                <w:rFonts w:ascii="宋体" w:hAnsi="宋体"/>
                <w:b/>
                <w:color w:val="000000"/>
                <w:sz w:val="24"/>
              </w:rPr>
            </w:pPr>
            <w:r>
              <w:rPr>
                <w:rFonts w:hint="eastAsia" w:ascii="宋体" w:hAnsi="宋体"/>
                <w:b/>
                <w:color w:val="000000"/>
                <w:sz w:val="24"/>
              </w:rPr>
              <w:t>（固定因子1.5+返回检验附加因子0-0.5）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olor w:val="000000"/>
                <w:sz w:val="24"/>
              </w:rPr>
            </w:pPr>
            <w:r>
              <w:rPr>
                <w:rFonts w:hint="eastAsia" w:ascii="宋体" w:hAnsi="宋体"/>
                <w:color w:val="000000"/>
                <w:sz w:val="24"/>
              </w:rPr>
              <w:t>绿区</w:t>
            </w:r>
          </w:p>
        </w:tc>
        <w:tc>
          <w:tcPr>
            <w:tcW w:w="486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olor w:val="000000"/>
                <w:sz w:val="24"/>
              </w:rPr>
            </w:pPr>
            <w:r>
              <w:rPr>
                <w:rFonts w:hint="eastAsia" w:ascii="宋体" w:hAnsi="宋体"/>
                <w:color w:val="000000"/>
                <w:sz w:val="24"/>
              </w:rPr>
              <w:t>少于5次</w:t>
            </w:r>
          </w:p>
        </w:tc>
        <w:tc>
          <w:tcPr>
            <w:tcW w:w="26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olor w:val="000000"/>
                <w:sz w:val="24"/>
              </w:rPr>
            </w:pPr>
            <w:r>
              <w:rPr>
                <w:rFonts w:hint="eastAsia" w:ascii="宋体" w:hAnsi="宋体"/>
                <w:color w:val="000000"/>
                <w:sz w:val="24"/>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olor w:val="000000"/>
                <w:sz w:val="24"/>
              </w:rPr>
            </w:pPr>
            <w:r>
              <w:rPr>
                <w:rFonts w:hint="eastAsia" w:ascii="宋体" w:hAnsi="宋体"/>
                <w:color w:val="000000"/>
                <w:sz w:val="24"/>
              </w:rPr>
              <w:t>黄区</w:t>
            </w:r>
          </w:p>
        </w:tc>
        <w:tc>
          <w:tcPr>
            <w:tcW w:w="486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olor w:val="000000"/>
                <w:sz w:val="24"/>
              </w:rPr>
            </w:pPr>
            <w:r>
              <w:rPr>
                <w:rFonts w:hint="eastAsia" w:ascii="宋体" w:hAnsi="宋体"/>
                <w:color w:val="000000"/>
                <w:sz w:val="24"/>
              </w:rPr>
              <w:t>5次</w:t>
            </w:r>
          </w:p>
        </w:tc>
        <w:tc>
          <w:tcPr>
            <w:tcW w:w="26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olor w:val="000000"/>
                <w:sz w:val="24"/>
              </w:rPr>
            </w:pPr>
          </w:p>
        </w:tc>
        <w:tc>
          <w:tcPr>
            <w:tcW w:w="486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olor w:val="000000"/>
                <w:sz w:val="24"/>
              </w:rPr>
            </w:pPr>
            <w:r>
              <w:rPr>
                <w:rFonts w:hint="eastAsia" w:ascii="宋体" w:hAnsi="宋体"/>
                <w:color w:val="000000"/>
                <w:sz w:val="24"/>
              </w:rPr>
              <w:t>6次</w:t>
            </w:r>
          </w:p>
        </w:tc>
        <w:tc>
          <w:tcPr>
            <w:tcW w:w="26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olor w:val="000000"/>
                <w:sz w:val="24"/>
              </w:rPr>
            </w:pPr>
            <w:r>
              <w:rPr>
                <w:rFonts w:hint="eastAsia" w:ascii="宋体" w:hAnsi="宋体"/>
                <w:color w:val="000000"/>
                <w:sz w:val="24"/>
              </w:rPr>
              <w:t>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olor w:val="000000"/>
                <w:sz w:val="24"/>
              </w:rPr>
            </w:pPr>
          </w:p>
        </w:tc>
        <w:tc>
          <w:tcPr>
            <w:tcW w:w="486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olor w:val="000000"/>
                <w:sz w:val="24"/>
              </w:rPr>
            </w:pPr>
            <w:r>
              <w:rPr>
                <w:rFonts w:hint="eastAsia" w:ascii="宋体" w:hAnsi="宋体"/>
                <w:color w:val="000000"/>
                <w:sz w:val="24"/>
              </w:rPr>
              <w:t>7次</w:t>
            </w:r>
          </w:p>
        </w:tc>
        <w:tc>
          <w:tcPr>
            <w:tcW w:w="26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olor w:val="000000"/>
                <w:sz w:val="24"/>
              </w:rPr>
            </w:pPr>
            <w:r>
              <w:rPr>
                <w:rFonts w:hint="eastAsia" w:ascii="宋体" w:hAnsi="宋体"/>
                <w:color w:val="000000"/>
                <w:sz w:val="24"/>
              </w:rPr>
              <w:t>1.83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olor w:val="000000"/>
                <w:sz w:val="24"/>
              </w:rPr>
            </w:pPr>
          </w:p>
        </w:tc>
        <w:tc>
          <w:tcPr>
            <w:tcW w:w="486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olor w:val="000000"/>
                <w:sz w:val="24"/>
              </w:rPr>
            </w:pPr>
            <w:r>
              <w:rPr>
                <w:rFonts w:hint="eastAsia" w:ascii="宋体" w:hAnsi="宋体"/>
                <w:color w:val="000000"/>
                <w:sz w:val="24"/>
              </w:rPr>
              <w:t>8次</w:t>
            </w:r>
          </w:p>
        </w:tc>
        <w:tc>
          <w:tcPr>
            <w:tcW w:w="26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olor w:val="000000"/>
                <w:sz w:val="24"/>
              </w:rPr>
            </w:pPr>
            <w:r>
              <w:rPr>
                <w:rFonts w:hint="eastAsia" w:ascii="宋体" w:hAnsi="宋体"/>
                <w:color w:val="000000"/>
                <w:sz w:val="24"/>
              </w:rPr>
              <w:t>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olor w:val="000000"/>
                <w:sz w:val="24"/>
              </w:rPr>
            </w:pPr>
          </w:p>
        </w:tc>
        <w:tc>
          <w:tcPr>
            <w:tcW w:w="486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olor w:val="000000"/>
                <w:sz w:val="24"/>
              </w:rPr>
            </w:pPr>
            <w:r>
              <w:rPr>
                <w:rFonts w:hint="eastAsia" w:ascii="宋体" w:hAnsi="宋体"/>
                <w:color w:val="000000"/>
                <w:sz w:val="24"/>
              </w:rPr>
              <w:t>9次</w:t>
            </w:r>
          </w:p>
        </w:tc>
        <w:tc>
          <w:tcPr>
            <w:tcW w:w="26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olor w:val="000000"/>
                <w:sz w:val="24"/>
              </w:rPr>
            </w:pPr>
            <w:r>
              <w:rPr>
                <w:rFonts w:hint="eastAsia" w:ascii="宋体" w:hAnsi="宋体"/>
                <w:color w:val="000000"/>
                <w:sz w:val="24"/>
              </w:rPr>
              <w:t>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olor w:val="000000"/>
                <w:sz w:val="24"/>
              </w:rPr>
            </w:pPr>
            <w:r>
              <w:rPr>
                <w:rFonts w:hint="eastAsia" w:ascii="宋体" w:hAnsi="宋体"/>
                <w:color w:val="000000"/>
                <w:sz w:val="24"/>
              </w:rPr>
              <w:t>红区</w:t>
            </w:r>
          </w:p>
        </w:tc>
        <w:tc>
          <w:tcPr>
            <w:tcW w:w="486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olor w:val="000000"/>
                <w:sz w:val="24"/>
              </w:rPr>
            </w:pPr>
            <w:r>
              <w:rPr>
                <w:rFonts w:hint="eastAsia" w:ascii="宋体" w:hAnsi="宋体"/>
                <w:color w:val="000000"/>
                <w:sz w:val="24"/>
              </w:rPr>
              <w:t>10次或以上</w:t>
            </w:r>
          </w:p>
        </w:tc>
        <w:tc>
          <w:tcPr>
            <w:tcW w:w="266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olor w:val="000000"/>
                <w:sz w:val="24"/>
              </w:rPr>
            </w:pPr>
            <w:r>
              <w:rPr>
                <w:rFonts w:hint="eastAsia" w:ascii="宋体" w:hAnsi="宋体"/>
                <w:color w:val="000000"/>
                <w:sz w:val="24"/>
              </w:rPr>
              <w:t>2.00</w:t>
            </w:r>
          </w:p>
        </w:tc>
      </w:tr>
    </w:tbl>
    <w:p>
      <w:pPr>
        <w:pStyle w:val="3"/>
      </w:pPr>
      <w:bookmarkStart w:id="22" w:name="_Hlk48836047"/>
      <w:r>
        <w:rPr>
          <w:rFonts w:hint="eastAsia"/>
        </w:rPr>
        <w:t>十、损益归因测试要求</w:t>
      </w:r>
    </w:p>
    <w:bookmarkEnd w:id="22"/>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商业银行应比较交易台每日的假设损益数据与风险理论损益数据，进行损益归因测试，根据最近250个交易日测试结果确定市场风险资本计算的资本附加，并按季度将损益归因测试结果及资本附加调整情况报告国家金融监督管理总局或其派出机构。</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（二）内部模型的损益归因测试应至少满足以下要求：</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kern w:val="0"/>
          <w:sz w:val="30"/>
          <w:szCs w:val="30"/>
        </w:rPr>
        <w:t>1.</w:t>
      </w:r>
      <w:r>
        <w:rPr>
          <w:rFonts w:hint="eastAsia" w:ascii="仿宋_GB2312" w:eastAsia="仿宋_GB2312"/>
          <w:color w:val="000000"/>
          <w:sz w:val="30"/>
          <w:szCs w:val="30"/>
        </w:rPr>
        <w:t>商业银行应基于最近250个交易日的每日风险理论损益与假设损益数据构成的时间序列，来计算交易台的相关性指标（Spearman）和KS检验指标。</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kern w:val="0"/>
          <w:sz w:val="30"/>
          <w:szCs w:val="30"/>
        </w:rPr>
        <w:t>2.</w:t>
      </w:r>
      <w:r>
        <w:rPr>
          <w:rFonts w:hint="eastAsia" w:ascii="仿宋_GB2312" w:eastAsia="仿宋_GB2312"/>
          <w:color w:val="000000"/>
          <w:sz w:val="30"/>
          <w:szCs w:val="30"/>
        </w:rPr>
        <w:t>相关性指标的计算公式为：</w:t>
      </w:r>
    </w:p>
    <w:p>
      <w:pPr>
        <w:jc w:val="center"/>
        <w:rPr>
          <w:rFonts w:ascii="仿宋_GB2312" w:eastAsia="仿宋_GB2312"/>
          <w:color w:val="000000"/>
          <w:sz w:val="30"/>
          <w:szCs w:val="30"/>
        </w:rPr>
      </w:pPr>
      <w:r>
        <w:rPr>
          <w:position w:val="-34"/>
          <w:sz w:val="30"/>
          <w:szCs w:val="30"/>
        </w:rPr>
        <w:object>
          <v:shape id="_x0000_i1064" o:spt="75" type="#_x0000_t75" style="height:36pt;width:102pt;" o:ole="t" filled="f" o:preferrelative="t" stroked="f" coordsize="21600,21600">
            <v:path/>
            <v:fill on="f" focussize="0,0"/>
            <v:stroke on="f" joinstyle="miter"/>
            <v:imagedata r:id="rId82" o:title=""/>
            <o:lock v:ext="edit" aspectratio="t"/>
            <w10:wrap type="none"/>
            <w10:anchorlock/>
          </v:shape>
          <o:OLEObject Type="Embed" ProgID="Equation.DSMT4" ShapeID="_x0000_i1064" DrawAspect="Content" ObjectID="_1468075764" r:id="rId81">
            <o:LockedField>false</o:LockedField>
          </o:OLEObject>
        </w:objec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其中：</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w:t>
      </w:r>
      <w:r>
        <w:rPr>
          <w:rFonts w:ascii="仿宋_GB2312" w:eastAsia="仿宋_GB2312"/>
          <w:color w:val="000000"/>
          <w:sz w:val="30"/>
          <w:szCs w:val="30"/>
        </w:rPr>
        <w:object>
          <v:shape id="_x0000_i1065" o:spt="75" type="#_x0000_t75" style="height:20pt;width:32pt;" o:ole="t" filled="f" o:preferrelative="t" stroked="f" coordsize="21600,21600">
            <v:path/>
            <v:fill on="f" focussize="0,0"/>
            <v:stroke on="f" joinstyle="miter"/>
            <v:imagedata r:id="rId84" o:title=""/>
            <o:lock v:ext="edit" aspectratio="t"/>
            <w10:wrap type="none"/>
            <w10:anchorlock/>
          </v:shape>
          <o:OLEObject Type="Embed" ProgID="Equation.DSMT4" ShapeID="_x0000_i1065" DrawAspect="Content" ObjectID="_1468075765" r:id="rId83">
            <o:LockedField>false</o:LockedField>
          </o:OLEObject>
        </w:object>
      </w:r>
      <w:r>
        <w:rPr>
          <w:rFonts w:hint="eastAsia" w:ascii="仿宋_GB2312" w:eastAsia="仿宋_GB2312"/>
          <w:color w:val="000000"/>
          <w:sz w:val="30"/>
          <w:szCs w:val="30"/>
        </w:rPr>
        <w:t>为基于假设损益大小生成相应的时间序列。</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w:t>
      </w:r>
      <w:r>
        <w:rPr>
          <w:rFonts w:ascii="仿宋_GB2312" w:eastAsia="仿宋_GB2312"/>
          <w:color w:val="000000"/>
          <w:sz w:val="30"/>
          <w:szCs w:val="30"/>
        </w:rPr>
        <w:object>
          <v:shape id="_x0000_i1066" o:spt="75" type="#_x0000_t75" style="height:20pt;width:36pt;" o:ole="t" filled="f" o:preferrelative="t" stroked="f" coordsize="21600,21600">
            <v:path/>
            <v:fill on="f" focussize="0,0"/>
            <v:stroke on="f" joinstyle="miter"/>
            <v:imagedata r:id="rId86" o:title=""/>
            <o:lock v:ext="edit" aspectratio="t"/>
            <w10:wrap type="none"/>
            <w10:anchorlock/>
          </v:shape>
          <o:OLEObject Type="Embed" ProgID="Equation.DSMT4" ShapeID="_x0000_i1066" DrawAspect="Content" ObjectID="_1468075766" r:id="rId85">
            <o:LockedField>false</o:LockedField>
          </o:OLEObject>
        </w:object>
      </w:r>
      <w:r>
        <w:rPr>
          <w:rFonts w:hint="eastAsia" w:ascii="仿宋_GB2312" w:eastAsia="仿宋_GB2312"/>
          <w:color w:val="000000"/>
          <w:sz w:val="30"/>
          <w:szCs w:val="30"/>
        </w:rPr>
        <w:t>为基于风险理论损益大小生成相应的时间序列。</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w:t>
      </w:r>
      <w:r>
        <w:rPr>
          <w:rFonts w:ascii="仿宋_GB2312" w:eastAsia="仿宋_GB2312"/>
          <w:color w:val="000000"/>
          <w:sz w:val="30"/>
          <w:szCs w:val="30"/>
        </w:rPr>
        <w:object>
          <v:shape id="_x0000_i1067" o:spt="75" type="#_x0000_t75" style="height:23.35pt;width:35.35pt;" o:ole="t" filled="f" o:preferrelative="t" stroked="f" coordsize="21600,21600">
            <v:path/>
            <v:fill on="f" focussize="0,0"/>
            <v:stroke on="f" joinstyle="miter"/>
            <v:imagedata r:id="rId88" o:title=""/>
            <o:lock v:ext="edit" aspectratio="t"/>
            <w10:wrap type="none"/>
            <w10:anchorlock/>
          </v:shape>
          <o:OLEObject Type="Embed" ProgID="Equation.DSMT4" ShapeID="_x0000_i1067" DrawAspect="Content" ObjectID="_1468075767" r:id="rId87">
            <o:LockedField>false</o:LockedField>
          </o:OLEObject>
        </w:object>
      </w:r>
      <w:r>
        <w:rPr>
          <w:rFonts w:hint="eastAsia" w:ascii="仿宋_GB2312" w:eastAsia="仿宋_GB2312"/>
          <w:color w:val="000000"/>
          <w:sz w:val="30"/>
          <w:szCs w:val="30"/>
        </w:rPr>
        <w:t>和</w:t>
      </w:r>
      <w:r>
        <w:rPr>
          <w:rFonts w:ascii="仿宋_GB2312" w:eastAsia="仿宋_GB2312"/>
          <w:color w:val="000000"/>
          <w:sz w:val="30"/>
          <w:szCs w:val="30"/>
        </w:rPr>
        <w:object>
          <v:shape id="_x0000_i1068" o:spt="75" type="#_x0000_t75" style="height:23.35pt;width:38.65pt;" o:ole="t" filled="f" o:preferrelative="t" stroked="f" coordsize="21600,21600">
            <v:path/>
            <v:fill on="f" focussize="0,0"/>
            <v:stroke on="f" joinstyle="miter"/>
            <v:imagedata r:id="rId90" o:title=""/>
            <o:lock v:ext="edit" aspectratio="t"/>
            <w10:wrap type="none"/>
            <w10:anchorlock/>
          </v:shape>
          <o:OLEObject Type="Embed" ProgID="Equation.DSMT4" ShapeID="_x0000_i1068" DrawAspect="Content" ObjectID="_1468075768" r:id="rId89">
            <o:LockedField>false</o:LockedField>
          </o:OLEObject>
        </w:object>
      </w:r>
      <w:r>
        <w:rPr>
          <w:rFonts w:hint="eastAsia" w:ascii="仿宋_GB2312" w:eastAsia="仿宋_GB2312"/>
          <w:color w:val="000000"/>
          <w:sz w:val="30"/>
          <w:szCs w:val="30"/>
        </w:rPr>
        <w:t>是</w:t>
      </w:r>
      <w:r>
        <w:rPr>
          <w:rFonts w:ascii="仿宋_GB2312" w:eastAsia="仿宋_GB2312"/>
          <w:color w:val="000000"/>
          <w:sz w:val="30"/>
          <w:szCs w:val="30"/>
        </w:rPr>
        <w:object>
          <v:shape id="_x0000_i1069" o:spt="75" type="#_x0000_t75" style="height:20pt;width:32pt;" o:ole="t" filled="f" o:preferrelative="t" stroked="f" coordsize="21600,21600">
            <v:path/>
            <v:fill on="f" focussize="0,0"/>
            <v:stroke on="f" joinstyle="miter"/>
            <v:imagedata r:id="rId92" o:title=""/>
            <o:lock v:ext="edit" aspectratio="t"/>
            <w10:wrap type="none"/>
            <w10:anchorlock/>
          </v:shape>
          <o:OLEObject Type="Embed" ProgID="Equation.DSMT4" ShapeID="_x0000_i1069" DrawAspect="Content" ObjectID="_1468075769" r:id="rId91">
            <o:LockedField>false</o:LockedField>
          </o:OLEObject>
        </w:object>
      </w:r>
      <w:r>
        <w:rPr>
          <w:rFonts w:hint="eastAsia" w:ascii="仿宋_GB2312" w:eastAsia="仿宋_GB2312"/>
          <w:color w:val="000000"/>
          <w:sz w:val="30"/>
          <w:szCs w:val="30"/>
        </w:rPr>
        <w:t>和</w:t>
      </w:r>
      <w:r>
        <w:rPr>
          <w:rFonts w:ascii="仿宋_GB2312" w:eastAsia="仿宋_GB2312"/>
          <w:color w:val="000000"/>
          <w:sz w:val="30"/>
          <w:szCs w:val="30"/>
        </w:rPr>
        <w:object>
          <v:shape id="_x0000_i1070" o:spt="75" type="#_x0000_t75" style="height:20pt;width:36pt;" o:ole="t" filled="f" o:preferrelative="t" stroked="f" coordsize="21600,21600">
            <v:path/>
            <v:fill on="f" focussize="0,0"/>
            <v:stroke on="f" joinstyle="miter"/>
            <v:imagedata r:id="rId94" o:title=""/>
            <o:lock v:ext="edit" aspectratio="t"/>
            <w10:wrap type="none"/>
            <w10:anchorlock/>
          </v:shape>
          <o:OLEObject Type="Embed" ProgID="Equation.DSMT4" ShapeID="_x0000_i1070" DrawAspect="Content" ObjectID="_1468075770" r:id="rId93">
            <o:LockedField>false</o:LockedField>
          </o:OLEObject>
        </w:object>
      </w:r>
      <w:r>
        <w:rPr>
          <w:rFonts w:hint="eastAsia" w:ascii="仿宋_GB2312" w:eastAsia="仿宋_GB2312"/>
          <w:color w:val="000000"/>
          <w:sz w:val="30"/>
          <w:szCs w:val="30"/>
        </w:rPr>
        <w:t>的标准差。</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3.KS指标的计算公式为风险理论损益的经验累积分布函数值和假设损益的经验累积分布函数值的两者之差绝对值中的最大值。</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损益的经验累积分布函数值为0.004和小于等于给定损益的观测值数量的乘积。</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商业银行向国家金融监督管理总局或其派出机构申请实施内部模型法时，应建立损益归因测试流程，并积累至少250个交易日的损益归因测试结果数据，国家金融监督管理总局或其派出机构可要求商业银行提供在此日期之前的损益归因结果数据。</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（三）商业银行应建立损益归因测试的文档管理和报告制度。</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1.商业银行应对损益归因测试过程及结果建立完整的书面文档记录，以供内部管理、外部审计和国家金融监督管理总局或其派出机构查阅使用。</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2.商业银行正式实施市场风险内部模型法后，应每季度将最近250个交易日的损益归因测试结果报告提交国家金融监督管理总局或其派出机构。</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（四）按照交易台最近250个交易日相关性指标和KS检验指标的计量结果，其结果可分为绿区、黄区和红区三个区域。</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1.绿区，应同时满足相关性指标大于0.8和KS检验指标值小于0.09(p-value=0.264)两个条件。</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红区，应满足相关性指标小于0.7或满足KS检验指标值大于0.12(p-value=0.055)。若交易台损益归因测试结果为红区，则应使用标准法计量资本要求，并及时向国家金融监督管理总局或其派出机构报告。若连续6个月损益归因测试结果为绿区，期间每日交易台层面最近250个交易日返回检验突破次数不超过4次，且下个月末交易台符合内部模型法使用条件，则应恢复采用内部模型法，并向国家金融监督管理总局或其派出机构报告。</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黄区，若既没有归入绿色区域也没有落入红色区域，则归入黄区。若交易台损益归因测试结果为黄区，则应进行资本附加处理，直到交易台损益归因测试结果为绿区，且交易台在最近250个交易日内满足返回检验对于突破值的要求。</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（五）资本附加计算公式如下： </w:t>
      </w:r>
    </w:p>
    <w:p>
      <w:pPr>
        <w:spacing w:line="480" w:lineRule="exact"/>
        <w:ind w:firstLine="900" w:firstLineChars="300"/>
        <w:rPr>
          <w:rFonts w:ascii="仿宋_GB2312" w:eastAsia="仿宋_GB2312"/>
          <w:i/>
          <w:color w:val="000000"/>
          <w:sz w:val="30"/>
          <w:szCs w:val="30"/>
        </w:rPr>
      </w:pPr>
      <m:oMathPara>
        <m:oMathParaPr>
          <m:jc m:val="center"/>
        </m:oMathParaPr>
        <m:oMath>
          <m:r>
            <m:rPr>
              <m:sty m:val="p"/>
            </m:rPr>
            <w:rPr>
              <w:rFonts w:hint="eastAsia" w:ascii="DejaVu Math TeX Gyre" w:hAnsi="DejaVu Math TeX Gyre" w:eastAsia="仿宋_GB2312"/>
              <w:color w:val="000000"/>
              <w:sz w:val="30"/>
              <w:szCs w:val="30"/>
            </w:rPr>
            <m:t>资本附加</m:t>
          </m:r>
          <m:r>
            <m:rPr/>
            <w:rPr>
              <w:rFonts w:hint="eastAsia" w:ascii="DejaVu Math TeX Gyre" w:hAnsi="DejaVu Math TeX Gyre" w:eastAsia="仿宋_GB2312"/>
              <w:color w:val="000000"/>
              <w:sz w:val="30"/>
              <w:szCs w:val="30"/>
            </w:rPr>
            <m:t>=k</m:t>
          </m:r>
          <m:r>
            <m:rPr/>
            <w:rPr>
              <w:rFonts w:ascii="DejaVu Math TeX Gyre" w:hAnsi="DejaVu Math TeX Gyre" w:eastAsia="仿宋_GB2312"/>
              <w:color w:val="000000"/>
              <w:sz w:val="30"/>
              <w:szCs w:val="30"/>
            </w:rPr>
            <m:t>×max⁡(0,</m:t>
          </m:r>
          <m:sSub>
            <m:sSubPr>
              <m:ctrlPr>
                <w:rPr>
                  <w:rFonts w:ascii="DejaVu Math TeX Gyre" w:hAnsi="DejaVu Math TeX Gyre" w:eastAsia="仿宋_GB2312"/>
                  <w:i/>
                  <w:color w:val="000000"/>
                  <w:sz w:val="30"/>
                  <w:szCs w:val="30"/>
                </w:rPr>
              </m:ctrlPr>
            </m:sSubPr>
            <m:e>
              <m:r>
                <m:rPr/>
                <w:rPr>
                  <w:rFonts w:ascii="DejaVu Math TeX Gyre" w:hAnsi="DejaVu Math TeX Gyre" w:eastAsia="仿宋_GB2312"/>
                  <w:color w:val="000000"/>
                  <w:sz w:val="30"/>
                  <w:szCs w:val="30"/>
                </w:rPr>
                <m:t>SA</m:t>
              </m:r>
              <m:ctrlPr>
                <w:rPr>
                  <w:rFonts w:ascii="DejaVu Math TeX Gyre" w:hAnsi="DejaVu Math TeX Gyre" w:eastAsia="仿宋_GB2312"/>
                  <w:i/>
                  <w:color w:val="000000"/>
                  <w:sz w:val="30"/>
                  <w:szCs w:val="30"/>
                </w:rPr>
              </m:ctrlPr>
            </m:e>
            <m:sub>
              <m:r>
                <m:rPr/>
                <w:rPr>
                  <w:rFonts w:ascii="DejaVu Math TeX Gyre" w:hAnsi="DejaVu Math TeX Gyre" w:eastAsia="仿宋_GB2312"/>
                  <w:color w:val="000000"/>
                  <w:sz w:val="30"/>
                  <w:szCs w:val="30"/>
                </w:rPr>
                <m:t>G,A</m:t>
              </m:r>
              <m:ctrlPr>
                <w:rPr>
                  <w:rFonts w:ascii="DejaVu Math TeX Gyre" w:hAnsi="DejaVu Math TeX Gyre" w:eastAsia="仿宋_GB2312"/>
                  <w:i/>
                  <w:color w:val="000000"/>
                  <w:sz w:val="30"/>
                  <w:szCs w:val="30"/>
                </w:rPr>
              </m:ctrlPr>
            </m:sub>
          </m:sSub>
          <m:r>
            <m:rPr/>
            <w:rPr>
              <w:rFonts w:ascii="DejaVu Math TeX Gyre" w:hAnsi="DejaVu Math TeX Gyre" w:eastAsia="仿宋_GB2312"/>
              <w:color w:val="000000"/>
              <w:sz w:val="30"/>
              <w:szCs w:val="30"/>
            </w:rPr>
            <m:t>−</m:t>
          </m:r>
          <m:sSub>
            <m:sSubPr>
              <m:ctrlPr>
                <w:rPr>
                  <w:rFonts w:ascii="DejaVu Math TeX Gyre" w:hAnsi="DejaVu Math TeX Gyre" w:eastAsia="仿宋_GB2312"/>
                  <w:i/>
                  <w:color w:val="000000"/>
                  <w:sz w:val="30"/>
                  <w:szCs w:val="30"/>
                </w:rPr>
              </m:ctrlPr>
            </m:sSubPr>
            <m:e>
              <m:r>
                <m:rPr/>
                <w:rPr>
                  <w:rFonts w:ascii="DejaVu Math TeX Gyre" w:hAnsi="DejaVu Math TeX Gyre" w:eastAsia="仿宋_GB2312"/>
                  <w:color w:val="000000"/>
                  <w:sz w:val="30"/>
                  <w:szCs w:val="30"/>
                </w:rPr>
                <m:t>IMA</m:t>
              </m:r>
              <m:ctrlPr>
                <w:rPr>
                  <w:rFonts w:ascii="DejaVu Math TeX Gyre" w:hAnsi="DejaVu Math TeX Gyre" w:eastAsia="仿宋_GB2312"/>
                  <w:i/>
                  <w:color w:val="000000"/>
                  <w:sz w:val="30"/>
                  <w:szCs w:val="30"/>
                </w:rPr>
              </m:ctrlPr>
            </m:e>
            <m:sub>
              <m:r>
                <m:rPr/>
                <w:rPr>
                  <w:rFonts w:ascii="DejaVu Math TeX Gyre" w:hAnsi="DejaVu Math TeX Gyre" w:eastAsia="仿宋_GB2312"/>
                  <w:color w:val="000000"/>
                  <w:sz w:val="30"/>
                  <w:szCs w:val="30"/>
                </w:rPr>
                <m:t>G,A</m:t>
              </m:r>
              <m:ctrlPr>
                <w:rPr>
                  <w:rFonts w:ascii="DejaVu Math TeX Gyre" w:hAnsi="DejaVu Math TeX Gyre" w:eastAsia="仿宋_GB2312"/>
                  <w:i/>
                  <w:color w:val="000000"/>
                  <w:sz w:val="30"/>
                  <w:szCs w:val="30"/>
                </w:rPr>
              </m:ctrlPr>
            </m:sub>
          </m:sSub>
          <m:r>
            <m:rPr/>
            <w:rPr>
              <w:rFonts w:ascii="DejaVu Math TeX Gyre" w:hAnsi="DejaVu Math TeX Gyre" w:eastAsia="仿宋_GB2312"/>
              <w:color w:val="000000"/>
              <w:sz w:val="30"/>
              <w:szCs w:val="30"/>
            </w:rPr>
            <m:t>)</m:t>
          </m:r>
        </m:oMath>
      </m:oMathPara>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其中：</w:t>
      </w:r>
    </w:p>
    <w:p>
      <w:pPr>
        <w:ind w:firstLine="600" w:firstLineChars="200"/>
        <w:rPr>
          <w:rFonts w:ascii="仿宋_GB2312" w:eastAsia="仿宋_GB2312"/>
          <w:color w:val="000000"/>
          <w:sz w:val="30"/>
          <w:szCs w:val="30"/>
        </w:rPr>
      </w:pPr>
      <w:r>
        <w:rPr>
          <w:rFonts w:ascii="仿宋_GB2312" w:eastAsia="仿宋_GB2312"/>
          <w:color w:val="000000"/>
          <w:sz w:val="30"/>
          <w:szCs w:val="30"/>
        </w:rPr>
        <w:t>1</w:t>
      </w:r>
      <w:r>
        <w:rPr>
          <w:rFonts w:hint="eastAsia" w:ascii="仿宋_GB2312" w:eastAsia="仿宋_GB2312"/>
          <w:color w:val="000000"/>
          <w:sz w:val="30"/>
          <w:szCs w:val="30"/>
        </w:rPr>
        <w:t>.</w:t>
      </w:r>
      <w:r>
        <w:rPr>
          <w:rFonts w:ascii="仿宋_GB2312" w:eastAsia="仿宋_GB2312"/>
          <w:color w:val="000000"/>
          <w:sz w:val="30"/>
          <w:szCs w:val="30"/>
        </w:rPr>
        <w:object>
          <v:shape id="_x0000_i1071" o:spt="75" type="#_x0000_t75" style="height:41.35pt;width:104.65pt;" o:ole="t" filled="f" o:preferrelative="t" stroked="f" coordsize="21600,21600">
            <v:path/>
            <v:fill on="f" focussize="0,0"/>
            <v:stroke on="f" joinstyle="miter"/>
            <v:imagedata r:id="rId96" o:title=""/>
            <o:lock v:ext="edit" aspectratio="t"/>
            <w10:wrap type="none"/>
            <w10:anchorlock/>
          </v:shape>
          <o:OLEObject Type="Embed" ProgID="Equation.DSMT4" ShapeID="_x0000_i1071" DrawAspect="Content" ObjectID="_1468075771" r:id="rId95">
            <o:LockedField>false</o:LockedField>
          </o:OLEObject>
        </w:object>
      </w:r>
      <w:r>
        <w:rPr>
          <w:rFonts w:ascii="仿宋_GB2312" w:eastAsia="仿宋_GB2312"/>
          <w:color w:val="000000"/>
          <w:sz w:val="30"/>
          <w:szCs w:val="30"/>
        </w:rPr>
        <w:t xml:space="preserve"> </w:t>
      </w:r>
    </w:p>
    <w:p>
      <w:pPr>
        <w:spacing w:line="480" w:lineRule="exact"/>
        <w:ind w:firstLine="600" w:firstLineChars="200"/>
        <w:rPr>
          <w:rFonts w:ascii="仿宋_GB2312" w:eastAsia="仿宋_GB2312"/>
          <w:color w:val="000000"/>
          <w:sz w:val="30"/>
          <w:szCs w:val="30"/>
        </w:rPr>
      </w:pPr>
      <w:r>
        <w:rPr>
          <w:rFonts w:ascii="仿宋_GB2312" w:eastAsia="仿宋_GB2312"/>
          <w:color w:val="000000"/>
          <w:sz w:val="30"/>
          <w:szCs w:val="30"/>
        </w:rPr>
        <w:t>2</w:t>
      </w:r>
      <w:r>
        <w:rPr>
          <w:rFonts w:hint="eastAsia" w:ascii="仿宋_GB2312" w:eastAsia="仿宋_GB2312"/>
          <w:color w:val="000000"/>
          <w:sz w:val="30"/>
          <w:szCs w:val="30"/>
        </w:rPr>
        <w:t>.</w:t>
      </w:r>
      <m:oMath>
        <m:sSub>
          <m:sSubPr>
            <m:ctrlPr>
              <w:rPr>
                <w:rFonts w:ascii="DejaVu Math TeX Gyre" w:hAnsi="DejaVu Math TeX Gyre" w:eastAsia="仿宋_GB2312"/>
                <w:color w:val="000000"/>
                <w:sz w:val="30"/>
                <w:szCs w:val="30"/>
              </w:rPr>
            </m:ctrlPr>
          </m:sSubPr>
          <m:e>
            <m:r>
              <m:rPr/>
              <w:rPr>
                <w:rFonts w:ascii="DejaVu Math TeX Gyre" w:hAnsi="DejaVu Math TeX Gyre" w:eastAsia="仿宋_GB2312"/>
                <w:color w:val="000000"/>
                <w:sz w:val="30"/>
                <w:szCs w:val="30"/>
              </w:rPr>
              <m:t>SA</m:t>
            </m:r>
            <m:ctrlPr>
              <w:rPr>
                <w:rFonts w:ascii="DejaVu Math TeX Gyre" w:hAnsi="DejaVu Math TeX Gyre" w:eastAsia="仿宋_GB2312"/>
                <w:color w:val="000000"/>
                <w:sz w:val="30"/>
                <w:szCs w:val="30"/>
              </w:rPr>
            </m:ctrlPr>
          </m:e>
          <m:sub>
            <m:r>
              <m:rPr/>
              <w:rPr>
                <w:rFonts w:ascii="DejaVu Math TeX Gyre" w:hAnsi="DejaVu Math TeX Gyre" w:eastAsia="仿宋_GB2312"/>
                <w:color w:val="000000"/>
                <w:sz w:val="30"/>
                <w:szCs w:val="30"/>
              </w:rPr>
              <m:t>i</m:t>
            </m:r>
            <m:ctrlPr>
              <w:rPr>
                <w:rFonts w:ascii="DejaVu Math TeX Gyre" w:hAnsi="DejaVu Math TeX Gyre" w:eastAsia="仿宋_GB2312"/>
                <w:color w:val="000000"/>
                <w:sz w:val="30"/>
                <w:szCs w:val="30"/>
              </w:rPr>
            </m:ctrlPr>
          </m:sub>
        </m:sSub>
      </m:oMath>
      <w:r>
        <w:rPr>
          <w:rFonts w:hint="eastAsia" w:ascii="仿宋_GB2312" w:eastAsia="仿宋_GB2312"/>
          <w:color w:val="000000"/>
          <w:sz w:val="30"/>
          <w:szCs w:val="30"/>
        </w:rPr>
        <w:t>为交易台i所有头寸按标准法计算的资本要求。</w:t>
      </w:r>
    </w:p>
    <w:p>
      <w:pPr>
        <w:spacing w:line="480" w:lineRule="exact"/>
        <w:ind w:firstLine="600" w:firstLineChars="200"/>
        <w:rPr>
          <w:rFonts w:ascii="仿宋_GB2312" w:eastAsia="仿宋_GB2312"/>
          <w:color w:val="000000"/>
          <w:sz w:val="30"/>
          <w:szCs w:val="30"/>
        </w:rPr>
      </w:pPr>
      <w:r>
        <w:rPr>
          <w:rFonts w:ascii="仿宋_GB2312" w:eastAsia="仿宋_GB2312"/>
          <w:color w:val="000000"/>
          <w:sz w:val="30"/>
          <w:szCs w:val="30"/>
        </w:rPr>
        <w:t>3</w:t>
      </w:r>
      <w:r>
        <w:rPr>
          <w:rFonts w:hint="eastAsia" w:ascii="仿宋_GB2312" w:eastAsia="仿宋_GB2312"/>
          <w:color w:val="000000"/>
          <w:sz w:val="30"/>
          <w:szCs w:val="30"/>
        </w:rPr>
        <w:t>.</w:t>
      </w:r>
      <m:oMath>
        <m:r>
          <m:rPr/>
          <w:rPr>
            <w:rFonts w:ascii="DejaVu Math TeX Gyre" w:hAnsi="DejaVu Math TeX Gyre" w:eastAsia="仿宋_GB2312"/>
            <w:color w:val="000000"/>
            <w:sz w:val="30"/>
            <w:szCs w:val="30"/>
          </w:rPr>
          <m:t>i</m:t>
        </m:r>
        <m:r>
          <m:rPr/>
          <w:rPr>
            <w:rFonts w:hint="eastAsia" w:ascii="DejaVu Math TeX Gyre" w:hAnsi="DejaVu Math TeX Gyre" w:eastAsia="仿宋_GB2312"/>
            <w:color w:val="000000"/>
            <w:sz w:val="30"/>
            <w:szCs w:val="30"/>
          </w:rPr>
          <m:t>∈</m:t>
        </m:r>
        <m:r>
          <m:rPr/>
          <w:rPr>
            <w:rFonts w:ascii="DejaVu Math TeX Gyre" w:hAnsi="DejaVu Math TeX Gyre" w:eastAsia="仿宋_GB2312"/>
            <w:color w:val="000000"/>
            <w:sz w:val="30"/>
            <w:szCs w:val="30"/>
          </w:rPr>
          <m:t>A</m:t>
        </m:r>
      </m:oMath>
      <w:r>
        <w:rPr>
          <w:rFonts w:hint="eastAsia" w:ascii="仿宋_GB2312" w:eastAsia="仿宋_GB2312"/>
          <w:color w:val="000000"/>
          <w:sz w:val="30"/>
          <w:szCs w:val="30"/>
        </w:rPr>
        <w:t>表示所有落入黄区的已验收通过的内部模型法交易台集合。</w:t>
      </w:r>
    </w:p>
    <w:p>
      <w:pPr>
        <w:spacing w:line="480" w:lineRule="exact"/>
        <w:ind w:firstLine="600" w:firstLineChars="200"/>
        <w:rPr>
          <w:rFonts w:ascii="仿宋_GB2312" w:eastAsia="仿宋_GB2312"/>
          <w:color w:val="000000"/>
          <w:sz w:val="30"/>
          <w:szCs w:val="30"/>
        </w:rPr>
      </w:pPr>
      <w:r>
        <w:rPr>
          <w:rFonts w:ascii="仿宋_GB2312" w:eastAsia="仿宋_GB2312"/>
          <w:color w:val="000000"/>
          <w:sz w:val="30"/>
          <w:szCs w:val="30"/>
        </w:rPr>
        <w:t>4</w:t>
      </w:r>
      <w:r>
        <w:rPr>
          <w:rFonts w:hint="eastAsia" w:ascii="仿宋_GB2312" w:eastAsia="仿宋_GB2312"/>
          <w:color w:val="000000"/>
          <w:sz w:val="30"/>
          <w:szCs w:val="30"/>
        </w:rPr>
        <w:t>.</w:t>
      </w:r>
      <m:oMath>
        <m:r>
          <m:rPr/>
          <w:rPr>
            <w:rFonts w:ascii="DejaVu Math TeX Gyre" w:hAnsi="DejaVu Math TeX Gyre" w:eastAsia="仿宋_GB2312"/>
            <w:color w:val="000000"/>
            <w:sz w:val="30"/>
            <w:szCs w:val="30"/>
          </w:rPr>
          <m:t>i∈G,A</m:t>
        </m:r>
      </m:oMath>
      <w:r>
        <w:rPr>
          <w:rFonts w:ascii="仿宋_GB2312" w:eastAsia="仿宋_GB2312"/>
          <w:color w:val="000000"/>
          <w:sz w:val="30"/>
          <w:szCs w:val="30"/>
        </w:rPr>
        <w:t xml:space="preserve"> </w:t>
      </w:r>
      <w:r>
        <w:rPr>
          <w:rFonts w:hint="eastAsia" w:ascii="仿宋_GB2312" w:eastAsia="仿宋_GB2312"/>
          <w:color w:val="000000"/>
          <w:sz w:val="30"/>
          <w:szCs w:val="30"/>
        </w:rPr>
        <w:t>表示所有落入绿区和黄区的已验收通过的内部模型法交易台集合。</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（六）若商业银行符合下列要求并经国家金融监督管理总局或其派出机构验收通过，可将风险因子的风险理论损益输入数据与假设损益中使用的数据校准一致： </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1.商业</w:t>
      </w:r>
      <w:r>
        <w:rPr>
          <w:rFonts w:ascii="仿宋_GB2312" w:eastAsia="仿宋_GB2312"/>
          <w:color w:val="000000"/>
          <w:sz w:val="30"/>
          <w:szCs w:val="30"/>
        </w:rPr>
        <w:t>银行</w:t>
      </w:r>
      <w:r>
        <w:rPr>
          <w:rFonts w:hint="eastAsia" w:ascii="仿宋_GB2312" w:eastAsia="仿宋_GB2312"/>
          <w:color w:val="000000"/>
          <w:sz w:val="30"/>
          <w:szCs w:val="30"/>
        </w:rPr>
        <w:t>应</w:t>
      </w:r>
      <w:r>
        <w:rPr>
          <w:rFonts w:ascii="仿宋_GB2312" w:eastAsia="仿宋_GB2312"/>
          <w:color w:val="000000"/>
          <w:sz w:val="30"/>
          <w:szCs w:val="30"/>
        </w:rPr>
        <w:t>证明假设损益输入数据可以适用于风险理论损益</w:t>
      </w:r>
      <w:r>
        <w:rPr>
          <w:rFonts w:hint="eastAsia" w:ascii="仿宋_GB2312" w:eastAsia="仿宋_GB2312"/>
          <w:color w:val="000000"/>
          <w:sz w:val="30"/>
          <w:szCs w:val="30"/>
        </w:rPr>
        <w:t>，</w:t>
      </w:r>
      <w:r>
        <w:rPr>
          <w:rFonts w:ascii="仿宋_GB2312" w:eastAsia="仿宋_GB2312"/>
          <w:color w:val="000000"/>
          <w:sz w:val="30"/>
          <w:szCs w:val="30"/>
        </w:rPr>
        <w:t xml:space="preserve"> 并且在将假设损益输入数据转换为可应用于风险理论损益计算的</w:t>
      </w:r>
      <w:r>
        <w:rPr>
          <w:rFonts w:hint="eastAsia" w:ascii="仿宋_GB2312" w:eastAsia="仿宋_GB2312"/>
          <w:color w:val="000000"/>
          <w:sz w:val="30"/>
          <w:szCs w:val="30"/>
        </w:rPr>
        <w:t>风险因子</w:t>
      </w:r>
      <w:r>
        <w:rPr>
          <w:rFonts w:ascii="仿宋_GB2312" w:eastAsia="仿宋_GB2312"/>
          <w:color w:val="000000"/>
          <w:sz w:val="30"/>
          <w:szCs w:val="30"/>
        </w:rPr>
        <w:t>时</w:t>
      </w:r>
      <w:r>
        <w:rPr>
          <w:rFonts w:hint="eastAsia" w:ascii="仿宋_GB2312" w:eastAsia="仿宋_GB2312"/>
          <w:color w:val="000000"/>
          <w:sz w:val="30"/>
          <w:szCs w:val="30"/>
        </w:rPr>
        <w:t>，未</w:t>
      </w:r>
      <w:r>
        <w:rPr>
          <w:rFonts w:ascii="仿宋_GB2312" w:eastAsia="仿宋_GB2312"/>
          <w:color w:val="000000"/>
          <w:sz w:val="30"/>
          <w:szCs w:val="30"/>
        </w:rPr>
        <w:t>忽略任何</w:t>
      </w:r>
      <w:r>
        <w:rPr>
          <w:rFonts w:hint="eastAsia" w:ascii="仿宋_GB2312" w:eastAsia="仿宋_GB2312"/>
          <w:color w:val="000000"/>
          <w:sz w:val="30"/>
          <w:szCs w:val="30"/>
        </w:rPr>
        <w:t>风险因子</w:t>
      </w:r>
      <w:r>
        <w:rPr>
          <w:rFonts w:ascii="仿宋_GB2312" w:eastAsia="仿宋_GB2312"/>
          <w:color w:val="000000"/>
          <w:sz w:val="30"/>
          <w:szCs w:val="30"/>
        </w:rPr>
        <w:t>或估值模型的差异。</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w:t>
      </w:r>
      <w:r>
        <w:rPr>
          <w:rFonts w:ascii="仿宋_GB2312" w:eastAsia="仿宋_GB2312"/>
          <w:color w:val="000000"/>
          <w:sz w:val="30"/>
          <w:szCs w:val="30"/>
        </w:rPr>
        <w:t>对风险理论损益输入数据的任何调整</w:t>
      </w:r>
      <w:r>
        <w:rPr>
          <w:rFonts w:hint="eastAsia" w:ascii="仿宋_GB2312" w:eastAsia="仿宋_GB2312"/>
          <w:color w:val="000000"/>
          <w:sz w:val="30"/>
          <w:szCs w:val="30"/>
        </w:rPr>
        <w:t>，商业银行应</w:t>
      </w:r>
      <w:r>
        <w:rPr>
          <w:rFonts w:ascii="仿宋_GB2312" w:eastAsia="仿宋_GB2312"/>
          <w:color w:val="000000"/>
          <w:sz w:val="30"/>
          <w:szCs w:val="30"/>
        </w:rPr>
        <w:t>记录存档</w:t>
      </w:r>
      <w:r>
        <w:rPr>
          <w:rFonts w:hint="eastAsia" w:ascii="仿宋_GB2312" w:eastAsia="仿宋_GB2312"/>
          <w:color w:val="000000"/>
          <w:sz w:val="30"/>
          <w:szCs w:val="30"/>
        </w:rPr>
        <w:t>并</w:t>
      </w:r>
      <w:r>
        <w:rPr>
          <w:rFonts w:ascii="仿宋_GB2312" w:eastAsia="仿宋_GB2312"/>
          <w:color w:val="000000"/>
          <w:sz w:val="30"/>
          <w:szCs w:val="30"/>
        </w:rPr>
        <w:t>验证</w:t>
      </w:r>
      <w:r>
        <w:rPr>
          <w:rFonts w:hint="eastAsia" w:ascii="仿宋_GB2312" w:eastAsia="仿宋_GB2312"/>
          <w:color w:val="000000"/>
          <w:sz w:val="30"/>
          <w:szCs w:val="30"/>
        </w:rPr>
        <w:t>，</w:t>
      </w:r>
      <w:r>
        <w:rPr>
          <w:rFonts w:ascii="仿宋_GB2312" w:eastAsia="仿宋_GB2312"/>
          <w:color w:val="000000"/>
          <w:sz w:val="30"/>
          <w:szCs w:val="30"/>
        </w:rPr>
        <w:t>并</w:t>
      </w:r>
      <w:r>
        <w:rPr>
          <w:rFonts w:hint="eastAsia" w:ascii="仿宋_GB2312" w:eastAsia="仿宋_GB2312"/>
          <w:color w:val="000000"/>
          <w:sz w:val="30"/>
          <w:szCs w:val="30"/>
        </w:rPr>
        <w:t>向国家金融监督管理总局或其派出机构证明</w:t>
      </w:r>
      <w:r>
        <w:rPr>
          <w:rFonts w:ascii="仿宋_GB2312" w:eastAsia="仿宋_GB2312"/>
          <w:color w:val="000000"/>
          <w:sz w:val="30"/>
          <w:szCs w:val="30"/>
        </w:rPr>
        <w:t>其合理性。</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3.商业</w:t>
      </w:r>
      <w:r>
        <w:rPr>
          <w:rFonts w:ascii="仿宋_GB2312" w:eastAsia="仿宋_GB2312"/>
          <w:color w:val="000000"/>
          <w:sz w:val="30"/>
          <w:szCs w:val="30"/>
        </w:rPr>
        <w:t>银行</w:t>
      </w:r>
      <w:r>
        <w:rPr>
          <w:rFonts w:hint="eastAsia" w:ascii="仿宋_GB2312" w:eastAsia="仿宋_GB2312"/>
          <w:color w:val="000000"/>
          <w:sz w:val="30"/>
          <w:szCs w:val="30"/>
        </w:rPr>
        <w:t>应</w:t>
      </w:r>
      <w:r>
        <w:rPr>
          <w:rFonts w:ascii="仿宋_GB2312" w:eastAsia="仿宋_GB2312"/>
          <w:color w:val="000000"/>
          <w:sz w:val="30"/>
          <w:szCs w:val="30"/>
        </w:rPr>
        <w:t>有</w:t>
      </w:r>
      <w:r>
        <w:rPr>
          <w:rFonts w:hint="eastAsia" w:ascii="仿宋_GB2312" w:eastAsia="仿宋_GB2312"/>
          <w:color w:val="000000"/>
          <w:sz w:val="30"/>
          <w:szCs w:val="30"/>
        </w:rPr>
        <w:t>制度流程</w:t>
      </w:r>
      <w:r>
        <w:rPr>
          <w:rFonts w:ascii="仿宋_GB2312" w:eastAsia="仿宋_GB2312"/>
          <w:color w:val="000000"/>
          <w:sz w:val="30"/>
          <w:szCs w:val="30"/>
        </w:rPr>
        <w:t>识别与风险理论损益输入数据调整相关变动</w:t>
      </w:r>
      <w:r>
        <w:rPr>
          <w:rFonts w:hint="eastAsia" w:ascii="仿宋_GB2312" w:eastAsia="仿宋_GB2312"/>
          <w:color w:val="000000"/>
          <w:sz w:val="30"/>
          <w:szCs w:val="30"/>
        </w:rPr>
        <w:t>，并将</w:t>
      </w:r>
      <w:r>
        <w:rPr>
          <w:rFonts w:ascii="仿宋_GB2312" w:eastAsia="仿宋_GB2312"/>
          <w:color w:val="000000"/>
          <w:sz w:val="30"/>
          <w:szCs w:val="30"/>
        </w:rPr>
        <w:t>此类</w:t>
      </w:r>
      <w:r>
        <w:rPr>
          <w:rFonts w:hint="eastAsia" w:ascii="仿宋_GB2312" w:eastAsia="仿宋_GB2312"/>
          <w:color w:val="000000"/>
          <w:sz w:val="30"/>
          <w:szCs w:val="30"/>
        </w:rPr>
        <w:t>变动报告国家金融监督管理总局或其派出机构</w:t>
      </w:r>
      <w:r>
        <w:rPr>
          <w:rFonts w:ascii="仿宋_GB2312" w:eastAsia="仿宋_GB2312"/>
          <w:color w:val="000000"/>
          <w:sz w:val="30"/>
          <w:szCs w:val="30"/>
        </w:rPr>
        <w:t>。</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4.商业</w:t>
      </w:r>
      <w:r>
        <w:rPr>
          <w:rFonts w:ascii="仿宋_GB2312" w:eastAsia="仿宋_GB2312"/>
          <w:color w:val="000000"/>
          <w:sz w:val="30"/>
          <w:szCs w:val="30"/>
        </w:rPr>
        <w:t>银行</w:t>
      </w:r>
      <w:r>
        <w:rPr>
          <w:rFonts w:hint="eastAsia" w:ascii="仿宋_GB2312" w:eastAsia="仿宋_GB2312"/>
          <w:color w:val="000000"/>
          <w:sz w:val="30"/>
          <w:szCs w:val="30"/>
        </w:rPr>
        <w:t>应</w:t>
      </w:r>
      <w:r>
        <w:rPr>
          <w:rFonts w:ascii="仿宋_GB2312" w:eastAsia="仿宋_GB2312"/>
          <w:color w:val="000000"/>
          <w:sz w:val="30"/>
          <w:szCs w:val="30"/>
        </w:rPr>
        <w:t>评估输入数据一致性校准对风险理论损益和损益归因测试产生的影响。该工作</w:t>
      </w:r>
      <w:r>
        <w:rPr>
          <w:rFonts w:hint="eastAsia" w:ascii="仿宋_GB2312" w:eastAsia="仿宋_GB2312"/>
          <w:color w:val="000000"/>
          <w:sz w:val="30"/>
          <w:szCs w:val="30"/>
        </w:rPr>
        <w:t>应</w:t>
      </w:r>
      <w:r>
        <w:rPr>
          <w:rFonts w:ascii="仿宋_GB2312" w:eastAsia="仿宋_GB2312"/>
          <w:color w:val="000000"/>
          <w:sz w:val="30"/>
          <w:szCs w:val="30"/>
        </w:rPr>
        <w:t>在设计或更改输入数据校准流程以及</w:t>
      </w:r>
      <w:r>
        <w:rPr>
          <w:rFonts w:hint="eastAsia" w:ascii="仿宋_GB2312" w:eastAsia="仿宋_GB2312"/>
          <w:color w:val="000000"/>
          <w:sz w:val="30"/>
          <w:szCs w:val="30"/>
        </w:rPr>
        <w:t>国家金融监督管理总局或其派出机构</w:t>
      </w:r>
      <w:r>
        <w:rPr>
          <w:rFonts w:ascii="仿宋_GB2312" w:eastAsia="仿宋_GB2312"/>
          <w:color w:val="000000"/>
          <w:sz w:val="30"/>
          <w:szCs w:val="30"/>
        </w:rPr>
        <w:t>提出要求时开展。</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七）当第三方供应商、取数时间，或数据转换方式不同造成风险理论损益和假设损益中共同风险因子的输入数据出现差异，商业银行可对风险理论损益输入数据进行调整。调整方式包括直接用假设损益输入数据替换风险理论损益输入数据，或者以假设损益输入数据为基础计算风险理论损益/预期尾部损失模型中所需的风险因子数据。</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商业银行不得将假设损益的风险因子输入数据调整至与风险理论损益一致。不允许通过调整风险理论损益或假设损益来处理剩余的运行噪声。</w:t>
      </w:r>
      <w:r>
        <w:rPr>
          <w:rFonts w:ascii="仿宋_GB2312" w:eastAsia="仿宋_GB2312"/>
          <w:color w:val="000000"/>
          <w:sz w:val="30"/>
          <w:szCs w:val="30"/>
        </w:rPr>
        <w:t>剩余运行噪声是</w:t>
      </w:r>
      <w:r>
        <w:rPr>
          <w:rFonts w:hint="eastAsia" w:ascii="仿宋_GB2312" w:eastAsia="仿宋_GB2312"/>
          <w:color w:val="000000"/>
          <w:sz w:val="30"/>
          <w:szCs w:val="30"/>
        </w:rPr>
        <w:t>指因</w:t>
      </w:r>
      <w:r>
        <w:rPr>
          <w:rFonts w:ascii="仿宋_GB2312" w:eastAsia="仿宋_GB2312"/>
          <w:color w:val="000000"/>
          <w:sz w:val="30"/>
          <w:szCs w:val="30"/>
        </w:rPr>
        <w:t>在不同时点使用不同系统计算风险理论损益和假设损益产生的</w:t>
      </w:r>
      <w:r>
        <w:rPr>
          <w:rFonts w:hint="eastAsia" w:ascii="仿宋_GB2312" w:eastAsia="仿宋_GB2312"/>
          <w:color w:val="000000"/>
          <w:sz w:val="30"/>
          <w:szCs w:val="30"/>
        </w:rPr>
        <w:t>差异</w:t>
      </w:r>
      <w:r>
        <w:rPr>
          <w:rFonts w:ascii="仿宋_GB2312" w:eastAsia="仿宋_GB2312"/>
          <w:color w:val="000000"/>
          <w:sz w:val="30"/>
          <w:szCs w:val="30"/>
        </w:rPr>
        <w:t>。</w:t>
      </w:r>
    </w:p>
    <w:p>
      <w:pPr>
        <w:pStyle w:val="3"/>
      </w:pPr>
      <w:bookmarkStart w:id="23" w:name="_Hlk48836054"/>
      <w:r>
        <w:rPr>
          <w:rFonts w:hint="eastAsia"/>
        </w:rPr>
        <w:t>十一、模型验证要求</w:t>
      </w:r>
    </w:p>
    <w:bookmarkEnd w:id="23"/>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商业银行采用内部模型法计算市场风险监管资本要求，应按本办法的规定对市场风险内部模型及支持体系进行验证，确保模型理论正确、假设合理、数据完整、模型运行情况良好、计算准确、使用分析恰当。市场风险内部模型验证的详细要求见本办法附件2</w:t>
      </w:r>
      <w:r>
        <w:rPr>
          <w:rFonts w:ascii="仿宋_GB2312" w:eastAsia="仿宋_GB2312"/>
          <w:color w:val="000000"/>
          <w:sz w:val="30"/>
          <w:szCs w:val="30"/>
        </w:rPr>
        <w:t>4</w:t>
      </w:r>
      <w:r>
        <w:rPr>
          <w:rFonts w:hint="eastAsia" w:ascii="仿宋_GB2312" w:eastAsia="仿宋_GB2312"/>
          <w:color w:val="000000"/>
          <w:sz w:val="30"/>
          <w:szCs w:val="30"/>
        </w:rPr>
        <w:t>。</w:t>
      </w:r>
    </w:p>
    <w:p>
      <w:pPr>
        <w:pStyle w:val="3"/>
      </w:pPr>
      <w:bookmarkStart w:id="24" w:name="_Hlk48836060"/>
      <w:r>
        <w:rPr>
          <w:rFonts w:hint="eastAsia"/>
        </w:rPr>
        <w:t>十二、压力测试要求</w:t>
      </w:r>
    </w:p>
    <w:bookmarkEnd w:id="24"/>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（一）商业银行使用内部模型法计量市场风险资本要求，应按本办法要求在交易台和银行层面进行相应的压力测试。</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商业银行压力测试所用的压力情景应涵盖可能使其交易组合产生重大损失、对其交易组合造成重大不利影响，或会引致风险事前或事后管理困难的各种潜在风险因子。这些风险因子应包括各种主要风险类别中的低概率事件，并反映事件对具有线性和非线性价格特征的头寸的影响。</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商业银行应具备按日进行压力测试的能力。同时，应定期评估压力情景下的风险状况，尤其应对压力测试所揭示的主要风险点和脆弱环节予以特别关注，若压力测试显示商业银行受某种特定情景的负面影响显著，应通过降低风险暴露或分配更多资本等方式进行管理。</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（三）商业银行应制定市场风险压力测试方案。</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压力测试方案应重点关注如下方面：集中度风险、压力市场条件下的市场流动性不足、单一走势市场、事件风险、非线性产品及内部模型可能无法适当反映的其他风险。</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压力测试方案应定期评估和修订。商业银行应至少每月向高管层汇报压力测试结果，至少每年向董事会汇报压力测试结果。压力测试结果应应用于商业银行的内部资本充足评估，并在管理层和董事会制定的政策和限额中予以体现。</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压力测试应同时具有定量和定性标准，同时考虑由市场波动引起的市场风险和流动性风险。定量标准应明确商业银行可能会面对的压力情况。定性标准应强调压力测试目标是评估商业银行资本吸纳潜在大额亏损的能力，及寻求可以采取的降低风险及节约资本的措施。</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（五）商业银行应选用最适合其业务规模及复杂程度的压力测试方法，包括敏感性测试和情景测试等。</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（六）商业银行可以根据其组合的持仓规模、结构特点和复杂程度，确定压力情景的具体内容，并涵盖不同的压力程度。压力情景依其性质可以分为：</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1.无需银行模拟的监管要求情景。商业银行应报告其每季度5个最大单日损失信息。损失信息应与其内部计量系统计算出的资本水平相对比。</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需银行模拟的历史情景。商业银行应分别测试其交易组合在两类历史情景下的表现：第一类是当市场价格发生剧烈波动或市场流动性急剧下降时的历史情景；第二类是当风险因子的相关性和波动率发生极端变化时的历史情景。</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商业银行自行设计的反映其交易组合特性的压力情景。商业银行应根据其自身资产组合特性，自行设计压力测试情景，识别最不利的市场情况。商业银行应向国家金融监督管理总局或其派出机构说明其识别和执行此类压力情景的方法，并说明此类情景引发的结果。</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七）商业银行应制订完备流程以确保进行全面的市场风险压力测试。相关流程应至少包括以下内容：分析交易组合特性及其业务所处的外部市场环境，以确定应在压力情况下进行测试的主要风险因子；设计适当的交易组合压力测试，包括可能的压力事件及情况的具体说明；以文件形式记录压力测试所用的假设及得出有关假设的方法；定期进行压力测试，分析压力测试结果以确定易受影响的环节及潜在风险；向商业银行高级管理层及有关管理人员报告压力测试结果；确定在压力情况下应采取的适当补救措施，以应对压力测试发现的潜在风险；向董事会报告有关压力测试结果及拟采取的补救措施。</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八）商业银行应根据交易组合特性及外部市场环境的变化，定期审核压力测试方案，评估压力测试所使用的基本假设是否仍然有效。审核应至少包括以下内容：压力测试方案涵盖的风险因子；压力测试是否融入日常风险管理；压力测试程序的核准过程，包括其后作出重大修改的授权；进行压力测试所用持仓数据的准确性及完整性；进行压力测试所用数据来源的一致性、及时性和可靠性；压力测试程序的文档记录的充分性。</w:t>
      </w:r>
    </w:p>
    <w:p>
      <w:pPr>
        <w:pStyle w:val="3"/>
      </w:pPr>
      <w:bookmarkStart w:id="25" w:name="_Hlk48836066"/>
      <w:r>
        <w:rPr>
          <w:rFonts w:hint="eastAsia"/>
        </w:rPr>
        <w:t>十三、报告要求</w:t>
      </w:r>
    </w:p>
    <w:bookmarkEnd w:id="25"/>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商业银行经认可使用内部模型法计算市场风险资本要求后，应每季度向国家金融监督管理总局或其派出机构报告内部模型的运行情况。报告内容至少应包括：模型方法、内容及覆盖面的重大变化，本期返回检验和损益归因测试结果，信息系统及管理层的重大变化，与市场风险有关的新业务开展情况等。</w:t>
      </w:r>
    </w:p>
    <w:sectPr>
      <w:headerReference r:id="rId5" w:type="default"/>
      <w:footerReference r:id="rId6" w:type="default"/>
      <w:footerReference r:id="rId7" w:type="even"/>
      <w:pgSz w:w="11906" w:h="16838"/>
      <w:pgMar w:top="2268" w:right="1701" w:bottom="1701" w:left="1701" w:header="851" w:footer="51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Helvetica">
    <w:altName w:val="Arial"/>
    <w:panose1 w:val="00000000000000000000"/>
    <w:charset w:val="00"/>
    <w:family w:val="auto"/>
    <w:pitch w:val="default"/>
    <w:sig w:usb0="00000000" w:usb1="00000000" w:usb2="00000000" w:usb3="00000000" w:csb0="0000019F" w:csb1="00000000"/>
  </w:font>
  <w:font w:name="Arial Unicode MS">
    <w:altName w:val="Arial"/>
    <w:panose1 w:val="020B0604020202020204"/>
    <w:charset w:val="80"/>
    <w:family w:val="swiss"/>
    <w:pitch w:val="default"/>
    <w:sig w:usb0="00000000" w:usb1="00000000" w:usb2="0000003F" w:usb3="00000000" w:csb0="003F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r>
      <w:fldChar w:fldCharType="begin"/>
    </w:r>
    <w:r>
      <w:fldChar w:fldCharType="end"/>
    </w:r>
    <w:r>
      <w:rPr>
        <w:rStyle w:val="41"/>
      </w:rPr>
      <w:t xml:space="preserve">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7"/>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kZTUwZDg4OGNlMmFiY2NmMGY3MjY4MWFhMmM1YjIifQ=="/>
  </w:docVars>
  <w:rsids>
    <w:rsidRoot w:val="00172A27"/>
    <w:rsid w:val="000007F4"/>
    <w:rsid w:val="0000188F"/>
    <w:rsid w:val="00001C9C"/>
    <w:rsid w:val="000040E4"/>
    <w:rsid w:val="000101C5"/>
    <w:rsid w:val="00010378"/>
    <w:rsid w:val="00013153"/>
    <w:rsid w:val="0001428B"/>
    <w:rsid w:val="000149D6"/>
    <w:rsid w:val="00014A8D"/>
    <w:rsid w:val="0001559B"/>
    <w:rsid w:val="00015C99"/>
    <w:rsid w:val="000163C2"/>
    <w:rsid w:val="00016755"/>
    <w:rsid w:val="00017520"/>
    <w:rsid w:val="000208AB"/>
    <w:rsid w:val="0002097E"/>
    <w:rsid w:val="00021035"/>
    <w:rsid w:val="0002411C"/>
    <w:rsid w:val="00026046"/>
    <w:rsid w:val="000265F9"/>
    <w:rsid w:val="0002671E"/>
    <w:rsid w:val="0003034B"/>
    <w:rsid w:val="000343A4"/>
    <w:rsid w:val="000351DA"/>
    <w:rsid w:val="000368B5"/>
    <w:rsid w:val="00036AF1"/>
    <w:rsid w:val="00036D53"/>
    <w:rsid w:val="00036DEC"/>
    <w:rsid w:val="00037782"/>
    <w:rsid w:val="00045C4B"/>
    <w:rsid w:val="00047D0E"/>
    <w:rsid w:val="000543C4"/>
    <w:rsid w:val="00054C99"/>
    <w:rsid w:val="00060B35"/>
    <w:rsid w:val="00062226"/>
    <w:rsid w:val="00062B76"/>
    <w:rsid w:val="00062D67"/>
    <w:rsid w:val="000630B6"/>
    <w:rsid w:val="00063FD2"/>
    <w:rsid w:val="00064401"/>
    <w:rsid w:val="000671D4"/>
    <w:rsid w:val="0006726F"/>
    <w:rsid w:val="00071E7C"/>
    <w:rsid w:val="0007353A"/>
    <w:rsid w:val="00073BF3"/>
    <w:rsid w:val="00073E9F"/>
    <w:rsid w:val="00074126"/>
    <w:rsid w:val="00076094"/>
    <w:rsid w:val="000767AC"/>
    <w:rsid w:val="0008189B"/>
    <w:rsid w:val="0008660E"/>
    <w:rsid w:val="00086927"/>
    <w:rsid w:val="0008715E"/>
    <w:rsid w:val="00090D70"/>
    <w:rsid w:val="000914C0"/>
    <w:rsid w:val="00091C4C"/>
    <w:rsid w:val="0009265A"/>
    <w:rsid w:val="000927BE"/>
    <w:rsid w:val="000927D2"/>
    <w:rsid w:val="0009472E"/>
    <w:rsid w:val="00094DF9"/>
    <w:rsid w:val="00095E37"/>
    <w:rsid w:val="000A195D"/>
    <w:rsid w:val="000A1FB9"/>
    <w:rsid w:val="000A270A"/>
    <w:rsid w:val="000A280F"/>
    <w:rsid w:val="000A475B"/>
    <w:rsid w:val="000A5EFE"/>
    <w:rsid w:val="000A5F3C"/>
    <w:rsid w:val="000A7FC1"/>
    <w:rsid w:val="000B0563"/>
    <w:rsid w:val="000B09EC"/>
    <w:rsid w:val="000B0BAE"/>
    <w:rsid w:val="000B12B3"/>
    <w:rsid w:val="000B1FA8"/>
    <w:rsid w:val="000B24A8"/>
    <w:rsid w:val="000B336E"/>
    <w:rsid w:val="000B4C3C"/>
    <w:rsid w:val="000B4E61"/>
    <w:rsid w:val="000B4FE4"/>
    <w:rsid w:val="000B6E5B"/>
    <w:rsid w:val="000B72BD"/>
    <w:rsid w:val="000C17AA"/>
    <w:rsid w:val="000C22BF"/>
    <w:rsid w:val="000C2DB5"/>
    <w:rsid w:val="000C444A"/>
    <w:rsid w:val="000C44E5"/>
    <w:rsid w:val="000C6B51"/>
    <w:rsid w:val="000C6DDE"/>
    <w:rsid w:val="000D0106"/>
    <w:rsid w:val="000D35D5"/>
    <w:rsid w:val="000D4742"/>
    <w:rsid w:val="000D692E"/>
    <w:rsid w:val="000D7240"/>
    <w:rsid w:val="000D7BEB"/>
    <w:rsid w:val="000E29D7"/>
    <w:rsid w:val="000E2B3E"/>
    <w:rsid w:val="000E5582"/>
    <w:rsid w:val="000E6182"/>
    <w:rsid w:val="000E661E"/>
    <w:rsid w:val="000E770C"/>
    <w:rsid w:val="000F2038"/>
    <w:rsid w:val="000F23E3"/>
    <w:rsid w:val="000F2DF9"/>
    <w:rsid w:val="000F3581"/>
    <w:rsid w:val="000F35CE"/>
    <w:rsid w:val="000F6993"/>
    <w:rsid w:val="000F75B3"/>
    <w:rsid w:val="000F796A"/>
    <w:rsid w:val="00102A2B"/>
    <w:rsid w:val="0010560C"/>
    <w:rsid w:val="00105B31"/>
    <w:rsid w:val="00110959"/>
    <w:rsid w:val="00110A14"/>
    <w:rsid w:val="00110FC5"/>
    <w:rsid w:val="001110EA"/>
    <w:rsid w:val="001119EA"/>
    <w:rsid w:val="001136D4"/>
    <w:rsid w:val="00117910"/>
    <w:rsid w:val="00121233"/>
    <w:rsid w:val="0012156D"/>
    <w:rsid w:val="00123E5C"/>
    <w:rsid w:val="00125B89"/>
    <w:rsid w:val="001260C4"/>
    <w:rsid w:val="001302FA"/>
    <w:rsid w:val="00130E91"/>
    <w:rsid w:val="00131D4C"/>
    <w:rsid w:val="00133276"/>
    <w:rsid w:val="001336BD"/>
    <w:rsid w:val="00134DBC"/>
    <w:rsid w:val="00135972"/>
    <w:rsid w:val="001375C7"/>
    <w:rsid w:val="001403E6"/>
    <w:rsid w:val="00142468"/>
    <w:rsid w:val="001437F3"/>
    <w:rsid w:val="00144BAC"/>
    <w:rsid w:val="001451EC"/>
    <w:rsid w:val="00146D18"/>
    <w:rsid w:val="0014733E"/>
    <w:rsid w:val="001475C8"/>
    <w:rsid w:val="001477B0"/>
    <w:rsid w:val="00147956"/>
    <w:rsid w:val="00151765"/>
    <w:rsid w:val="00152CD8"/>
    <w:rsid w:val="00154C7A"/>
    <w:rsid w:val="00155960"/>
    <w:rsid w:val="00156D0F"/>
    <w:rsid w:val="00166822"/>
    <w:rsid w:val="00166BD6"/>
    <w:rsid w:val="00167957"/>
    <w:rsid w:val="00170235"/>
    <w:rsid w:val="001703C0"/>
    <w:rsid w:val="00170454"/>
    <w:rsid w:val="00172A27"/>
    <w:rsid w:val="00174941"/>
    <w:rsid w:val="00175EDB"/>
    <w:rsid w:val="001768F8"/>
    <w:rsid w:val="0017705B"/>
    <w:rsid w:val="00177569"/>
    <w:rsid w:val="00177B1A"/>
    <w:rsid w:val="001802DD"/>
    <w:rsid w:val="001808FC"/>
    <w:rsid w:val="0018147B"/>
    <w:rsid w:val="00182594"/>
    <w:rsid w:val="00182915"/>
    <w:rsid w:val="00183D49"/>
    <w:rsid w:val="00186A4C"/>
    <w:rsid w:val="00186BAA"/>
    <w:rsid w:val="001879B9"/>
    <w:rsid w:val="00190CF8"/>
    <w:rsid w:val="001912C6"/>
    <w:rsid w:val="00192A3C"/>
    <w:rsid w:val="0019359F"/>
    <w:rsid w:val="001949CB"/>
    <w:rsid w:val="00194F80"/>
    <w:rsid w:val="001A0D57"/>
    <w:rsid w:val="001A148D"/>
    <w:rsid w:val="001A29BC"/>
    <w:rsid w:val="001A577F"/>
    <w:rsid w:val="001A5A8D"/>
    <w:rsid w:val="001A5DC4"/>
    <w:rsid w:val="001B0EF0"/>
    <w:rsid w:val="001B192D"/>
    <w:rsid w:val="001B1FC4"/>
    <w:rsid w:val="001B23D0"/>
    <w:rsid w:val="001B37BC"/>
    <w:rsid w:val="001B38AD"/>
    <w:rsid w:val="001B4E06"/>
    <w:rsid w:val="001B5DBF"/>
    <w:rsid w:val="001B6181"/>
    <w:rsid w:val="001B627A"/>
    <w:rsid w:val="001B655F"/>
    <w:rsid w:val="001C0A8A"/>
    <w:rsid w:val="001C1658"/>
    <w:rsid w:val="001C1CEE"/>
    <w:rsid w:val="001C25B7"/>
    <w:rsid w:val="001C337B"/>
    <w:rsid w:val="001C4162"/>
    <w:rsid w:val="001C4F59"/>
    <w:rsid w:val="001C61B4"/>
    <w:rsid w:val="001C72A4"/>
    <w:rsid w:val="001C736B"/>
    <w:rsid w:val="001D2A44"/>
    <w:rsid w:val="001D3AD8"/>
    <w:rsid w:val="001D5821"/>
    <w:rsid w:val="001D69CD"/>
    <w:rsid w:val="001E0104"/>
    <w:rsid w:val="001E07A6"/>
    <w:rsid w:val="001E1B7C"/>
    <w:rsid w:val="001E1BFF"/>
    <w:rsid w:val="001E2CD1"/>
    <w:rsid w:val="001E3735"/>
    <w:rsid w:val="001E3CCE"/>
    <w:rsid w:val="001E67FF"/>
    <w:rsid w:val="001F0D9D"/>
    <w:rsid w:val="001F0E94"/>
    <w:rsid w:val="001F1094"/>
    <w:rsid w:val="001F3177"/>
    <w:rsid w:val="001F32EB"/>
    <w:rsid w:val="001F3C35"/>
    <w:rsid w:val="001F6FC6"/>
    <w:rsid w:val="001F7154"/>
    <w:rsid w:val="001F7A68"/>
    <w:rsid w:val="00200747"/>
    <w:rsid w:val="00200D94"/>
    <w:rsid w:val="00201A76"/>
    <w:rsid w:val="00202494"/>
    <w:rsid w:val="00203BB5"/>
    <w:rsid w:val="0020483F"/>
    <w:rsid w:val="0020509A"/>
    <w:rsid w:val="00206050"/>
    <w:rsid w:val="00206A9D"/>
    <w:rsid w:val="00210AFE"/>
    <w:rsid w:val="00214028"/>
    <w:rsid w:val="0021408F"/>
    <w:rsid w:val="00214895"/>
    <w:rsid w:val="002200EA"/>
    <w:rsid w:val="002201CB"/>
    <w:rsid w:val="002206FC"/>
    <w:rsid w:val="00220DF6"/>
    <w:rsid w:val="00220F9F"/>
    <w:rsid w:val="00221E0D"/>
    <w:rsid w:val="00222211"/>
    <w:rsid w:val="0022711F"/>
    <w:rsid w:val="00233035"/>
    <w:rsid w:val="002369A8"/>
    <w:rsid w:val="002401D9"/>
    <w:rsid w:val="00242B03"/>
    <w:rsid w:val="00247624"/>
    <w:rsid w:val="002505F8"/>
    <w:rsid w:val="00251C5E"/>
    <w:rsid w:val="002541D3"/>
    <w:rsid w:val="00257054"/>
    <w:rsid w:val="00265530"/>
    <w:rsid w:val="00265C1C"/>
    <w:rsid w:val="00266BF5"/>
    <w:rsid w:val="002728E6"/>
    <w:rsid w:val="00273F14"/>
    <w:rsid w:val="002766DA"/>
    <w:rsid w:val="00281601"/>
    <w:rsid w:val="00281799"/>
    <w:rsid w:val="0028220A"/>
    <w:rsid w:val="00282AC5"/>
    <w:rsid w:val="0028442F"/>
    <w:rsid w:val="00285D50"/>
    <w:rsid w:val="00285EA8"/>
    <w:rsid w:val="00290862"/>
    <w:rsid w:val="00292497"/>
    <w:rsid w:val="0029281E"/>
    <w:rsid w:val="00292984"/>
    <w:rsid w:val="00293442"/>
    <w:rsid w:val="0029376F"/>
    <w:rsid w:val="0029432B"/>
    <w:rsid w:val="00294BAC"/>
    <w:rsid w:val="00294C0B"/>
    <w:rsid w:val="0029709E"/>
    <w:rsid w:val="002A751C"/>
    <w:rsid w:val="002B1D21"/>
    <w:rsid w:val="002B1FB2"/>
    <w:rsid w:val="002B472A"/>
    <w:rsid w:val="002B4B30"/>
    <w:rsid w:val="002B4CF3"/>
    <w:rsid w:val="002B53F4"/>
    <w:rsid w:val="002B54D6"/>
    <w:rsid w:val="002B6B54"/>
    <w:rsid w:val="002C3921"/>
    <w:rsid w:val="002C3A9D"/>
    <w:rsid w:val="002C4E0E"/>
    <w:rsid w:val="002C6505"/>
    <w:rsid w:val="002C788F"/>
    <w:rsid w:val="002C7D9F"/>
    <w:rsid w:val="002D1260"/>
    <w:rsid w:val="002D1CE8"/>
    <w:rsid w:val="002D4CCE"/>
    <w:rsid w:val="002D6D22"/>
    <w:rsid w:val="002D73BE"/>
    <w:rsid w:val="002D7E56"/>
    <w:rsid w:val="002E008C"/>
    <w:rsid w:val="002E093C"/>
    <w:rsid w:val="002E18B8"/>
    <w:rsid w:val="002E31B1"/>
    <w:rsid w:val="002E384E"/>
    <w:rsid w:val="002E3CA8"/>
    <w:rsid w:val="002E3FE2"/>
    <w:rsid w:val="002E4BB8"/>
    <w:rsid w:val="002E7C8E"/>
    <w:rsid w:val="002F02E1"/>
    <w:rsid w:val="002F0363"/>
    <w:rsid w:val="002F0942"/>
    <w:rsid w:val="002F134A"/>
    <w:rsid w:val="002F5D6F"/>
    <w:rsid w:val="002F5E98"/>
    <w:rsid w:val="00300673"/>
    <w:rsid w:val="003018EC"/>
    <w:rsid w:val="00301971"/>
    <w:rsid w:val="00302F0A"/>
    <w:rsid w:val="0030699D"/>
    <w:rsid w:val="00310158"/>
    <w:rsid w:val="003127CF"/>
    <w:rsid w:val="0031340D"/>
    <w:rsid w:val="00315AB8"/>
    <w:rsid w:val="003175F0"/>
    <w:rsid w:val="00320A79"/>
    <w:rsid w:val="00323430"/>
    <w:rsid w:val="00326357"/>
    <w:rsid w:val="003270C0"/>
    <w:rsid w:val="00330499"/>
    <w:rsid w:val="003323C6"/>
    <w:rsid w:val="0033460D"/>
    <w:rsid w:val="00335F29"/>
    <w:rsid w:val="0033635C"/>
    <w:rsid w:val="0034052E"/>
    <w:rsid w:val="00342E8A"/>
    <w:rsid w:val="00343CA0"/>
    <w:rsid w:val="00345742"/>
    <w:rsid w:val="003458FF"/>
    <w:rsid w:val="00345D37"/>
    <w:rsid w:val="00353503"/>
    <w:rsid w:val="00353567"/>
    <w:rsid w:val="00353655"/>
    <w:rsid w:val="003554BD"/>
    <w:rsid w:val="003569E5"/>
    <w:rsid w:val="00356B2D"/>
    <w:rsid w:val="0036061C"/>
    <w:rsid w:val="003616AA"/>
    <w:rsid w:val="0036191F"/>
    <w:rsid w:val="0036312F"/>
    <w:rsid w:val="0036481D"/>
    <w:rsid w:val="003649A8"/>
    <w:rsid w:val="00366717"/>
    <w:rsid w:val="00370D93"/>
    <w:rsid w:val="0037302B"/>
    <w:rsid w:val="00373793"/>
    <w:rsid w:val="00373EF3"/>
    <w:rsid w:val="003754EA"/>
    <w:rsid w:val="00376C02"/>
    <w:rsid w:val="00376D04"/>
    <w:rsid w:val="00382D4C"/>
    <w:rsid w:val="00390423"/>
    <w:rsid w:val="003937A1"/>
    <w:rsid w:val="00395FFC"/>
    <w:rsid w:val="0039645A"/>
    <w:rsid w:val="00396966"/>
    <w:rsid w:val="00396DCA"/>
    <w:rsid w:val="003A06CD"/>
    <w:rsid w:val="003A1A54"/>
    <w:rsid w:val="003A288E"/>
    <w:rsid w:val="003A5A30"/>
    <w:rsid w:val="003A5EFF"/>
    <w:rsid w:val="003A6D49"/>
    <w:rsid w:val="003A7C40"/>
    <w:rsid w:val="003B19EC"/>
    <w:rsid w:val="003B1B66"/>
    <w:rsid w:val="003B2941"/>
    <w:rsid w:val="003B361F"/>
    <w:rsid w:val="003B3751"/>
    <w:rsid w:val="003B4336"/>
    <w:rsid w:val="003B486A"/>
    <w:rsid w:val="003B4BF2"/>
    <w:rsid w:val="003C02C8"/>
    <w:rsid w:val="003C0D03"/>
    <w:rsid w:val="003C1209"/>
    <w:rsid w:val="003C1F7C"/>
    <w:rsid w:val="003C311F"/>
    <w:rsid w:val="003C5CD4"/>
    <w:rsid w:val="003C740D"/>
    <w:rsid w:val="003D2E73"/>
    <w:rsid w:val="003D4DA0"/>
    <w:rsid w:val="003E1168"/>
    <w:rsid w:val="003E15AF"/>
    <w:rsid w:val="003E1F32"/>
    <w:rsid w:val="003E20D4"/>
    <w:rsid w:val="003E36D2"/>
    <w:rsid w:val="003E4828"/>
    <w:rsid w:val="003F0455"/>
    <w:rsid w:val="003F0A41"/>
    <w:rsid w:val="003F1056"/>
    <w:rsid w:val="003F17A4"/>
    <w:rsid w:val="003F1D73"/>
    <w:rsid w:val="003F335E"/>
    <w:rsid w:val="003F3525"/>
    <w:rsid w:val="003F4903"/>
    <w:rsid w:val="003F5F60"/>
    <w:rsid w:val="003F67B9"/>
    <w:rsid w:val="003F69AC"/>
    <w:rsid w:val="003F6DEC"/>
    <w:rsid w:val="003F7C7C"/>
    <w:rsid w:val="00400370"/>
    <w:rsid w:val="004015E6"/>
    <w:rsid w:val="00402BB7"/>
    <w:rsid w:val="004049FE"/>
    <w:rsid w:val="00405C97"/>
    <w:rsid w:val="004073C7"/>
    <w:rsid w:val="004101B0"/>
    <w:rsid w:val="00413774"/>
    <w:rsid w:val="00414753"/>
    <w:rsid w:val="00414A22"/>
    <w:rsid w:val="004209AE"/>
    <w:rsid w:val="0042132C"/>
    <w:rsid w:val="00421F89"/>
    <w:rsid w:val="00424C6F"/>
    <w:rsid w:val="00425FEC"/>
    <w:rsid w:val="00426E6E"/>
    <w:rsid w:val="004310A6"/>
    <w:rsid w:val="00431752"/>
    <w:rsid w:val="00432049"/>
    <w:rsid w:val="0043212A"/>
    <w:rsid w:val="004327D9"/>
    <w:rsid w:val="00434682"/>
    <w:rsid w:val="00435295"/>
    <w:rsid w:val="0043552F"/>
    <w:rsid w:val="00435A8C"/>
    <w:rsid w:val="00436A13"/>
    <w:rsid w:val="004417AB"/>
    <w:rsid w:val="004429D1"/>
    <w:rsid w:val="00443DFB"/>
    <w:rsid w:val="00444518"/>
    <w:rsid w:val="00445742"/>
    <w:rsid w:val="0044741B"/>
    <w:rsid w:val="00447946"/>
    <w:rsid w:val="00450B68"/>
    <w:rsid w:val="00451163"/>
    <w:rsid w:val="00452578"/>
    <w:rsid w:val="00452D64"/>
    <w:rsid w:val="00453F41"/>
    <w:rsid w:val="0045622E"/>
    <w:rsid w:val="004608E2"/>
    <w:rsid w:val="00460969"/>
    <w:rsid w:val="004609AC"/>
    <w:rsid w:val="004616BD"/>
    <w:rsid w:val="0046278A"/>
    <w:rsid w:val="00462F10"/>
    <w:rsid w:val="00467638"/>
    <w:rsid w:val="00470A67"/>
    <w:rsid w:val="00471C25"/>
    <w:rsid w:val="00471E0D"/>
    <w:rsid w:val="00472DDD"/>
    <w:rsid w:val="00473119"/>
    <w:rsid w:val="004744E7"/>
    <w:rsid w:val="00474E35"/>
    <w:rsid w:val="00475967"/>
    <w:rsid w:val="00476CC8"/>
    <w:rsid w:val="00476F5C"/>
    <w:rsid w:val="004810EB"/>
    <w:rsid w:val="0048147F"/>
    <w:rsid w:val="00484BB4"/>
    <w:rsid w:val="00486475"/>
    <w:rsid w:val="004876F9"/>
    <w:rsid w:val="004908AF"/>
    <w:rsid w:val="00492C56"/>
    <w:rsid w:val="00494D3F"/>
    <w:rsid w:val="00497B27"/>
    <w:rsid w:val="00497BE0"/>
    <w:rsid w:val="004A0ABE"/>
    <w:rsid w:val="004A2F5C"/>
    <w:rsid w:val="004A442B"/>
    <w:rsid w:val="004A493B"/>
    <w:rsid w:val="004A4A7C"/>
    <w:rsid w:val="004B03AA"/>
    <w:rsid w:val="004B0AB6"/>
    <w:rsid w:val="004B1D3A"/>
    <w:rsid w:val="004B4508"/>
    <w:rsid w:val="004B451E"/>
    <w:rsid w:val="004B4B33"/>
    <w:rsid w:val="004B56DD"/>
    <w:rsid w:val="004B5FDD"/>
    <w:rsid w:val="004B6173"/>
    <w:rsid w:val="004B6F07"/>
    <w:rsid w:val="004B74A5"/>
    <w:rsid w:val="004B790B"/>
    <w:rsid w:val="004C03F9"/>
    <w:rsid w:val="004C0B57"/>
    <w:rsid w:val="004C7E67"/>
    <w:rsid w:val="004D0CF6"/>
    <w:rsid w:val="004D12EE"/>
    <w:rsid w:val="004D1737"/>
    <w:rsid w:val="004D43CC"/>
    <w:rsid w:val="004D7E6B"/>
    <w:rsid w:val="004E1072"/>
    <w:rsid w:val="004E27BD"/>
    <w:rsid w:val="004E2ABC"/>
    <w:rsid w:val="004E6489"/>
    <w:rsid w:val="004E697D"/>
    <w:rsid w:val="004E78BA"/>
    <w:rsid w:val="004E7996"/>
    <w:rsid w:val="004F4481"/>
    <w:rsid w:val="004F4AAF"/>
    <w:rsid w:val="004F5C5D"/>
    <w:rsid w:val="004F63D3"/>
    <w:rsid w:val="004F75CC"/>
    <w:rsid w:val="005005AA"/>
    <w:rsid w:val="00501F92"/>
    <w:rsid w:val="00506737"/>
    <w:rsid w:val="00506CA6"/>
    <w:rsid w:val="00510D0E"/>
    <w:rsid w:val="00512BB2"/>
    <w:rsid w:val="005132D9"/>
    <w:rsid w:val="0051441A"/>
    <w:rsid w:val="00517690"/>
    <w:rsid w:val="00521FDF"/>
    <w:rsid w:val="00524BC8"/>
    <w:rsid w:val="00525164"/>
    <w:rsid w:val="00525964"/>
    <w:rsid w:val="00525EFE"/>
    <w:rsid w:val="0053075A"/>
    <w:rsid w:val="005308EB"/>
    <w:rsid w:val="0053218D"/>
    <w:rsid w:val="005331DC"/>
    <w:rsid w:val="005356D9"/>
    <w:rsid w:val="005361AD"/>
    <w:rsid w:val="00541062"/>
    <w:rsid w:val="00543EDA"/>
    <w:rsid w:val="0054483B"/>
    <w:rsid w:val="005469CF"/>
    <w:rsid w:val="00553A2D"/>
    <w:rsid w:val="00554C0D"/>
    <w:rsid w:val="00554E25"/>
    <w:rsid w:val="00556FFE"/>
    <w:rsid w:val="00560876"/>
    <w:rsid w:val="00563056"/>
    <w:rsid w:val="00563088"/>
    <w:rsid w:val="00563225"/>
    <w:rsid w:val="00566022"/>
    <w:rsid w:val="00566EC8"/>
    <w:rsid w:val="00570496"/>
    <w:rsid w:val="0057075C"/>
    <w:rsid w:val="00571829"/>
    <w:rsid w:val="00573258"/>
    <w:rsid w:val="00573775"/>
    <w:rsid w:val="00574793"/>
    <w:rsid w:val="0058000A"/>
    <w:rsid w:val="00580507"/>
    <w:rsid w:val="00580A1F"/>
    <w:rsid w:val="00583C87"/>
    <w:rsid w:val="00583D9C"/>
    <w:rsid w:val="00585671"/>
    <w:rsid w:val="0058592C"/>
    <w:rsid w:val="00585C92"/>
    <w:rsid w:val="00590CA3"/>
    <w:rsid w:val="00591902"/>
    <w:rsid w:val="005A08E4"/>
    <w:rsid w:val="005A0DC9"/>
    <w:rsid w:val="005A2953"/>
    <w:rsid w:val="005A2ACC"/>
    <w:rsid w:val="005A5F31"/>
    <w:rsid w:val="005A75EF"/>
    <w:rsid w:val="005A7706"/>
    <w:rsid w:val="005B0633"/>
    <w:rsid w:val="005B267A"/>
    <w:rsid w:val="005B2A29"/>
    <w:rsid w:val="005B50EC"/>
    <w:rsid w:val="005B7E2C"/>
    <w:rsid w:val="005C03F0"/>
    <w:rsid w:val="005C14E1"/>
    <w:rsid w:val="005C383E"/>
    <w:rsid w:val="005C5F1A"/>
    <w:rsid w:val="005C71B8"/>
    <w:rsid w:val="005D4348"/>
    <w:rsid w:val="005D43C9"/>
    <w:rsid w:val="005D509F"/>
    <w:rsid w:val="005D5625"/>
    <w:rsid w:val="005D784C"/>
    <w:rsid w:val="005E0609"/>
    <w:rsid w:val="005E17D2"/>
    <w:rsid w:val="005E1E6D"/>
    <w:rsid w:val="005E2760"/>
    <w:rsid w:val="005E45A4"/>
    <w:rsid w:val="005E4967"/>
    <w:rsid w:val="005E5491"/>
    <w:rsid w:val="005E6419"/>
    <w:rsid w:val="005E7B23"/>
    <w:rsid w:val="005F05E8"/>
    <w:rsid w:val="005F0DF8"/>
    <w:rsid w:val="005F1CC6"/>
    <w:rsid w:val="005F220B"/>
    <w:rsid w:val="005F39B1"/>
    <w:rsid w:val="005F3C18"/>
    <w:rsid w:val="005F420A"/>
    <w:rsid w:val="005F4C45"/>
    <w:rsid w:val="005F5A94"/>
    <w:rsid w:val="005F7AAC"/>
    <w:rsid w:val="005F7E54"/>
    <w:rsid w:val="00600030"/>
    <w:rsid w:val="00600991"/>
    <w:rsid w:val="006044D2"/>
    <w:rsid w:val="006048C9"/>
    <w:rsid w:val="006058D7"/>
    <w:rsid w:val="00607C0C"/>
    <w:rsid w:val="00607FAD"/>
    <w:rsid w:val="00610105"/>
    <w:rsid w:val="00610B9B"/>
    <w:rsid w:val="00611704"/>
    <w:rsid w:val="00613482"/>
    <w:rsid w:val="00613F68"/>
    <w:rsid w:val="00614258"/>
    <w:rsid w:val="00614329"/>
    <w:rsid w:val="0061448F"/>
    <w:rsid w:val="00614830"/>
    <w:rsid w:val="00616748"/>
    <w:rsid w:val="0062242B"/>
    <w:rsid w:val="0062720E"/>
    <w:rsid w:val="0063064E"/>
    <w:rsid w:val="0063299D"/>
    <w:rsid w:val="00634131"/>
    <w:rsid w:val="00634F15"/>
    <w:rsid w:val="006369DD"/>
    <w:rsid w:val="006436ED"/>
    <w:rsid w:val="00643899"/>
    <w:rsid w:val="006453DD"/>
    <w:rsid w:val="00646C6B"/>
    <w:rsid w:val="00646C8A"/>
    <w:rsid w:val="00650CEE"/>
    <w:rsid w:val="00650F9C"/>
    <w:rsid w:val="00651EDC"/>
    <w:rsid w:val="006521B2"/>
    <w:rsid w:val="006579E0"/>
    <w:rsid w:val="00660BA4"/>
    <w:rsid w:val="006642EB"/>
    <w:rsid w:val="00664802"/>
    <w:rsid w:val="00665F3E"/>
    <w:rsid w:val="00666F10"/>
    <w:rsid w:val="00674657"/>
    <w:rsid w:val="00675FCE"/>
    <w:rsid w:val="00680E57"/>
    <w:rsid w:val="00682C98"/>
    <w:rsid w:val="0068322F"/>
    <w:rsid w:val="0068509F"/>
    <w:rsid w:val="006871F1"/>
    <w:rsid w:val="006878B2"/>
    <w:rsid w:val="0069247E"/>
    <w:rsid w:val="00692508"/>
    <w:rsid w:val="00697259"/>
    <w:rsid w:val="006A36DB"/>
    <w:rsid w:val="006A432B"/>
    <w:rsid w:val="006A4ED3"/>
    <w:rsid w:val="006A537B"/>
    <w:rsid w:val="006A6818"/>
    <w:rsid w:val="006B11DA"/>
    <w:rsid w:val="006B1DDC"/>
    <w:rsid w:val="006B2A92"/>
    <w:rsid w:val="006B58ED"/>
    <w:rsid w:val="006C1D5C"/>
    <w:rsid w:val="006C467B"/>
    <w:rsid w:val="006C4B58"/>
    <w:rsid w:val="006C5706"/>
    <w:rsid w:val="006C6C0F"/>
    <w:rsid w:val="006C6CCF"/>
    <w:rsid w:val="006D0547"/>
    <w:rsid w:val="006D106C"/>
    <w:rsid w:val="006D39DF"/>
    <w:rsid w:val="006D4D9A"/>
    <w:rsid w:val="006D5AB9"/>
    <w:rsid w:val="006D5E04"/>
    <w:rsid w:val="006D7081"/>
    <w:rsid w:val="006E0038"/>
    <w:rsid w:val="006E110A"/>
    <w:rsid w:val="006E54A6"/>
    <w:rsid w:val="006E675C"/>
    <w:rsid w:val="006E6E3C"/>
    <w:rsid w:val="006E713D"/>
    <w:rsid w:val="006F06E7"/>
    <w:rsid w:val="006F0ECA"/>
    <w:rsid w:val="006F26D9"/>
    <w:rsid w:val="006F4C25"/>
    <w:rsid w:val="006F5612"/>
    <w:rsid w:val="006F656F"/>
    <w:rsid w:val="006F7431"/>
    <w:rsid w:val="00704D89"/>
    <w:rsid w:val="007057BE"/>
    <w:rsid w:val="00705D3B"/>
    <w:rsid w:val="007062F1"/>
    <w:rsid w:val="0070741C"/>
    <w:rsid w:val="00707900"/>
    <w:rsid w:val="00707E8D"/>
    <w:rsid w:val="00710EFC"/>
    <w:rsid w:val="00712946"/>
    <w:rsid w:val="00712C3E"/>
    <w:rsid w:val="0071475E"/>
    <w:rsid w:val="00715FA2"/>
    <w:rsid w:val="00722214"/>
    <w:rsid w:val="0072260A"/>
    <w:rsid w:val="007231AB"/>
    <w:rsid w:val="00723A74"/>
    <w:rsid w:val="00723E9B"/>
    <w:rsid w:val="007242E7"/>
    <w:rsid w:val="00725462"/>
    <w:rsid w:val="00726BBA"/>
    <w:rsid w:val="00726EF4"/>
    <w:rsid w:val="00727572"/>
    <w:rsid w:val="00731537"/>
    <w:rsid w:val="00732567"/>
    <w:rsid w:val="007325F8"/>
    <w:rsid w:val="00732775"/>
    <w:rsid w:val="007328E4"/>
    <w:rsid w:val="007330AF"/>
    <w:rsid w:val="00733464"/>
    <w:rsid w:val="00733ECC"/>
    <w:rsid w:val="00733F00"/>
    <w:rsid w:val="00735D95"/>
    <w:rsid w:val="007406FB"/>
    <w:rsid w:val="00740774"/>
    <w:rsid w:val="0074454B"/>
    <w:rsid w:val="00744D02"/>
    <w:rsid w:val="007451F5"/>
    <w:rsid w:val="007456C2"/>
    <w:rsid w:val="00747179"/>
    <w:rsid w:val="00750A7C"/>
    <w:rsid w:val="00750E5F"/>
    <w:rsid w:val="00750E70"/>
    <w:rsid w:val="00750F7D"/>
    <w:rsid w:val="00753CB5"/>
    <w:rsid w:val="00754132"/>
    <w:rsid w:val="007544AC"/>
    <w:rsid w:val="00756B1B"/>
    <w:rsid w:val="0076031F"/>
    <w:rsid w:val="00761CA4"/>
    <w:rsid w:val="0076632C"/>
    <w:rsid w:val="00771029"/>
    <w:rsid w:val="0077204B"/>
    <w:rsid w:val="00772EBC"/>
    <w:rsid w:val="007740D6"/>
    <w:rsid w:val="00775687"/>
    <w:rsid w:val="00775A0D"/>
    <w:rsid w:val="00776018"/>
    <w:rsid w:val="00777C74"/>
    <w:rsid w:val="007806DB"/>
    <w:rsid w:val="00780D73"/>
    <w:rsid w:val="00781299"/>
    <w:rsid w:val="007823FB"/>
    <w:rsid w:val="00782CC0"/>
    <w:rsid w:val="00786100"/>
    <w:rsid w:val="007875A4"/>
    <w:rsid w:val="00787A88"/>
    <w:rsid w:val="00792D3E"/>
    <w:rsid w:val="00794464"/>
    <w:rsid w:val="0079522E"/>
    <w:rsid w:val="00795D1F"/>
    <w:rsid w:val="00797158"/>
    <w:rsid w:val="007A0D4D"/>
    <w:rsid w:val="007A0E48"/>
    <w:rsid w:val="007A1C74"/>
    <w:rsid w:val="007A61E1"/>
    <w:rsid w:val="007A71FE"/>
    <w:rsid w:val="007A742A"/>
    <w:rsid w:val="007B0363"/>
    <w:rsid w:val="007B0E32"/>
    <w:rsid w:val="007B1108"/>
    <w:rsid w:val="007B24E1"/>
    <w:rsid w:val="007B26DB"/>
    <w:rsid w:val="007B3198"/>
    <w:rsid w:val="007B58EA"/>
    <w:rsid w:val="007B647F"/>
    <w:rsid w:val="007B6DA9"/>
    <w:rsid w:val="007C0C4C"/>
    <w:rsid w:val="007C434E"/>
    <w:rsid w:val="007C7262"/>
    <w:rsid w:val="007D024A"/>
    <w:rsid w:val="007D1E51"/>
    <w:rsid w:val="007D1EED"/>
    <w:rsid w:val="007D42CD"/>
    <w:rsid w:val="007D7119"/>
    <w:rsid w:val="007D7570"/>
    <w:rsid w:val="007E4870"/>
    <w:rsid w:val="007E50C4"/>
    <w:rsid w:val="007E51FF"/>
    <w:rsid w:val="007E5406"/>
    <w:rsid w:val="007E5AE3"/>
    <w:rsid w:val="007E5FB3"/>
    <w:rsid w:val="007F09B5"/>
    <w:rsid w:val="007F0A81"/>
    <w:rsid w:val="007F18BA"/>
    <w:rsid w:val="007F303E"/>
    <w:rsid w:val="007F3627"/>
    <w:rsid w:val="007F569E"/>
    <w:rsid w:val="0080135B"/>
    <w:rsid w:val="008037C5"/>
    <w:rsid w:val="00804AFB"/>
    <w:rsid w:val="00810AE7"/>
    <w:rsid w:val="00811788"/>
    <w:rsid w:val="00812F77"/>
    <w:rsid w:val="00815385"/>
    <w:rsid w:val="008156AF"/>
    <w:rsid w:val="00816328"/>
    <w:rsid w:val="00820505"/>
    <w:rsid w:val="0082448E"/>
    <w:rsid w:val="00826F9F"/>
    <w:rsid w:val="008274C3"/>
    <w:rsid w:val="00834398"/>
    <w:rsid w:val="00835D33"/>
    <w:rsid w:val="00836DE2"/>
    <w:rsid w:val="0083719E"/>
    <w:rsid w:val="0083735C"/>
    <w:rsid w:val="0083785F"/>
    <w:rsid w:val="00841FFE"/>
    <w:rsid w:val="00842D1C"/>
    <w:rsid w:val="00845C69"/>
    <w:rsid w:val="008466E9"/>
    <w:rsid w:val="00847178"/>
    <w:rsid w:val="00851B17"/>
    <w:rsid w:val="00851B9B"/>
    <w:rsid w:val="00851BDE"/>
    <w:rsid w:val="00851E2E"/>
    <w:rsid w:val="008520AE"/>
    <w:rsid w:val="00853D10"/>
    <w:rsid w:val="008548E0"/>
    <w:rsid w:val="00854D28"/>
    <w:rsid w:val="00855EE5"/>
    <w:rsid w:val="0086395A"/>
    <w:rsid w:val="00864BE1"/>
    <w:rsid w:val="00865474"/>
    <w:rsid w:val="008661A7"/>
    <w:rsid w:val="00870F2B"/>
    <w:rsid w:val="008725C1"/>
    <w:rsid w:val="008726E9"/>
    <w:rsid w:val="008726F5"/>
    <w:rsid w:val="008727A1"/>
    <w:rsid w:val="00873380"/>
    <w:rsid w:val="00874906"/>
    <w:rsid w:val="00876953"/>
    <w:rsid w:val="0088048D"/>
    <w:rsid w:val="00880C54"/>
    <w:rsid w:val="00881311"/>
    <w:rsid w:val="00883CE1"/>
    <w:rsid w:val="008874B2"/>
    <w:rsid w:val="00887DCD"/>
    <w:rsid w:val="00890B26"/>
    <w:rsid w:val="00890B48"/>
    <w:rsid w:val="00892D94"/>
    <w:rsid w:val="00895642"/>
    <w:rsid w:val="00895B80"/>
    <w:rsid w:val="0089662B"/>
    <w:rsid w:val="00896C4A"/>
    <w:rsid w:val="00896E93"/>
    <w:rsid w:val="00896FA4"/>
    <w:rsid w:val="008A0BF6"/>
    <w:rsid w:val="008A1709"/>
    <w:rsid w:val="008A359C"/>
    <w:rsid w:val="008A546B"/>
    <w:rsid w:val="008A7807"/>
    <w:rsid w:val="008B0057"/>
    <w:rsid w:val="008B19F8"/>
    <w:rsid w:val="008B7E2E"/>
    <w:rsid w:val="008C2971"/>
    <w:rsid w:val="008C2DCA"/>
    <w:rsid w:val="008C5F38"/>
    <w:rsid w:val="008C61C8"/>
    <w:rsid w:val="008C7EB7"/>
    <w:rsid w:val="008D1FD9"/>
    <w:rsid w:val="008D5503"/>
    <w:rsid w:val="008D5BC9"/>
    <w:rsid w:val="008E14FA"/>
    <w:rsid w:val="008E41BA"/>
    <w:rsid w:val="008E4C60"/>
    <w:rsid w:val="008F0E75"/>
    <w:rsid w:val="008F1FA0"/>
    <w:rsid w:val="008F26BF"/>
    <w:rsid w:val="008F3BC4"/>
    <w:rsid w:val="008F3E5D"/>
    <w:rsid w:val="00901CCF"/>
    <w:rsid w:val="009032D2"/>
    <w:rsid w:val="00905C84"/>
    <w:rsid w:val="0090730F"/>
    <w:rsid w:val="0090764B"/>
    <w:rsid w:val="00910EF3"/>
    <w:rsid w:val="00914981"/>
    <w:rsid w:val="009155C1"/>
    <w:rsid w:val="0091668F"/>
    <w:rsid w:val="00916ACA"/>
    <w:rsid w:val="00917A63"/>
    <w:rsid w:val="009207D7"/>
    <w:rsid w:val="0092109C"/>
    <w:rsid w:val="0092156D"/>
    <w:rsid w:val="00921A3F"/>
    <w:rsid w:val="00922D14"/>
    <w:rsid w:val="00923175"/>
    <w:rsid w:val="00923B6A"/>
    <w:rsid w:val="0092497F"/>
    <w:rsid w:val="00925A39"/>
    <w:rsid w:val="00926433"/>
    <w:rsid w:val="0092670C"/>
    <w:rsid w:val="00930C3C"/>
    <w:rsid w:val="00933131"/>
    <w:rsid w:val="00934372"/>
    <w:rsid w:val="00934E6D"/>
    <w:rsid w:val="009353C0"/>
    <w:rsid w:val="00935CBA"/>
    <w:rsid w:val="00936032"/>
    <w:rsid w:val="009403AE"/>
    <w:rsid w:val="00940C1B"/>
    <w:rsid w:val="00941124"/>
    <w:rsid w:val="00941DB5"/>
    <w:rsid w:val="00942CCC"/>
    <w:rsid w:val="009468BE"/>
    <w:rsid w:val="009475A6"/>
    <w:rsid w:val="009475EA"/>
    <w:rsid w:val="0095146A"/>
    <w:rsid w:val="00951DD6"/>
    <w:rsid w:val="0095200E"/>
    <w:rsid w:val="00952AA3"/>
    <w:rsid w:val="00953A1B"/>
    <w:rsid w:val="00953A61"/>
    <w:rsid w:val="00953D13"/>
    <w:rsid w:val="0095450D"/>
    <w:rsid w:val="009550A6"/>
    <w:rsid w:val="00955F75"/>
    <w:rsid w:val="00956272"/>
    <w:rsid w:val="00960667"/>
    <w:rsid w:val="00961176"/>
    <w:rsid w:val="00961425"/>
    <w:rsid w:val="00961B5B"/>
    <w:rsid w:val="0096595A"/>
    <w:rsid w:val="00967304"/>
    <w:rsid w:val="00970887"/>
    <w:rsid w:val="00970E6E"/>
    <w:rsid w:val="00971C63"/>
    <w:rsid w:val="0097312E"/>
    <w:rsid w:val="0097579D"/>
    <w:rsid w:val="00976725"/>
    <w:rsid w:val="00976CC2"/>
    <w:rsid w:val="009772AF"/>
    <w:rsid w:val="009774CA"/>
    <w:rsid w:val="0098085A"/>
    <w:rsid w:val="00982B09"/>
    <w:rsid w:val="00982E28"/>
    <w:rsid w:val="00990359"/>
    <w:rsid w:val="00990824"/>
    <w:rsid w:val="00991B57"/>
    <w:rsid w:val="009924BD"/>
    <w:rsid w:val="009940CD"/>
    <w:rsid w:val="00995202"/>
    <w:rsid w:val="0099778E"/>
    <w:rsid w:val="009A045C"/>
    <w:rsid w:val="009A138F"/>
    <w:rsid w:val="009A13EB"/>
    <w:rsid w:val="009A20E2"/>
    <w:rsid w:val="009A23BA"/>
    <w:rsid w:val="009A25C0"/>
    <w:rsid w:val="009A368A"/>
    <w:rsid w:val="009A4E64"/>
    <w:rsid w:val="009A715B"/>
    <w:rsid w:val="009B1BD1"/>
    <w:rsid w:val="009B1E6B"/>
    <w:rsid w:val="009B29B8"/>
    <w:rsid w:val="009B3CAB"/>
    <w:rsid w:val="009B3F1B"/>
    <w:rsid w:val="009B4777"/>
    <w:rsid w:val="009B568A"/>
    <w:rsid w:val="009B67D9"/>
    <w:rsid w:val="009C0D0E"/>
    <w:rsid w:val="009C43B5"/>
    <w:rsid w:val="009C4827"/>
    <w:rsid w:val="009C7269"/>
    <w:rsid w:val="009D058B"/>
    <w:rsid w:val="009D1745"/>
    <w:rsid w:val="009D3451"/>
    <w:rsid w:val="009D7D61"/>
    <w:rsid w:val="009E01E1"/>
    <w:rsid w:val="009E2081"/>
    <w:rsid w:val="009E49D8"/>
    <w:rsid w:val="009E58B9"/>
    <w:rsid w:val="009E6E0F"/>
    <w:rsid w:val="009E71F9"/>
    <w:rsid w:val="009E7600"/>
    <w:rsid w:val="009F0E4D"/>
    <w:rsid w:val="009F1763"/>
    <w:rsid w:val="009F2334"/>
    <w:rsid w:val="009F26FB"/>
    <w:rsid w:val="009F2A9F"/>
    <w:rsid w:val="00A009A5"/>
    <w:rsid w:val="00A0154F"/>
    <w:rsid w:val="00A0295C"/>
    <w:rsid w:val="00A029E3"/>
    <w:rsid w:val="00A04ED9"/>
    <w:rsid w:val="00A05CA1"/>
    <w:rsid w:val="00A06FFE"/>
    <w:rsid w:val="00A10691"/>
    <w:rsid w:val="00A1146B"/>
    <w:rsid w:val="00A11F5F"/>
    <w:rsid w:val="00A12A1D"/>
    <w:rsid w:val="00A13F78"/>
    <w:rsid w:val="00A14EF2"/>
    <w:rsid w:val="00A15635"/>
    <w:rsid w:val="00A1605C"/>
    <w:rsid w:val="00A235B7"/>
    <w:rsid w:val="00A244DE"/>
    <w:rsid w:val="00A247B6"/>
    <w:rsid w:val="00A25256"/>
    <w:rsid w:val="00A25D9C"/>
    <w:rsid w:val="00A266F4"/>
    <w:rsid w:val="00A272AF"/>
    <w:rsid w:val="00A308E3"/>
    <w:rsid w:val="00A31138"/>
    <w:rsid w:val="00A3228D"/>
    <w:rsid w:val="00A351EF"/>
    <w:rsid w:val="00A36D8C"/>
    <w:rsid w:val="00A42112"/>
    <w:rsid w:val="00A43263"/>
    <w:rsid w:val="00A43E22"/>
    <w:rsid w:val="00A45435"/>
    <w:rsid w:val="00A46B8E"/>
    <w:rsid w:val="00A47AE1"/>
    <w:rsid w:val="00A47EF4"/>
    <w:rsid w:val="00A50038"/>
    <w:rsid w:val="00A51087"/>
    <w:rsid w:val="00A53453"/>
    <w:rsid w:val="00A5414E"/>
    <w:rsid w:val="00A550FD"/>
    <w:rsid w:val="00A57D3A"/>
    <w:rsid w:val="00A60A15"/>
    <w:rsid w:val="00A60C74"/>
    <w:rsid w:val="00A61AE3"/>
    <w:rsid w:val="00A631DD"/>
    <w:rsid w:val="00A64033"/>
    <w:rsid w:val="00A7047D"/>
    <w:rsid w:val="00A71292"/>
    <w:rsid w:val="00A7164F"/>
    <w:rsid w:val="00A723E2"/>
    <w:rsid w:val="00A75D85"/>
    <w:rsid w:val="00A76D6D"/>
    <w:rsid w:val="00A76E1B"/>
    <w:rsid w:val="00A773F5"/>
    <w:rsid w:val="00A77B57"/>
    <w:rsid w:val="00A807EF"/>
    <w:rsid w:val="00A80FBF"/>
    <w:rsid w:val="00A82ADA"/>
    <w:rsid w:val="00A83A0F"/>
    <w:rsid w:val="00A84BA3"/>
    <w:rsid w:val="00A85E27"/>
    <w:rsid w:val="00A8629A"/>
    <w:rsid w:val="00A947EC"/>
    <w:rsid w:val="00A96E22"/>
    <w:rsid w:val="00AA1C63"/>
    <w:rsid w:val="00AA29E0"/>
    <w:rsid w:val="00AA32E7"/>
    <w:rsid w:val="00AA4A95"/>
    <w:rsid w:val="00AA4D61"/>
    <w:rsid w:val="00AA5FA6"/>
    <w:rsid w:val="00AA6949"/>
    <w:rsid w:val="00AA761A"/>
    <w:rsid w:val="00AB1C5F"/>
    <w:rsid w:val="00AB2E25"/>
    <w:rsid w:val="00AB30D2"/>
    <w:rsid w:val="00AB540F"/>
    <w:rsid w:val="00AB5E6E"/>
    <w:rsid w:val="00AB67FB"/>
    <w:rsid w:val="00AB68F8"/>
    <w:rsid w:val="00AB6F9E"/>
    <w:rsid w:val="00AB7854"/>
    <w:rsid w:val="00AC2D40"/>
    <w:rsid w:val="00AC7F35"/>
    <w:rsid w:val="00AD1E91"/>
    <w:rsid w:val="00AD2638"/>
    <w:rsid w:val="00AD30F3"/>
    <w:rsid w:val="00AD44C6"/>
    <w:rsid w:val="00AD5608"/>
    <w:rsid w:val="00AD7C56"/>
    <w:rsid w:val="00AE0638"/>
    <w:rsid w:val="00AE0A42"/>
    <w:rsid w:val="00AE21CA"/>
    <w:rsid w:val="00AE2EBE"/>
    <w:rsid w:val="00AE344C"/>
    <w:rsid w:val="00AE70F5"/>
    <w:rsid w:val="00AE7354"/>
    <w:rsid w:val="00AE78A1"/>
    <w:rsid w:val="00AF0488"/>
    <w:rsid w:val="00AF20FF"/>
    <w:rsid w:val="00AF21D9"/>
    <w:rsid w:val="00AF47F2"/>
    <w:rsid w:val="00AF4D5A"/>
    <w:rsid w:val="00AF7E85"/>
    <w:rsid w:val="00B00718"/>
    <w:rsid w:val="00B0074A"/>
    <w:rsid w:val="00B01079"/>
    <w:rsid w:val="00B01C2E"/>
    <w:rsid w:val="00B02745"/>
    <w:rsid w:val="00B02851"/>
    <w:rsid w:val="00B028C8"/>
    <w:rsid w:val="00B034AB"/>
    <w:rsid w:val="00B035A7"/>
    <w:rsid w:val="00B05DFB"/>
    <w:rsid w:val="00B063B4"/>
    <w:rsid w:val="00B079E9"/>
    <w:rsid w:val="00B11948"/>
    <w:rsid w:val="00B130B2"/>
    <w:rsid w:val="00B13E71"/>
    <w:rsid w:val="00B1465E"/>
    <w:rsid w:val="00B17804"/>
    <w:rsid w:val="00B21025"/>
    <w:rsid w:val="00B32B3E"/>
    <w:rsid w:val="00B3481E"/>
    <w:rsid w:val="00B36D3C"/>
    <w:rsid w:val="00B420D6"/>
    <w:rsid w:val="00B4245C"/>
    <w:rsid w:val="00B45A61"/>
    <w:rsid w:val="00B4636F"/>
    <w:rsid w:val="00B47A1E"/>
    <w:rsid w:val="00B50B08"/>
    <w:rsid w:val="00B528EF"/>
    <w:rsid w:val="00B52CF7"/>
    <w:rsid w:val="00B53A9E"/>
    <w:rsid w:val="00B547D7"/>
    <w:rsid w:val="00B55A42"/>
    <w:rsid w:val="00B55B5E"/>
    <w:rsid w:val="00B55D99"/>
    <w:rsid w:val="00B60BA4"/>
    <w:rsid w:val="00B62032"/>
    <w:rsid w:val="00B628D0"/>
    <w:rsid w:val="00B63690"/>
    <w:rsid w:val="00B67AE2"/>
    <w:rsid w:val="00B70BB2"/>
    <w:rsid w:val="00B71893"/>
    <w:rsid w:val="00B72778"/>
    <w:rsid w:val="00B7344B"/>
    <w:rsid w:val="00B74429"/>
    <w:rsid w:val="00B76945"/>
    <w:rsid w:val="00B82EDA"/>
    <w:rsid w:val="00B83599"/>
    <w:rsid w:val="00B839FB"/>
    <w:rsid w:val="00B8451F"/>
    <w:rsid w:val="00B86850"/>
    <w:rsid w:val="00B87BF5"/>
    <w:rsid w:val="00B91901"/>
    <w:rsid w:val="00B93051"/>
    <w:rsid w:val="00B930BA"/>
    <w:rsid w:val="00B93E73"/>
    <w:rsid w:val="00B95A3C"/>
    <w:rsid w:val="00B9773D"/>
    <w:rsid w:val="00B97E6E"/>
    <w:rsid w:val="00BA1009"/>
    <w:rsid w:val="00BA22E0"/>
    <w:rsid w:val="00BA2A7C"/>
    <w:rsid w:val="00BA4026"/>
    <w:rsid w:val="00BA41AA"/>
    <w:rsid w:val="00BA51EE"/>
    <w:rsid w:val="00BA6C8F"/>
    <w:rsid w:val="00BA6D91"/>
    <w:rsid w:val="00BA70D4"/>
    <w:rsid w:val="00BB15BD"/>
    <w:rsid w:val="00BB1BFE"/>
    <w:rsid w:val="00BB1D6A"/>
    <w:rsid w:val="00BB3259"/>
    <w:rsid w:val="00BB3632"/>
    <w:rsid w:val="00BB3B04"/>
    <w:rsid w:val="00BB474A"/>
    <w:rsid w:val="00BB614F"/>
    <w:rsid w:val="00BB6CC8"/>
    <w:rsid w:val="00BC2DF6"/>
    <w:rsid w:val="00BC2FA7"/>
    <w:rsid w:val="00BC3661"/>
    <w:rsid w:val="00BC6C20"/>
    <w:rsid w:val="00BD14F1"/>
    <w:rsid w:val="00BD156F"/>
    <w:rsid w:val="00BD3725"/>
    <w:rsid w:val="00BD5C17"/>
    <w:rsid w:val="00BE0E72"/>
    <w:rsid w:val="00BE1D3C"/>
    <w:rsid w:val="00BE2098"/>
    <w:rsid w:val="00BE21AD"/>
    <w:rsid w:val="00BE24CB"/>
    <w:rsid w:val="00BE4730"/>
    <w:rsid w:val="00BE4D84"/>
    <w:rsid w:val="00BE66C5"/>
    <w:rsid w:val="00BE7443"/>
    <w:rsid w:val="00BF20D4"/>
    <w:rsid w:val="00BF4206"/>
    <w:rsid w:val="00BF58FC"/>
    <w:rsid w:val="00C01D73"/>
    <w:rsid w:val="00C0200B"/>
    <w:rsid w:val="00C02D40"/>
    <w:rsid w:val="00C03D82"/>
    <w:rsid w:val="00C04A9B"/>
    <w:rsid w:val="00C05770"/>
    <w:rsid w:val="00C103CE"/>
    <w:rsid w:val="00C117CB"/>
    <w:rsid w:val="00C133A7"/>
    <w:rsid w:val="00C13D4E"/>
    <w:rsid w:val="00C1590D"/>
    <w:rsid w:val="00C171E5"/>
    <w:rsid w:val="00C2059B"/>
    <w:rsid w:val="00C2337D"/>
    <w:rsid w:val="00C2346F"/>
    <w:rsid w:val="00C25322"/>
    <w:rsid w:val="00C25D1B"/>
    <w:rsid w:val="00C2706D"/>
    <w:rsid w:val="00C27343"/>
    <w:rsid w:val="00C275A0"/>
    <w:rsid w:val="00C306A4"/>
    <w:rsid w:val="00C30998"/>
    <w:rsid w:val="00C30B7B"/>
    <w:rsid w:val="00C35933"/>
    <w:rsid w:val="00C35FF8"/>
    <w:rsid w:val="00C37561"/>
    <w:rsid w:val="00C37ADC"/>
    <w:rsid w:val="00C4024D"/>
    <w:rsid w:val="00C40A56"/>
    <w:rsid w:val="00C40F0A"/>
    <w:rsid w:val="00C43855"/>
    <w:rsid w:val="00C43F7D"/>
    <w:rsid w:val="00C44669"/>
    <w:rsid w:val="00C464B3"/>
    <w:rsid w:val="00C47627"/>
    <w:rsid w:val="00C47DA2"/>
    <w:rsid w:val="00C50BF1"/>
    <w:rsid w:val="00C53180"/>
    <w:rsid w:val="00C542EA"/>
    <w:rsid w:val="00C55411"/>
    <w:rsid w:val="00C55883"/>
    <w:rsid w:val="00C56000"/>
    <w:rsid w:val="00C56C82"/>
    <w:rsid w:val="00C56EC5"/>
    <w:rsid w:val="00C60369"/>
    <w:rsid w:val="00C632A0"/>
    <w:rsid w:val="00C635C2"/>
    <w:rsid w:val="00C6375F"/>
    <w:rsid w:val="00C64849"/>
    <w:rsid w:val="00C67E5C"/>
    <w:rsid w:val="00C7089C"/>
    <w:rsid w:val="00C73BB7"/>
    <w:rsid w:val="00C80225"/>
    <w:rsid w:val="00C8027C"/>
    <w:rsid w:val="00C80903"/>
    <w:rsid w:val="00C81504"/>
    <w:rsid w:val="00C82220"/>
    <w:rsid w:val="00C83693"/>
    <w:rsid w:val="00C86034"/>
    <w:rsid w:val="00C8605D"/>
    <w:rsid w:val="00C869C3"/>
    <w:rsid w:val="00C87064"/>
    <w:rsid w:val="00C87BA0"/>
    <w:rsid w:val="00C901CF"/>
    <w:rsid w:val="00C92E59"/>
    <w:rsid w:val="00C93C20"/>
    <w:rsid w:val="00C94F96"/>
    <w:rsid w:val="00C96E5E"/>
    <w:rsid w:val="00CA0E0C"/>
    <w:rsid w:val="00CA3DA3"/>
    <w:rsid w:val="00CA4BF2"/>
    <w:rsid w:val="00CB0251"/>
    <w:rsid w:val="00CB0B1C"/>
    <w:rsid w:val="00CB259C"/>
    <w:rsid w:val="00CB281A"/>
    <w:rsid w:val="00CB332B"/>
    <w:rsid w:val="00CB4628"/>
    <w:rsid w:val="00CB6089"/>
    <w:rsid w:val="00CB7289"/>
    <w:rsid w:val="00CC2FE0"/>
    <w:rsid w:val="00CC66D1"/>
    <w:rsid w:val="00CD040A"/>
    <w:rsid w:val="00CD112A"/>
    <w:rsid w:val="00CD2F1F"/>
    <w:rsid w:val="00CD3006"/>
    <w:rsid w:val="00CD4C0F"/>
    <w:rsid w:val="00CD4C5E"/>
    <w:rsid w:val="00CE039B"/>
    <w:rsid w:val="00CE1933"/>
    <w:rsid w:val="00CE22D3"/>
    <w:rsid w:val="00CE26A5"/>
    <w:rsid w:val="00CE276B"/>
    <w:rsid w:val="00CE6E77"/>
    <w:rsid w:val="00CE70F6"/>
    <w:rsid w:val="00CF02D3"/>
    <w:rsid w:val="00CF0C22"/>
    <w:rsid w:val="00CF4A2E"/>
    <w:rsid w:val="00CF5E13"/>
    <w:rsid w:val="00CF655A"/>
    <w:rsid w:val="00CF66D8"/>
    <w:rsid w:val="00CF6E69"/>
    <w:rsid w:val="00D00DF2"/>
    <w:rsid w:val="00D04729"/>
    <w:rsid w:val="00D04CA0"/>
    <w:rsid w:val="00D05F20"/>
    <w:rsid w:val="00D07CFD"/>
    <w:rsid w:val="00D10345"/>
    <w:rsid w:val="00D108D8"/>
    <w:rsid w:val="00D11C40"/>
    <w:rsid w:val="00D13929"/>
    <w:rsid w:val="00D15469"/>
    <w:rsid w:val="00D17E46"/>
    <w:rsid w:val="00D218C5"/>
    <w:rsid w:val="00D219D1"/>
    <w:rsid w:val="00D23DBA"/>
    <w:rsid w:val="00D26E1A"/>
    <w:rsid w:val="00D322F9"/>
    <w:rsid w:val="00D33D5A"/>
    <w:rsid w:val="00D34965"/>
    <w:rsid w:val="00D34A97"/>
    <w:rsid w:val="00D4081C"/>
    <w:rsid w:val="00D414E0"/>
    <w:rsid w:val="00D4656C"/>
    <w:rsid w:val="00D47F62"/>
    <w:rsid w:val="00D505CB"/>
    <w:rsid w:val="00D52850"/>
    <w:rsid w:val="00D53523"/>
    <w:rsid w:val="00D55909"/>
    <w:rsid w:val="00D56A5E"/>
    <w:rsid w:val="00D5755A"/>
    <w:rsid w:val="00D612D1"/>
    <w:rsid w:val="00D61BF6"/>
    <w:rsid w:val="00D624BE"/>
    <w:rsid w:val="00D639E1"/>
    <w:rsid w:val="00D63C05"/>
    <w:rsid w:val="00D651A8"/>
    <w:rsid w:val="00D6580C"/>
    <w:rsid w:val="00D67181"/>
    <w:rsid w:val="00D6724C"/>
    <w:rsid w:val="00D67529"/>
    <w:rsid w:val="00D6783F"/>
    <w:rsid w:val="00D70C2D"/>
    <w:rsid w:val="00D70F35"/>
    <w:rsid w:val="00D72E18"/>
    <w:rsid w:val="00D734CB"/>
    <w:rsid w:val="00D73E99"/>
    <w:rsid w:val="00D74CAC"/>
    <w:rsid w:val="00D77AEB"/>
    <w:rsid w:val="00D80854"/>
    <w:rsid w:val="00D81E7E"/>
    <w:rsid w:val="00D85A1E"/>
    <w:rsid w:val="00D876B0"/>
    <w:rsid w:val="00D87DAC"/>
    <w:rsid w:val="00D918D2"/>
    <w:rsid w:val="00D91A71"/>
    <w:rsid w:val="00D91E6C"/>
    <w:rsid w:val="00D93986"/>
    <w:rsid w:val="00D95336"/>
    <w:rsid w:val="00D95599"/>
    <w:rsid w:val="00D97FD9"/>
    <w:rsid w:val="00DA03B1"/>
    <w:rsid w:val="00DA4FF8"/>
    <w:rsid w:val="00DA57CB"/>
    <w:rsid w:val="00DA60FC"/>
    <w:rsid w:val="00DA7BAF"/>
    <w:rsid w:val="00DB26C1"/>
    <w:rsid w:val="00DB3C9F"/>
    <w:rsid w:val="00DB4C04"/>
    <w:rsid w:val="00DB4F75"/>
    <w:rsid w:val="00DB6468"/>
    <w:rsid w:val="00DB7450"/>
    <w:rsid w:val="00DB75E4"/>
    <w:rsid w:val="00DC00D6"/>
    <w:rsid w:val="00DC24F9"/>
    <w:rsid w:val="00DC2E1B"/>
    <w:rsid w:val="00DC33A8"/>
    <w:rsid w:val="00DC502B"/>
    <w:rsid w:val="00DC5394"/>
    <w:rsid w:val="00DC77A5"/>
    <w:rsid w:val="00DD4C55"/>
    <w:rsid w:val="00DD7A4D"/>
    <w:rsid w:val="00DE1E25"/>
    <w:rsid w:val="00DE310A"/>
    <w:rsid w:val="00DE33C6"/>
    <w:rsid w:val="00DE4312"/>
    <w:rsid w:val="00DE479C"/>
    <w:rsid w:val="00DE67FE"/>
    <w:rsid w:val="00DE74D8"/>
    <w:rsid w:val="00DF28F9"/>
    <w:rsid w:val="00DF405E"/>
    <w:rsid w:val="00DF46D9"/>
    <w:rsid w:val="00DF566B"/>
    <w:rsid w:val="00DF77C4"/>
    <w:rsid w:val="00DF7975"/>
    <w:rsid w:val="00E01942"/>
    <w:rsid w:val="00E04200"/>
    <w:rsid w:val="00E053DF"/>
    <w:rsid w:val="00E07865"/>
    <w:rsid w:val="00E105A7"/>
    <w:rsid w:val="00E13446"/>
    <w:rsid w:val="00E141AB"/>
    <w:rsid w:val="00E160AE"/>
    <w:rsid w:val="00E20B8E"/>
    <w:rsid w:val="00E275F3"/>
    <w:rsid w:val="00E30D41"/>
    <w:rsid w:val="00E32BDE"/>
    <w:rsid w:val="00E34059"/>
    <w:rsid w:val="00E35903"/>
    <w:rsid w:val="00E35F3F"/>
    <w:rsid w:val="00E35FA2"/>
    <w:rsid w:val="00E36B11"/>
    <w:rsid w:val="00E37456"/>
    <w:rsid w:val="00E37961"/>
    <w:rsid w:val="00E40B0D"/>
    <w:rsid w:val="00E42157"/>
    <w:rsid w:val="00E42C0D"/>
    <w:rsid w:val="00E42F81"/>
    <w:rsid w:val="00E43410"/>
    <w:rsid w:val="00E45DB7"/>
    <w:rsid w:val="00E46018"/>
    <w:rsid w:val="00E50068"/>
    <w:rsid w:val="00E53AD2"/>
    <w:rsid w:val="00E54552"/>
    <w:rsid w:val="00E547F7"/>
    <w:rsid w:val="00E55E71"/>
    <w:rsid w:val="00E56F68"/>
    <w:rsid w:val="00E57499"/>
    <w:rsid w:val="00E57DEA"/>
    <w:rsid w:val="00E61231"/>
    <w:rsid w:val="00E62331"/>
    <w:rsid w:val="00E65BC1"/>
    <w:rsid w:val="00E673B4"/>
    <w:rsid w:val="00E677F3"/>
    <w:rsid w:val="00E71021"/>
    <w:rsid w:val="00E711D0"/>
    <w:rsid w:val="00E732A1"/>
    <w:rsid w:val="00E758C1"/>
    <w:rsid w:val="00E766A1"/>
    <w:rsid w:val="00E81B64"/>
    <w:rsid w:val="00E823FA"/>
    <w:rsid w:val="00E827FA"/>
    <w:rsid w:val="00E84F92"/>
    <w:rsid w:val="00E85646"/>
    <w:rsid w:val="00E86345"/>
    <w:rsid w:val="00E87CE5"/>
    <w:rsid w:val="00E87E3B"/>
    <w:rsid w:val="00E90567"/>
    <w:rsid w:val="00E93AD9"/>
    <w:rsid w:val="00E94868"/>
    <w:rsid w:val="00E95B89"/>
    <w:rsid w:val="00E95F66"/>
    <w:rsid w:val="00E969A6"/>
    <w:rsid w:val="00E96EC4"/>
    <w:rsid w:val="00E97A21"/>
    <w:rsid w:val="00EA012D"/>
    <w:rsid w:val="00EA1238"/>
    <w:rsid w:val="00EA1A10"/>
    <w:rsid w:val="00EA3903"/>
    <w:rsid w:val="00EA50BF"/>
    <w:rsid w:val="00EA5320"/>
    <w:rsid w:val="00EA5330"/>
    <w:rsid w:val="00EA535C"/>
    <w:rsid w:val="00EA7597"/>
    <w:rsid w:val="00EB009F"/>
    <w:rsid w:val="00EB2456"/>
    <w:rsid w:val="00EB31F0"/>
    <w:rsid w:val="00EC1CCC"/>
    <w:rsid w:val="00EC1F26"/>
    <w:rsid w:val="00EC2A6D"/>
    <w:rsid w:val="00EC2C53"/>
    <w:rsid w:val="00EC4421"/>
    <w:rsid w:val="00EC45E8"/>
    <w:rsid w:val="00EC5595"/>
    <w:rsid w:val="00EC6B75"/>
    <w:rsid w:val="00ED3040"/>
    <w:rsid w:val="00ED5FB6"/>
    <w:rsid w:val="00ED5FDE"/>
    <w:rsid w:val="00ED6C02"/>
    <w:rsid w:val="00EE1C5D"/>
    <w:rsid w:val="00EE4450"/>
    <w:rsid w:val="00EE65AA"/>
    <w:rsid w:val="00EE6697"/>
    <w:rsid w:val="00EE7C9D"/>
    <w:rsid w:val="00EE7E09"/>
    <w:rsid w:val="00EF0D47"/>
    <w:rsid w:val="00EF0F99"/>
    <w:rsid w:val="00EF1839"/>
    <w:rsid w:val="00EF23DA"/>
    <w:rsid w:val="00EF25C0"/>
    <w:rsid w:val="00EF29DB"/>
    <w:rsid w:val="00EF2F90"/>
    <w:rsid w:val="00EF4ACF"/>
    <w:rsid w:val="00EF4D7C"/>
    <w:rsid w:val="00F03A2F"/>
    <w:rsid w:val="00F06A94"/>
    <w:rsid w:val="00F06E0F"/>
    <w:rsid w:val="00F0729F"/>
    <w:rsid w:val="00F1272D"/>
    <w:rsid w:val="00F14354"/>
    <w:rsid w:val="00F16DE3"/>
    <w:rsid w:val="00F20BD2"/>
    <w:rsid w:val="00F20C70"/>
    <w:rsid w:val="00F21F33"/>
    <w:rsid w:val="00F22CAE"/>
    <w:rsid w:val="00F23250"/>
    <w:rsid w:val="00F233C8"/>
    <w:rsid w:val="00F24710"/>
    <w:rsid w:val="00F27875"/>
    <w:rsid w:val="00F310F2"/>
    <w:rsid w:val="00F32009"/>
    <w:rsid w:val="00F3310B"/>
    <w:rsid w:val="00F3463A"/>
    <w:rsid w:val="00F34EA7"/>
    <w:rsid w:val="00F36A18"/>
    <w:rsid w:val="00F37C0A"/>
    <w:rsid w:val="00F40237"/>
    <w:rsid w:val="00F41817"/>
    <w:rsid w:val="00F43D48"/>
    <w:rsid w:val="00F44C2B"/>
    <w:rsid w:val="00F44FB4"/>
    <w:rsid w:val="00F4580A"/>
    <w:rsid w:val="00F56F3D"/>
    <w:rsid w:val="00F57D7A"/>
    <w:rsid w:val="00F57FE5"/>
    <w:rsid w:val="00F60A4D"/>
    <w:rsid w:val="00F60CF9"/>
    <w:rsid w:val="00F618E7"/>
    <w:rsid w:val="00F62C93"/>
    <w:rsid w:val="00F639CC"/>
    <w:rsid w:val="00F63B15"/>
    <w:rsid w:val="00F64389"/>
    <w:rsid w:val="00F6724D"/>
    <w:rsid w:val="00F673C4"/>
    <w:rsid w:val="00F67C0A"/>
    <w:rsid w:val="00F67C8E"/>
    <w:rsid w:val="00F72245"/>
    <w:rsid w:val="00F73FFE"/>
    <w:rsid w:val="00F748F1"/>
    <w:rsid w:val="00F757CE"/>
    <w:rsid w:val="00F76F77"/>
    <w:rsid w:val="00F83785"/>
    <w:rsid w:val="00F83FD9"/>
    <w:rsid w:val="00F84AC5"/>
    <w:rsid w:val="00F84DA2"/>
    <w:rsid w:val="00F8795D"/>
    <w:rsid w:val="00F90268"/>
    <w:rsid w:val="00F91038"/>
    <w:rsid w:val="00F91798"/>
    <w:rsid w:val="00F9240C"/>
    <w:rsid w:val="00F93AAC"/>
    <w:rsid w:val="00F96CAA"/>
    <w:rsid w:val="00FA04E5"/>
    <w:rsid w:val="00FB02B0"/>
    <w:rsid w:val="00FB2474"/>
    <w:rsid w:val="00FB375A"/>
    <w:rsid w:val="00FB481B"/>
    <w:rsid w:val="00FC0B1A"/>
    <w:rsid w:val="00FC469B"/>
    <w:rsid w:val="00FC5AA7"/>
    <w:rsid w:val="00FC5C52"/>
    <w:rsid w:val="00FC6122"/>
    <w:rsid w:val="00FC62FC"/>
    <w:rsid w:val="00FC6901"/>
    <w:rsid w:val="00FD23A0"/>
    <w:rsid w:val="00FD3016"/>
    <w:rsid w:val="00FD56C6"/>
    <w:rsid w:val="00FD6477"/>
    <w:rsid w:val="00FD7A0B"/>
    <w:rsid w:val="00FE0A87"/>
    <w:rsid w:val="00FE0AC9"/>
    <w:rsid w:val="00FE32BA"/>
    <w:rsid w:val="00FE5FC7"/>
    <w:rsid w:val="00FE6844"/>
    <w:rsid w:val="00FE7596"/>
    <w:rsid w:val="00FF1EA0"/>
    <w:rsid w:val="00FF2C13"/>
    <w:rsid w:val="00FF4A90"/>
    <w:rsid w:val="00FF4C90"/>
    <w:rsid w:val="00FF5565"/>
    <w:rsid w:val="00FF59B9"/>
    <w:rsid w:val="01DD24BF"/>
    <w:rsid w:val="024F1BDC"/>
    <w:rsid w:val="04663AF7"/>
    <w:rsid w:val="0486321A"/>
    <w:rsid w:val="05683CA8"/>
    <w:rsid w:val="0B692E6E"/>
    <w:rsid w:val="0DB04085"/>
    <w:rsid w:val="0E681B05"/>
    <w:rsid w:val="0F6C0411"/>
    <w:rsid w:val="11224E29"/>
    <w:rsid w:val="181A2095"/>
    <w:rsid w:val="1C7C6F51"/>
    <w:rsid w:val="1CEB326A"/>
    <w:rsid w:val="1D9706B9"/>
    <w:rsid w:val="1EBF57EE"/>
    <w:rsid w:val="23491975"/>
    <w:rsid w:val="24B822C5"/>
    <w:rsid w:val="26B33CEE"/>
    <w:rsid w:val="2C80049B"/>
    <w:rsid w:val="2F305E65"/>
    <w:rsid w:val="32EF34A0"/>
    <w:rsid w:val="33364C5E"/>
    <w:rsid w:val="38127E7F"/>
    <w:rsid w:val="383353EC"/>
    <w:rsid w:val="3BAD72DA"/>
    <w:rsid w:val="3CF514A7"/>
    <w:rsid w:val="3D2C5728"/>
    <w:rsid w:val="41846054"/>
    <w:rsid w:val="43EF4B35"/>
    <w:rsid w:val="448F3D81"/>
    <w:rsid w:val="47721FD1"/>
    <w:rsid w:val="4AA520C4"/>
    <w:rsid w:val="4AB1763D"/>
    <w:rsid w:val="4AF77D90"/>
    <w:rsid w:val="4C1F48A9"/>
    <w:rsid w:val="4C6F0C78"/>
    <w:rsid w:val="4D4F4288"/>
    <w:rsid w:val="51CB7784"/>
    <w:rsid w:val="525A13B6"/>
    <w:rsid w:val="54B459C3"/>
    <w:rsid w:val="57571CBA"/>
    <w:rsid w:val="5997458A"/>
    <w:rsid w:val="59C27F5C"/>
    <w:rsid w:val="5AF739BD"/>
    <w:rsid w:val="5BD73E49"/>
    <w:rsid w:val="66D10152"/>
    <w:rsid w:val="681E5F2E"/>
    <w:rsid w:val="68B06D17"/>
    <w:rsid w:val="69180B82"/>
    <w:rsid w:val="69EDFD0E"/>
    <w:rsid w:val="6A8F0A89"/>
    <w:rsid w:val="6AE829C7"/>
    <w:rsid w:val="6CED6303"/>
    <w:rsid w:val="6E1376EA"/>
    <w:rsid w:val="6EEE5939"/>
    <w:rsid w:val="6FA62BEE"/>
    <w:rsid w:val="70934269"/>
    <w:rsid w:val="709541F4"/>
    <w:rsid w:val="72EE39DC"/>
    <w:rsid w:val="75886DF9"/>
    <w:rsid w:val="77201B6C"/>
    <w:rsid w:val="782C5FE4"/>
    <w:rsid w:val="7A072A36"/>
    <w:rsid w:val="7DFD6BDE"/>
    <w:rsid w:val="7E3855A4"/>
    <w:rsid w:val="7FF97092"/>
    <w:rsid w:val="B3774A8F"/>
    <w:rsid w:val="C3FFB79D"/>
    <w:rsid w:val="C5FB5335"/>
    <w:rsid w:val="F4EF7C7E"/>
    <w:rsid w:val="F67B6A81"/>
    <w:rsid w:val="FFD7B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name="table of authorities"/>
    <w:lsdException w:uiPriority="99" w:name="macro"/>
    <w:lsdException w:qFormat="1" w:unhideWhenUsed="0" w:uiPriority="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4"/>
    <w:next w:val="1"/>
    <w:link w:val="45"/>
    <w:qFormat/>
    <w:uiPriority w:val="0"/>
    <w:pPr>
      <w:keepNext w:val="0"/>
      <w:keepLines w:val="0"/>
      <w:spacing w:before="0" w:after="0" w:line="240" w:lineRule="auto"/>
      <w:ind w:firstLine="600" w:firstLineChars="200"/>
      <w:jc w:val="left"/>
      <w:outlineLvl w:val="1"/>
    </w:pPr>
    <w:rPr>
      <w:rFonts w:ascii="黑体" w:hAnsi="黑体" w:eastAsia="黑体"/>
      <w:b w:val="0"/>
      <w:bCs w:val="0"/>
      <w:smallCaps/>
      <w:sz w:val="30"/>
      <w:szCs w:val="30"/>
    </w:rPr>
  </w:style>
  <w:style w:type="paragraph" w:styleId="4">
    <w:name w:val="heading 3"/>
    <w:basedOn w:val="1"/>
    <w:next w:val="1"/>
    <w:link w:val="44"/>
    <w:qFormat/>
    <w:uiPriority w:val="0"/>
    <w:pPr>
      <w:keepNext/>
      <w:keepLines/>
      <w:spacing w:before="260" w:after="260" w:line="416" w:lineRule="auto"/>
      <w:outlineLvl w:val="2"/>
    </w:pPr>
    <w:rPr>
      <w:b/>
      <w:bCs/>
      <w:sz w:val="32"/>
      <w:szCs w:val="32"/>
    </w:r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00" w:leftChars="400" w:hanging="200" w:hangingChars="200"/>
    </w:pPr>
  </w:style>
  <w:style w:type="paragraph" w:styleId="6">
    <w:name w:val="table of authorities"/>
    <w:basedOn w:val="1"/>
    <w:next w:val="1"/>
    <w:semiHidden/>
    <w:qFormat/>
    <w:uiPriority w:val="0"/>
    <w:pPr>
      <w:ind w:left="420" w:leftChars="200"/>
    </w:pPr>
  </w:style>
  <w:style w:type="paragraph" w:styleId="7">
    <w:name w:val="index 8"/>
    <w:basedOn w:val="1"/>
    <w:next w:val="1"/>
    <w:semiHidden/>
    <w:qFormat/>
    <w:uiPriority w:val="0"/>
    <w:pPr>
      <w:ind w:left="1400" w:leftChars="1400"/>
    </w:pPr>
  </w:style>
  <w:style w:type="paragraph" w:styleId="8">
    <w:name w:val="index 5"/>
    <w:basedOn w:val="1"/>
    <w:next w:val="1"/>
    <w:semiHidden/>
    <w:qFormat/>
    <w:uiPriority w:val="0"/>
    <w:pPr>
      <w:ind w:left="800" w:leftChars="800"/>
    </w:pPr>
  </w:style>
  <w:style w:type="paragraph" w:styleId="9">
    <w:name w:val="Document Map"/>
    <w:basedOn w:val="1"/>
    <w:link w:val="46"/>
    <w:unhideWhenUsed/>
    <w:qFormat/>
    <w:uiPriority w:val="99"/>
    <w:rPr>
      <w:rFonts w:ascii="宋体"/>
      <w:sz w:val="18"/>
      <w:szCs w:val="18"/>
    </w:rPr>
  </w:style>
  <w:style w:type="paragraph" w:styleId="10">
    <w:name w:val="toa heading"/>
    <w:basedOn w:val="1"/>
    <w:next w:val="1"/>
    <w:semiHidden/>
    <w:qFormat/>
    <w:uiPriority w:val="0"/>
    <w:pPr>
      <w:spacing w:before="120"/>
    </w:pPr>
    <w:rPr>
      <w:rFonts w:ascii="Arial" w:hAnsi="Arial"/>
      <w:b/>
      <w:bCs/>
    </w:rPr>
  </w:style>
  <w:style w:type="paragraph" w:styleId="11">
    <w:name w:val="annotation text"/>
    <w:basedOn w:val="1"/>
    <w:semiHidden/>
    <w:qFormat/>
    <w:uiPriority w:val="0"/>
    <w:pPr>
      <w:jc w:val="left"/>
    </w:pPr>
  </w:style>
  <w:style w:type="paragraph" w:styleId="12">
    <w:name w:val="index 6"/>
    <w:basedOn w:val="1"/>
    <w:next w:val="1"/>
    <w:semiHidden/>
    <w:qFormat/>
    <w:uiPriority w:val="0"/>
    <w:pPr>
      <w:ind w:left="1000" w:leftChars="1000"/>
    </w:pPr>
  </w:style>
  <w:style w:type="paragraph" w:styleId="13">
    <w:name w:val="Body Text"/>
    <w:basedOn w:val="1"/>
    <w:qFormat/>
    <w:uiPriority w:val="0"/>
    <w:pPr>
      <w:spacing w:after="120"/>
    </w:pPr>
  </w:style>
  <w:style w:type="paragraph" w:styleId="14">
    <w:name w:val="Body Text Indent"/>
    <w:basedOn w:val="1"/>
    <w:qFormat/>
    <w:uiPriority w:val="0"/>
    <w:pPr>
      <w:spacing w:after="120"/>
      <w:ind w:left="420" w:leftChars="200"/>
    </w:pPr>
  </w:style>
  <w:style w:type="paragraph" w:styleId="15">
    <w:name w:val="List 2"/>
    <w:basedOn w:val="1"/>
    <w:qFormat/>
    <w:uiPriority w:val="0"/>
    <w:pPr>
      <w:ind w:left="100" w:leftChars="200" w:hanging="200" w:hangingChars="200"/>
    </w:pPr>
  </w:style>
  <w:style w:type="paragraph" w:styleId="16">
    <w:name w:val="List Continue"/>
    <w:basedOn w:val="1"/>
    <w:qFormat/>
    <w:uiPriority w:val="0"/>
    <w:pPr>
      <w:spacing w:after="120"/>
      <w:ind w:left="420" w:leftChars="200"/>
    </w:pPr>
  </w:style>
  <w:style w:type="paragraph" w:styleId="17">
    <w:name w:val="List Bullet 2"/>
    <w:basedOn w:val="1"/>
    <w:qFormat/>
    <w:uiPriority w:val="0"/>
    <w:pPr>
      <w:numPr>
        <w:ilvl w:val="0"/>
        <w:numId w:val="1"/>
      </w:numPr>
    </w:pPr>
  </w:style>
  <w:style w:type="paragraph" w:styleId="18">
    <w:name w:val="index 4"/>
    <w:basedOn w:val="1"/>
    <w:next w:val="1"/>
    <w:semiHidden/>
    <w:qFormat/>
    <w:uiPriority w:val="0"/>
    <w:pPr>
      <w:ind w:left="600" w:leftChars="600"/>
    </w:pPr>
  </w:style>
  <w:style w:type="paragraph" w:styleId="19">
    <w:name w:val="Plain Text"/>
    <w:basedOn w:val="1"/>
    <w:qFormat/>
    <w:uiPriority w:val="0"/>
    <w:rPr>
      <w:rFonts w:ascii="宋体" w:hAnsi="Courier New" w:cs="仿宋_GB2312"/>
      <w:szCs w:val="21"/>
    </w:rPr>
  </w:style>
  <w:style w:type="paragraph" w:styleId="20">
    <w:name w:val="index 3"/>
    <w:basedOn w:val="1"/>
    <w:next w:val="1"/>
    <w:semiHidden/>
    <w:qFormat/>
    <w:uiPriority w:val="0"/>
    <w:pPr>
      <w:ind w:left="400" w:leftChars="400"/>
    </w:pPr>
  </w:style>
  <w:style w:type="paragraph" w:styleId="21">
    <w:name w:val="Body Text Indent 2"/>
    <w:basedOn w:val="1"/>
    <w:qFormat/>
    <w:uiPriority w:val="0"/>
    <w:pPr>
      <w:ind w:firstLine="720" w:firstLineChars="239"/>
    </w:pPr>
    <w:rPr>
      <w:b/>
      <w:bCs/>
      <w:sz w:val="30"/>
    </w:rPr>
  </w:style>
  <w:style w:type="paragraph" w:styleId="22">
    <w:name w:val="Balloon Text"/>
    <w:basedOn w:val="1"/>
    <w:semiHidden/>
    <w:qFormat/>
    <w:uiPriority w:val="0"/>
    <w:rPr>
      <w:sz w:val="18"/>
      <w:szCs w:val="18"/>
    </w:rPr>
  </w:style>
  <w:style w:type="paragraph" w:styleId="23">
    <w:name w:val="footer"/>
    <w:basedOn w:val="1"/>
    <w:link w:val="47"/>
    <w:qFormat/>
    <w:uiPriority w:val="99"/>
    <w:pPr>
      <w:tabs>
        <w:tab w:val="center" w:pos="4153"/>
        <w:tab w:val="right" w:pos="8306"/>
      </w:tabs>
      <w:snapToGrid w:val="0"/>
      <w:jc w:val="left"/>
    </w:pPr>
    <w:rPr>
      <w:sz w:val="18"/>
      <w:szCs w:val="18"/>
    </w:rPr>
  </w:style>
  <w:style w:type="paragraph" w:styleId="24">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25">
    <w:name w:val="index heading"/>
    <w:basedOn w:val="1"/>
    <w:next w:val="26"/>
    <w:semiHidden/>
    <w:qFormat/>
    <w:uiPriority w:val="0"/>
  </w:style>
  <w:style w:type="paragraph" w:styleId="26">
    <w:name w:val="index 1"/>
    <w:basedOn w:val="1"/>
    <w:next w:val="1"/>
    <w:semiHidden/>
    <w:qFormat/>
    <w:uiPriority w:val="0"/>
  </w:style>
  <w:style w:type="paragraph" w:styleId="27">
    <w:name w:val="List"/>
    <w:basedOn w:val="1"/>
    <w:qFormat/>
    <w:uiPriority w:val="0"/>
    <w:pPr>
      <w:ind w:left="200" w:hanging="200" w:hangingChars="200"/>
    </w:pPr>
  </w:style>
  <w:style w:type="paragraph" w:styleId="28">
    <w:name w:val="footnote text"/>
    <w:basedOn w:val="1"/>
    <w:semiHidden/>
    <w:qFormat/>
    <w:uiPriority w:val="0"/>
    <w:pPr>
      <w:snapToGrid w:val="0"/>
      <w:jc w:val="left"/>
    </w:pPr>
    <w:rPr>
      <w:sz w:val="18"/>
      <w:szCs w:val="18"/>
    </w:rPr>
  </w:style>
  <w:style w:type="paragraph" w:styleId="29">
    <w:name w:val="Body Text Indent 3"/>
    <w:basedOn w:val="1"/>
    <w:qFormat/>
    <w:uiPriority w:val="0"/>
    <w:pPr>
      <w:ind w:firstLine="537" w:firstLineChars="179"/>
    </w:pPr>
    <w:rPr>
      <w:sz w:val="30"/>
    </w:rPr>
  </w:style>
  <w:style w:type="paragraph" w:styleId="30">
    <w:name w:val="index 7"/>
    <w:basedOn w:val="1"/>
    <w:next w:val="1"/>
    <w:semiHidden/>
    <w:qFormat/>
    <w:uiPriority w:val="0"/>
    <w:pPr>
      <w:ind w:left="1200" w:leftChars="1200"/>
    </w:pPr>
  </w:style>
  <w:style w:type="paragraph" w:styleId="31">
    <w:name w:val="index 9"/>
    <w:basedOn w:val="1"/>
    <w:next w:val="1"/>
    <w:semiHidden/>
    <w:qFormat/>
    <w:uiPriority w:val="0"/>
    <w:pPr>
      <w:ind w:left="1600" w:leftChars="1600"/>
    </w:pPr>
  </w:style>
  <w:style w:type="paragraph" w:styleId="32">
    <w:name w:val="Body Text 2"/>
    <w:basedOn w:val="1"/>
    <w:qFormat/>
    <w:uiPriority w:val="0"/>
    <w:rPr>
      <w:b/>
      <w:bCs/>
      <w:sz w:val="30"/>
    </w:rPr>
  </w:style>
  <w:style w:type="paragraph" w:styleId="33">
    <w:name w:val="List 4"/>
    <w:basedOn w:val="1"/>
    <w:qFormat/>
    <w:uiPriority w:val="0"/>
    <w:pPr>
      <w:ind w:left="100" w:leftChars="600" w:hanging="200" w:hangingChars="200"/>
    </w:pPr>
  </w:style>
  <w:style w:type="paragraph" w:styleId="34">
    <w:name w:val="List Continue 2"/>
    <w:basedOn w:val="1"/>
    <w:qFormat/>
    <w:uiPriority w:val="0"/>
    <w:pPr>
      <w:spacing w:after="120"/>
      <w:ind w:left="840" w:leftChars="400"/>
    </w:pPr>
  </w:style>
  <w:style w:type="paragraph" w:styleId="35">
    <w:name w:val="index 2"/>
    <w:basedOn w:val="1"/>
    <w:next w:val="1"/>
    <w:semiHidden/>
    <w:qFormat/>
    <w:uiPriority w:val="0"/>
    <w:pPr>
      <w:ind w:left="200" w:leftChars="200"/>
    </w:pPr>
  </w:style>
  <w:style w:type="paragraph" w:styleId="36">
    <w:name w:val="Title"/>
    <w:basedOn w:val="13"/>
    <w:next w:val="1"/>
    <w:link w:val="49"/>
    <w:qFormat/>
    <w:uiPriority w:val="0"/>
    <w:pPr>
      <w:jc w:val="center"/>
    </w:pPr>
    <w:rPr>
      <w:rFonts w:ascii="仿宋_GB2312" w:hAnsi="仿宋" w:eastAsia="仿宋_GB2312"/>
    </w:rPr>
  </w:style>
  <w:style w:type="paragraph" w:styleId="37">
    <w:name w:val="annotation subject"/>
    <w:basedOn w:val="11"/>
    <w:next w:val="11"/>
    <w:semiHidden/>
    <w:qFormat/>
    <w:uiPriority w:val="0"/>
    <w:rPr>
      <w:b/>
      <w:bCs/>
    </w:rPr>
  </w:style>
  <w:style w:type="table" w:styleId="39">
    <w:name w:val="Table Grid"/>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qFormat/>
    <w:uiPriority w:val="0"/>
  </w:style>
  <w:style w:type="character" w:styleId="42">
    <w:name w:val="annotation reference"/>
    <w:semiHidden/>
    <w:qFormat/>
    <w:uiPriority w:val="0"/>
    <w:rPr>
      <w:sz w:val="21"/>
      <w:szCs w:val="21"/>
    </w:rPr>
  </w:style>
  <w:style w:type="character" w:styleId="43">
    <w:name w:val="footnote reference"/>
    <w:semiHidden/>
    <w:qFormat/>
    <w:uiPriority w:val="0"/>
    <w:rPr>
      <w:rFonts w:cs="Times New Roman"/>
      <w:vertAlign w:val="superscript"/>
    </w:rPr>
  </w:style>
  <w:style w:type="character" w:customStyle="1" w:styleId="44">
    <w:name w:val="标题 3 字符"/>
    <w:link w:val="4"/>
    <w:qFormat/>
    <w:uiPriority w:val="0"/>
    <w:rPr>
      <w:b/>
      <w:bCs/>
      <w:kern w:val="2"/>
      <w:sz w:val="32"/>
      <w:szCs w:val="32"/>
    </w:rPr>
  </w:style>
  <w:style w:type="character" w:customStyle="1" w:styleId="45">
    <w:name w:val="标题 2 字符"/>
    <w:link w:val="3"/>
    <w:qFormat/>
    <w:uiPriority w:val="0"/>
    <w:rPr>
      <w:rFonts w:ascii="黑体" w:hAnsi="黑体" w:eastAsia="黑体"/>
      <w:smallCaps/>
      <w:kern w:val="2"/>
      <w:sz w:val="30"/>
      <w:szCs w:val="30"/>
    </w:rPr>
  </w:style>
  <w:style w:type="character" w:customStyle="1" w:styleId="46">
    <w:name w:val="文档结构图 字符"/>
    <w:link w:val="9"/>
    <w:semiHidden/>
    <w:qFormat/>
    <w:uiPriority w:val="99"/>
    <w:rPr>
      <w:rFonts w:ascii="宋体"/>
      <w:kern w:val="2"/>
      <w:sz w:val="18"/>
      <w:szCs w:val="18"/>
    </w:rPr>
  </w:style>
  <w:style w:type="character" w:customStyle="1" w:styleId="47">
    <w:name w:val="页脚 字符"/>
    <w:link w:val="23"/>
    <w:qFormat/>
    <w:uiPriority w:val="99"/>
    <w:rPr>
      <w:kern w:val="2"/>
      <w:sz w:val="18"/>
      <w:szCs w:val="18"/>
    </w:rPr>
  </w:style>
  <w:style w:type="character" w:customStyle="1" w:styleId="48">
    <w:name w:val="页眉 字符"/>
    <w:link w:val="24"/>
    <w:qFormat/>
    <w:uiPriority w:val="0"/>
    <w:rPr>
      <w:kern w:val="2"/>
      <w:sz w:val="18"/>
      <w:szCs w:val="18"/>
    </w:rPr>
  </w:style>
  <w:style w:type="character" w:customStyle="1" w:styleId="49">
    <w:name w:val="标题 字符"/>
    <w:link w:val="36"/>
    <w:qFormat/>
    <w:uiPriority w:val="0"/>
    <w:rPr>
      <w:rFonts w:ascii="仿宋_GB2312" w:hAnsi="仿宋" w:eastAsia="仿宋_GB2312"/>
      <w:kern w:val="2"/>
      <w:sz w:val="21"/>
      <w:szCs w:val="24"/>
    </w:rPr>
  </w:style>
  <w:style w:type="character" w:customStyle="1" w:styleId="50">
    <w:name w:val="Footnote Text Char"/>
    <w:semiHidden/>
    <w:qFormat/>
    <w:locked/>
    <w:uiPriority w:val="0"/>
    <w:rPr>
      <w:rFonts w:cs="Times New Roman"/>
      <w:kern w:val="2"/>
      <w:sz w:val="18"/>
      <w:szCs w:val="18"/>
    </w:rPr>
  </w:style>
  <w:style w:type="character" w:customStyle="1" w:styleId="51">
    <w:name w:val="Footer Char"/>
    <w:semiHidden/>
    <w:qFormat/>
    <w:locked/>
    <w:uiPriority w:val="0"/>
    <w:rPr>
      <w:rFonts w:cs="Times New Roman"/>
      <w:kern w:val="2"/>
      <w:sz w:val="18"/>
      <w:szCs w:val="18"/>
    </w:rPr>
  </w:style>
  <w:style w:type="character" w:customStyle="1" w:styleId="52">
    <w:name w:val="Heading 2 Char"/>
    <w:semiHidden/>
    <w:qFormat/>
    <w:locked/>
    <w:uiPriority w:val="0"/>
    <w:rPr>
      <w:rFonts w:ascii="Cambria" w:hAnsi="Cambria" w:eastAsia="宋体" w:cs="Times New Roman"/>
      <w:b/>
      <w:bCs/>
      <w:kern w:val="2"/>
      <w:sz w:val="32"/>
      <w:szCs w:val="32"/>
    </w:rPr>
  </w:style>
  <w:style w:type="character" w:customStyle="1" w:styleId="53">
    <w:name w:val="Balloon Text Char"/>
    <w:semiHidden/>
    <w:qFormat/>
    <w:locked/>
    <w:uiPriority w:val="0"/>
    <w:rPr>
      <w:rFonts w:cs="Times New Roman"/>
      <w:kern w:val="2"/>
      <w:sz w:val="2"/>
    </w:rPr>
  </w:style>
  <w:style w:type="character" w:customStyle="1" w:styleId="54">
    <w:name w:val="Comment Subject Char"/>
    <w:semiHidden/>
    <w:qFormat/>
    <w:locked/>
    <w:uiPriority w:val="0"/>
    <w:rPr>
      <w:rFonts w:cs="Times New Roman"/>
      <w:b/>
      <w:bCs/>
      <w:kern w:val="2"/>
      <w:sz w:val="24"/>
      <w:szCs w:val="24"/>
    </w:rPr>
  </w:style>
  <w:style w:type="character" w:customStyle="1" w:styleId="55">
    <w:name w:val="Comment Text Char"/>
    <w:semiHidden/>
    <w:qFormat/>
    <w:locked/>
    <w:uiPriority w:val="0"/>
    <w:rPr>
      <w:rFonts w:cs="Times New Roman"/>
      <w:kern w:val="2"/>
      <w:sz w:val="24"/>
      <w:szCs w:val="24"/>
    </w:rPr>
  </w:style>
  <w:style w:type="character" w:styleId="56">
    <w:name w:val="Placeholder Text"/>
    <w:unhideWhenUsed/>
    <w:qFormat/>
    <w:uiPriority w:val="99"/>
    <w:rPr>
      <w:color w:val="808080"/>
    </w:rPr>
  </w:style>
  <w:style w:type="character" w:customStyle="1" w:styleId="57">
    <w:name w:val="Plain Text Char"/>
    <w:semiHidden/>
    <w:qFormat/>
    <w:locked/>
    <w:uiPriority w:val="0"/>
    <w:rPr>
      <w:rFonts w:ascii="宋体" w:hAnsi="Courier New" w:cs="Courier New"/>
      <w:kern w:val="2"/>
      <w:sz w:val="21"/>
      <w:szCs w:val="21"/>
    </w:rPr>
  </w:style>
  <w:style w:type="character" w:customStyle="1" w:styleId="58">
    <w:name w:val="msoins"/>
    <w:qFormat/>
    <w:uiPriority w:val="0"/>
  </w:style>
  <w:style w:type="paragraph" w:customStyle="1" w:styleId="59">
    <w:name w:val="CM43"/>
    <w:basedOn w:val="60"/>
    <w:next w:val="60"/>
    <w:qFormat/>
    <w:uiPriority w:val="0"/>
    <w:pPr>
      <w:spacing w:after="130"/>
    </w:pPr>
    <w:rPr>
      <w:rFonts w:cs="Times New Roman"/>
      <w:color w:val="auto"/>
    </w:rPr>
  </w:style>
  <w:style w:type="paragraph" w:customStyle="1" w:styleId="60">
    <w:name w:val="Default"/>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61">
    <w:name w:val="CM3"/>
    <w:basedOn w:val="60"/>
    <w:next w:val="60"/>
    <w:qFormat/>
    <w:uiPriority w:val="0"/>
    <w:rPr>
      <w:rFonts w:cs="Times New Roman"/>
      <w:color w:val="auto"/>
    </w:rPr>
  </w:style>
  <w:style w:type="paragraph" w:customStyle="1" w:styleId="62">
    <w:name w:val="entext"/>
    <w:basedOn w:val="1"/>
    <w:qFormat/>
    <w:uiPriority w:val="0"/>
    <w:pPr>
      <w:widowControl/>
      <w:spacing w:before="100" w:beforeAutospacing="1" w:after="100" w:afterAutospacing="1"/>
      <w:jc w:val="left"/>
    </w:pPr>
    <w:rPr>
      <w:rFonts w:ascii="Arial Unicode MS" w:hAnsi="Arial Unicode MS"/>
      <w:kern w:val="0"/>
      <w:sz w:val="24"/>
    </w:rPr>
  </w:style>
  <w:style w:type="paragraph" w:customStyle="1" w:styleId="63">
    <w:name w:val="Question"/>
    <w:basedOn w:val="1"/>
    <w:next w:val="1"/>
    <w:qFormat/>
    <w:uiPriority w:val="0"/>
    <w:pPr>
      <w:autoSpaceDE w:val="0"/>
      <w:autoSpaceDN w:val="0"/>
      <w:adjustRightInd w:val="0"/>
      <w:jc w:val="left"/>
    </w:pPr>
    <w:rPr>
      <w:kern w:val="0"/>
      <w:sz w:val="24"/>
    </w:rPr>
  </w:style>
  <w:style w:type="paragraph" w:styleId="64">
    <w:name w:val="List Paragraph"/>
    <w:basedOn w:val="1"/>
    <w:qFormat/>
    <w:uiPriority w:val="0"/>
    <w:pPr>
      <w:ind w:firstLine="420" w:firstLineChars="200"/>
    </w:pPr>
    <w:rPr>
      <w:rFonts w:ascii="Calibri" w:hAnsi="Calibri"/>
      <w:szCs w:val="22"/>
    </w:rPr>
  </w:style>
  <w:style w:type="paragraph" w:customStyle="1" w:styleId="65">
    <w:name w:val="Paragraph"/>
    <w:basedOn w:val="1"/>
    <w:next w:val="1"/>
    <w:qFormat/>
    <w:uiPriority w:val="0"/>
    <w:pPr>
      <w:autoSpaceDE w:val="0"/>
      <w:autoSpaceDN w:val="0"/>
      <w:adjustRightInd w:val="0"/>
      <w:spacing w:before="100" w:after="100"/>
      <w:jc w:val="left"/>
    </w:pPr>
    <w:rPr>
      <w:kern w:val="0"/>
      <w:sz w:val="24"/>
    </w:rPr>
  </w:style>
  <w:style w:type="paragraph" w:customStyle="1" w:styleId="66">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67">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8" Type="http://schemas.openxmlformats.org/officeDocument/2006/relationships/fontTable" Target="fontTable.xml"/><Relationship Id="rId97" Type="http://schemas.openxmlformats.org/officeDocument/2006/relationships/numbering" Target="numbering.xml"/><Relationship Id="rId96" Type="http://schemas.openxmlformats.org/officeDocument/2006/relationships/image" Target="media/image41.wmf"/><Relationship Id="rId95" Type="http://schemas.openxmlformats.org/officeDocument/2006/relationships/oleObject" Target="embeddings/oleObject47.bin"/><Relationship Id="rId94" Type="http://schemas.openxmlformats.org/officeDocument/2006/relationships/image" Target="media/image40.wmf"/><Relationship Id="rId93" Type="http://schemas.openxmlformats.org/officeDocument/2006/relationships/oleObject" Target="embeddings/oleObject46.bin"/><Relationship Id="rId92" Type="http://schemas.openxmlformats.org/officeDocument/2006/relationships/image" Target="media/image39.wmf"/><Relationship Id="rId91" Type="http://schemas.openxmlformats.org/officeDocument/2006/relationships/oleObject" Target="embeddings/oleObject45.bin"/><Relationship Id="rId90" Type="http://schemas.openxmlformats.org/officeDocument/2006/relationships/image" Target="media/image38.wmf"/><Relationship Id="rId9" Type="http://schemas.openxmlformats.org/officeDocument/2006/relationships/oleObject" Target="embeddings/oleObject1.bin"/><Relationship Id="rId89" Type="http://schemas.openxmlformats.org/officeDocument/2006/relationships/oleObject" Target="embeddings/oleObject44.bin"/><Relationship Id="rId88" Type="http://schemas.openxmlformats.org/officeDocument/2006/relationships/image" Target="media/image37.wmf"/><Relationship Id="rId87" Type="http://schemas.openxmlformats.org/officeDocument/2006/relationships/oleObject" Target="embeddings/oleObject43.bin"/><Relationship Id="rId86" Type="http://schemas.openxmlformats.org/officeDocument/2006/relationships/image" Target="media/image36.wmf"/><Relationship Id="rId85" Type="http://schemas.openxmlformats.org/officeDocument/2006/relationships/oleObject" Target="embeddings/oleObject42.bin"/><Relationship Id="rId84" Type="http://schemas.openxmlformats.org/officeDocument/2006/relationships/image" Target="media/image35.wmf"/><Relationship Id="rId83" Type="http://schemas.openxmlformats.org/officeDocument/2006/relationships/oleObject" Target="embeddings/oleObject41.bin"/><Relationship Id="rId82" Type="http://schemas.openxmlformats.org/officeDocument/2006/relationships/image" Target="media/image34.wmf"/><Relationship Id="rId81" Type="http://schemas.openxmlformats.org/officeDocument/2006/relationships/oleObject" Target="embeddings/oleObject40.bin"/><Relationship Id="rId80" Type="http://schemas.openxmlformats.org/officeDocument/2006/relationships/image" Target="media/image33.wmf"/><Relationship Id="rId8" Type="http://schemas.openxmlformats.org/officeDocument/2006/relationships/theme" Target="theme/theme1.xml"/><Relationship Id="rId79" Type="http://schemas.openxmlformats.org/officeDocument/2006/relationships/oleObject" Target="embeddings/oleObject39.bin"/><Relationship Id="rId78" Type="http://schemas.openxmlformats.org/officeDocument/2006/relationships/image" Target="media/image32.wmf"/><Relationship Id="rId77" Type="http://schemas.openxmlformats.org/officeDocument/2006/relationships/oleObject" Target="embeddings/oleObject38.bin"/><Relationship Id="rId76" Type="http://schemas.openxmlformats.org/officeDocument/2006/relationships/image" Target="media/image31.wmf"/><Relationship Id="rId75" Type="http://schemas.openxmlformats.org/officeDocument/2006/relationships/oleObject" Target="embeddings/oleObject37.bin"/><Relationship Id="rId74" Type="http://schemas.openxmlformats.org/officeDocument/2006/relationships/image" Target="media/image30.wmf"/><Relationship Id="rId73" Type="http://schemas.openxmlformats.org/officeDocument/2006/relationships/oleObject" Target="embeddings/oleObject36.bin"/><Relationship Id="rId72" Type="http://schemas.openxmlformats.org/officeDocument/2006/relationships/image" Target="media/image29.wmf"/><Relationship Id="rId71" Type="http://schemas.openxmlformats.org/officeDocument/2006/relationships/oleObject" Target="embeddings/oleObject35.bin"/><Relationship Id="rId70" Type="http://schemas.openxmlformats.org/officeDocument/2006/relationships/image" Target="media/image28.wmf"/><Relationship Id="rId7" Type="http://schemas.openxmlformats.org/officeDocument/2006/relationships/footer" Target="footer2.xml"/><Relationship Id="rId69" Type="http://schemas.openxmlformats.org/officeDocument/2006/relationships/oleObject" Target="embeddings/oleObject34.bin"/><Relationship Id="rId68" Type="http://schemas.openxmlformats.org/officeDocument/2006/relationships/image" Target="media/image27.wmf"/><Relationship Id="rId67" Type="http://schemas.openxmlformats.org/officeDocument/2006/relationships/oleObject" Target="embeddings/oleObject33.bin"/><Relationship Id="rId66" Type="http://schemas.openxmlformats.org/officeDocument/2006/relationships/image" Target="media/image26.wmf"/><Relationship Id="rId65" Type="http://schemas.openxmlformats.org/officeDocument/2006/relationships/oleObject" Target="embeddings/oleObject32.bin"/><Relationship Id="rId64" Type="http://schemas.openxmlformats.org/officeDocument/2006/relationships/image" Target="media/image25.wmf"/><Relationship Id="rId63" Type="http://schemas.openxmlformats.org/officeDocument/2006/relationships/oleObject" Target="embeddings/oleObject31.bin"/><Relationship Id="rId62" Type="http://schemas.openxmlformats.org/officeDocument/2006/relationships/image" Target="media/image24.wmf"/><Relationship Id="rId61" Type="http://schemas.openxmlformats.org/officeDocument/2006/relationships/oleObject" Target="embeddings/oleObject30.bin"/><Relationship Id="rId60" Type="http://schemas.openxmlformats.org/officeDocument/2006/relationships/image" Target="media/image23.wmf"/><Relationship Id="rId6" Type="http://schemas.openxmlformats.org/officeDocument/2006/relationships/footer" Target="footer1.xml"/><Relationship Id="rId59" Type="http://schemas.openxmlformats.org/officeDocument/2006/relationships/oleObject" Target="embeddings/oleObject29.bin"/><Relationship Id="rId58" Type="http://schemas.openxmlformats.org/officeDocument/2006/relationships/image" Target="media/image22.wmf"/><Relationship Id="rId57" Type="http://schemas.openxmlformats.org/officeDocument/2006/relationships/oleObject" Target="embeddings/oleObject28.bin"/><Relationship Id="rId56" Type="http://schemas.openxmlformats.org/officeDocument/2006/relationships/oleObject" Target="embeddings/oleObject27.bin"/><Relationship Id="rId55" Type="http://schemas.openxmlformats.org/officeDocument/2006/relationships/image" Target="media/image21.wmf"/><Relationship Id="rId54" Type="http://schemas.openxmlformats.org/officeDocument/2006/relationships/oleObject" Target="embeddings/oleObject26.bin"/><Relationship Id="rId53" Type="http://schemas.openxmlformats.org/officeDocument/2006/relationships/image" Target="media/image20.wmf"/><Relationship Id="rId52" Type="http://schemas.openxmlformats.org/officeDocument/2006/relationships/oleObject" Target="embeddings/oleObject25.bin"/><Relationship Id="rId51" Type="http://schemas.openxmlformats.org/officeDocument/2006/relationships/image" Target="media/image19.wmf"/><Relationship Id="rId50" Type="http://schemas.openxmlformats.org/officeDocument/2006/relationships/oleObject" Target="embeddings/oleObject24.bin"/><Relationship Id="rId5" Type="http://schemas.openxmlformats.org/officeDocument/2006/relationships/header" Target="header1.xml"/><Relationship Id="rId49" Type="http://schemas.openxmlformats.org/officeDocument/2006/relationships/image" Target="media/image18.wmf"/><Relationship Id="rId48" Type="http://schemas.openxmlformats.org/officeDocument/2006/relationships/oleObject" Target="embeddings/oleObject23.bin"/><Relationship Id="rId47" Type="http://schemas.openxmlformats.org/officeDocument/2006/relationships/oleObject" Target="embeddings/oleObject22.bin"/><Relationship Id="rId46" Type="http://schemas.openxmlformats.org/officeDocument/2006/relationships/image" Target="media/image17.wmf"/><Relationship Id="rId45" Type="http://schemas.openxmlformats.org/officeDocument/2006/relationships/oleObject" Target="embeddings/oleObject21.bin"/><Relationship Id="rId44" Type="http://schemas.openxmlformats.org/officeDocument/2006/relationships/image" Target="media/image16.wmf"/><Relationship Id="rId43" Type="http://schemas.openxmlformats.org/officeDocument/2006/relationships/oleObject" Target="embeddings/oleObject20.bin"/><Relationship Id="rId42" Type="http://schemas.openxmlformats.org/officeDocument/2006/relationships/image" Target="media/image15.wmf"/><Relationship Id="rId41" Type="http://schemas.openxmlformats.org/officeDocument/2006/relationships/oleObject" Target="embeddings/oleObject19.bin"/><Relationship Id="rId40" Type="http://schemas.openxmlformats.org/officeDocument/2006/relationships/image" Target="media/image14.wmf"/><Relationship Id="rId4" Type="http://schemas.openxmlformats.org/officeDocument/2006/relationships/endnotes" Target="endnotes.xml"/><Relationship Id="rId39" Type="http://schemas.openxmlformats.org/officeDocument/2006/relationships/oleObject" Target="embeddings/oleObject18.bin"/><Relationship Id="rId38" Type="http://schemas.openxmlformats.org/officeDocument/2006/relationships/image" Target="media/image13.wmf"/><Relationship Id="rId37" Type="http://schemas.openxmlformats.org/officeDocument/2006/relationships/oleObject" Target="embeddings/oleObject17.bin"/><Relationship Id="rId36" Type="http://schemas.openxmlformats.org/officeDocument/2006/relationships/image" Target="media/image12.wmf"/><Relationship Id="rId35" Type="http://schemas.openxmlformats.org/officeDocument/2006/relationships/oleObject" Target="embeddings/oleObject16.bin"/><Relationship Id="rId34" Type="http://schemas.openxmlformats.org/officeDocument/2006/relationships/image" Target="media/image11.wmf"/><Relationship Id="rId33" Type="http://schemas.openxmlformats.org/officeDocument/2006/relationships/oleObject" Target="embeddings/oleObject15.bin"/><Relationship Id="rId32" Type="http://schemas.openxmlformats.org/officeDocument/2006/relationships/image" Target="media/image10.wmf"/><Relationship Id="rId31" Type="http://schemas.openxmlformats.org/officeDocument/2006/relationships/oleObject" Target="embeddings/oleObject14.bin"/><Relationship Id="rId30" Type="http://schemas.openxmlformats.org/officeDocument/2006/relationships/image" Target="media/image9.wmf"/><Relationship Id="rId3" Type="http://schemas.openxmlformats.org/officeDocument/2006/relationships/footnotes" Target="footnotes.xml"/><Relationship Id="rId29" Type="http://schemas.openxmlformats.org/officeDocument/2006/relationships/oleObject" Target="embeddings/oleObject13.bin"/><Relationship Id="rId28" Type="http://schemas.openxmlformats.org/officeDocument/2006/relationships/image" Target="media/image8.wmf"/><Relationship Id="rId27" Type="http://schemas.openxmlformats.org/officeDocument/2006/relationships/oleObject" Target="embeddings/oleObject12.bin"/><Relationship Id="rId26" Type="http://schemas.openxmlformats.org/officeDocument/2006/relationships/image" Target="media/image7.wmf"/><Relationship Id="rId25" Type="http://schemas.openxmlformats.org/officeDocument/2006/relationships/oleObject" Target="embeddings/oleObject11.bin"/><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oleObject" Target="embeddings/oleObject8.bin"/><Relationship Id="rId21" Type="http://schemas.openxmlformats.org/officeDocument/2006/relationships/oleObject" Target="embeddings/oleObject7.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boc</Company>
  <Pages>29</Pages>
  <Words>2701</Words>
  <Characters>15401</Characters>
  <Lines>128</Lines>
  <Paragraphs>36</Paragraphs>
  <TotalTime>0</TotalTime>
  <ScaleCrop>false</ScaleCrop>
  <LinksUpToDate>false</LinksUpToDate>
  <CharactersWithSpaces>18066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2023-02-18T14:48:00Z</dcterms:created>
  <dc:creator>admin</dc:creator>
  <cp:lastModifiedBy>陈静</cp:lastModifiedBy>
  <cp:lastPrinted>2011-03-20T00:03:00Z</cp:lastPrinted>
  <dcterms:modified xsi:type="dcterms:W3CDTF">2023-11-01T04:57:14Z</dcterms:modified>
  <dc:title>附件11</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4E227FFEE42D436D9240153230147DF3_13</vt:lpwstr>
  </property>
</Properties>
</file>