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40" w:lineRule="exact"/>
        <w:ind w:firstLine="880" w:firstLineChars="200"/>
        <w:jc w:val="center"/>
        <w:rPr>
          <w:rFonts w:hint="default" w:asciiTheme="majorEastAsia" w:hAnsiTheme="majorEastAsia" w:eastAsiaTheme="majorEastAsia"/>
          <w:b/>
          <w:sz w:val="44"/>
          <w:szCs w:val="44"/>
          <w:highlight w:val="none"/>
          <w:lang w:val="en-US" w:eastAsia="zh-CN"/>
        </w:rPr>
      </w:pPr>
      <w:r>
        <w:rPr>
          <w:rFonts w:hint="eastAsia" w:asciiTheme="majorEastAsia" w:hAnsiTheme="majorEastAsia" w:eastAsiaTheme="majorEastAsia"/>
          <w:b/>
          <w:sz w:val="44"/>
          <w:szCs w:val="44"/>
          <w:highlight w:val="none"/>
        </w:rPr>
        <w:t>证券业务示范实践第</w:t>
      </w:r>
      <w:r>
        <w:rPr>
          <w:rFonts w:hint="eastAsia" w:asciiTheme="majorEastAsia" w:hAnsiTheme="majorEastAsia" w:eastAsiaTheme="majorEastAsia"/>
          <w:b/>
          <w:sz w:val="44"/>
          <w:szCs w:val="44"/>
          <w:highlight w:val="none"/>
          <w:lang w:val="en-US" w:eastAsia="zh-CN"/>
        </w:rPr>
        <w:t>4</w:t>
      </w:r>
      <w:r>
        <w:rPr>
          <w:rFonts w:hint="eastAsia" w:asciiTheme="majorEastAsia" w:hAnsiTheme="majorEastAsia" w:eastAsiaTheme="majorEastAsia"/>
          <w:b/>
          <w:sz w:val="44"/>
          <w:szCs w:val="44"/>
          <w:highlight w:val="none"/>
        </w:rPr>
        <w:t>号</w:t>
      </w:r>
      <w:r>
        <w:rPr>
          <w:rFonts w:hint="eastAsia" w:asciiTheme="majorEastAsia" w:hAnsiTheme="majorEastAsia" w:eastAsiaTheme="majorEastAsia"/>
          <w:b/>
          <w:sz w:val="44"/>
          <w:szCs w:val="44"/>
          <w:highlight w:val="none"/>
          <w:lang w:val="en-US" w:eastAsia="zh-CN"/>
        </w:rPr>
        <w:t>----</w:t>
      </w:r>
      <w:bookmarkStart w:id="585" w:name="_GoBack"/>
      <w:bookmarkEnd w:id="585"/>
    </w:p>
    <w:p>
      <w:pPr>
        <w:adjustRightInd w:val="0"/>
        <w:snapToGrid w:val="0"/>
        <w:spacing w:line="640" w:lineRule="exact"/>
        <w:ind w:firstLine="880" w:firstLineChars="200"/>
        <w:jc w:val="center"/>
        <w:rPr>
          <w:rFonts w:asciiTheme="majorEastAsia" w:hAnsiTheme="majorEastAsia" w:eastAsiaTheme="majorEastAsia"/>
          <w:b/>
          <w:sz w:val="44"/>
          <w:szCs w:val="44"/>
          <w:highlight w:val="none"/>
        </w:rPr>
      </w:pPr>
      <w:r>
        <w:rPr>
          <w:rFonts w:hint="eastAsia" w:asciiTheme="majorEastAsia" w:hAnsiTheme="majorEastAsia" w:eastAsiaTheme="majorEastAsia"/>
          <w:b/>
          <w:sz w:val="44"/>
          <w:szCs w:val="44"/>
          <w:highlight w:val="none"/>
        </w:rPr>
        <w:t>证券公司同一业务同一客户风险管理</w:t>
      </w:r>
    </w:p>
    <w:p>
      <w:pPr>
        <w:adjustRightInd w:val="0"/>
        <w:snapToGrid w:val="0"/>
        <w:spacing w:line="640" w:lineRule="exact"/>
        <w:ind w:firstLine="880" w:firstLineChars="200"/>
        <w:jc w:val="center"/>
        <w:rPr>
          <w:rFonts w:asciiTheme="majorEastAsia" w:hAnsiTheme="majorEastAsia" w:eastAsiaTheme="majorEastAsia"/>
          <w:b/>
          <w:sz w:val="44"/>
          <w:szCs w:val="44"/>
          <w:highlight w:val="none"/>
        </w:rPr>
        <w:sectPr>
          <w:headerReference r:id="rId3" w:type="default"/>
          <w:footerReference r:id="rId4" w:type="default"/>
          <w:footerReference r:id="rId5" w:type="even"/>
          <w:pgSz w:w="11906" w:h="16838"/>
          <w:pgMar w:top="1440" w:right="1797" w:bottom="1440" w:left="1797" w:header="851" w:footer="992" w:gutter="0"/>
          <w:cols w:space="425" w:num="1"/>
          <w:vAlign w:val="center"/>
          <w:docGrid w:type="linesAndChars" w:linePitch="312" w:charSpace="0"/>
        </w:sectPr>
      </w:pPr>
    </w:p>
    <w:sdt>
      <w:sdtPr>
        <w:rPr>
          <w:rFonts w:ascii="宋体" w:hAnsi="宋体" w:eastAsia="宋体" w:cs="Times New Roman"/>
          <w:kern w:val="0"/>
          <w:sz w:val="20"/>
          <w:szCs w:val="20"/>
          <w:highlight w:val="none"/>
        </w:rPr>
        <w:id w:val="-604045457"/>
        <w:docPartObj>
          <w:docPartGallery w:val="Table of Contents"/>
          <w:docPartUnique/>
        </w:docPartObj>
      </w:sdtPr>
      <w:sdtEndPr>
        <w:rPr>
          <w:rFonts w:ascii="宋体" w:hAnsi="宋体" w:eastAsia="宋体" w:cs="Times New Roman"/>
          <w:kern w:val="0"/>
          <w:sz w:val="20"/>
          <w:szCs w:val="20"/>
          <w:highlight w:val="none"/>
        </w:rPr>
      </w:sdtEndPr>
      <w:sdtContent>
        <w:p>
          <w:pPr>
            <w:jc w:val="center"/>
            <w:rPr>
              <w:rFonts w:ascii="仿宋_GB2312" w:hAnsi="仿宋_GB2312" w:eastAsia="仿宋_GB2312" w:cs="仿宋_GB2312"/>
              <w:sz w:val="24"/>
              <w:szCs w:val="24"/>
              <w:highlight w:val="none"/>
            </w:rPr>
          </w:pPr>
          <w:bookmarkStart w:id="0" w:name="_Toc949830526_WPSOffice_Type2"/>
          <w:r>
            <w:rPr>
              <w:rFonts w:hint="eastAsia" w:ascii="仿宋_GB2312" w:hAnsi="仿宋_GB2312" w:eastAsia="仿宋_GB2312" w:cs="仿宋_GB2312"/>
              <w:sz w:val="24"/>
              <w:szCs w:val="24"/>
              <w:highlight w:val="none"/>
            </w:rPr>
            <w:t>目录</w:t>
          </w:r>
        </w:p>
        <w:p>
          <w:pPr>
            <w:pStyle w:val="47"/>
            <w:tabs>
              <w:tab w:val="right" w:leader="dot" w:pos="8312"/>
            </w:tabs>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"_Toc2074765066_WPSOffice_Level1" </w:instrText>
          </w:r>
          <w:r>
            <w:rPr>
              <w:highlight w:val="none"/>
            </w:rPr>
            <w:fldChar w:fldCharType="separate"/>
          </w:r>
          <w:sdt>
            <w:sdtPr>
              <w:rPr>
                <w:rFonts w:hint="eastAsia" w:ascii="仿宋_GB2312" w:hAnsi="仿宋_GB2312" w:eastAsia="仿宋_GB2312" w:cs="仿宋_GB2312"/>
                <w:b/>
                <w:bCs/>
                <w:kern w:val="2"/>
                <w:sz w:val="24"/>
                <w:szCs w:val="24"/>
                <w:highlight w:val="none"/>
              </w:rPr>
              <w:id w:val="863545983"/>
              <w:placeholder>
                <w:docPart w:val="{0df2baf3-cc7a-418b-a15a-4f1fd9df3444}"/>
              </w:placeholder>
            </w:sdtPr>
            <w:sdtEndPr>
              <w:rPr>
                <w:rFonts w:hint="eastAsia" w:ascii="仿宋_GB2312" w:hAnsi="仿宋_GB2312" w:eastAsia="仿宋_GB2312" w:cs="仿宋_GB2312"/>
                <w:b/>
                <w:bCs/>
                <w:kern w:val="2"/>
                <w:sz w:val="24"/>
                <w:szCs w:val="24"/>
                <w:highlight w:val="none"/>
              </w:rPr>
            </w:sdtEndPr>
            <w:sdtContent>
              <w:r>
                <w:rPr>
                  <w:rFonts w:hint="eastAsia" w:ascii="仿宋_GB2312" w:hAnsi="仿宋_GB2312" w:eastAsia="仿宋_GB2312" w:cs="仿宋_GB2312"/>
                  <w:b/>
                  <w:bCs/>
                  <w:sz w:val="24"/>
                  <w:szCs w:val="24"/>
                  <w:highlight w:val="none"/>
                </w:rPr>
                <w:t>前 言</w:t>
              </w:r>
            </w:sdtContent>
          </w:sdt>
          <w:r>
            <w:rPr>
              <w:rFonts w:hint="eastAsia" w:ascii="仿宋_GB2312" w:hAnsi="仿宋_GB2312" w:eastAsia="仿宋_GB2312" w:cs="仿宋_GB2312"/>
              <w:b/>
              <w:bCs/>
              <w:sz w:val="24"/>
              <w:szCs w:val="24"/>
              <w:highlight w:val="none"/>
            </w:rPr>
            <w:tab/>
          </w:r>
          <w:bookmarkStart w:id="1" w:name="_Toc2074765066_WPSOffice_Level1Page"/>
          <w:r>
            <w:rPr>
              <w:rFonts w:hint="eastAsia" w:ascii="仿宋_GB2312" w:hAnsi="仿宋_GB2312" w:eastAsia="仿宋_GB2312" w:cs="仿宋_GB2312"/>
              <w:b/>
              <w:bCs/>
              <w:sz w:val="24"/>
              <w:szCs w:val="24"/>
              <w:highlight w:val="none"/>
            </w:rPr>
            <w:t>1</w:t>
          </w:r>
          <w:bookmarkEnd w:id="1"/>
          <w:r>
            <w:rPr>
              <w:rFonts w:hint="eastAsia" w:ascii="仿宋_GB2312" w:hAnsi="仿宋_GB2312" w:eastAsia="仿宋_GB2312" w:cs="仿宋_GB2312"/>
              <w:b/>
              <w:bCs/>
              <w:sz w:val="24"/>
              <w:szCs w:val="24"/>
              <w:highlight w:val="none"/>
            </w:rPr>
            <w:fldChar w:fldCharType="end"/>
          </w:r>
        </w:p>
        <w:p>
          <w:pPr>
            <w:pStyle w:val="47"/>
            <w:tabs>
              <w:tab w:val="right" w:leader="dot" w:pos="8312"/>
            </w:tabs>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"_Toc949830526_WPSOffice_Level1" </w:instrText>
          </w:r>
          <w:r>
            <w:rPr>
              <w:highlight w:val="none"/>
            </w:rPr>
            <w:fldChar w:fldCharType="separate"/>
          </w:r>
          <w:sdt>
            <w:sdtPr>
              <w:rPr>
                <w:rFonts w:hint="eastAsia" w:ascii="仿宋_GB2312" w:hAnsi="仿宋_GB2312" w:eastAsia="仿宋_GB2312" w:cs="仿宋_GB2312"/>
                <w:b/>
                <w:bCs/>
                <w:kern w:val="2"/>
                <w:sz w:val="24"/>
                <w:szCs w:val="24"/>
                <w:highlight w:val="none"/>
              </w:rPr>
              <w:id w:val="1880439244"/>
              <w:placeholder>
                <w:docPart w:val="{fee28415-2968-47ff-99d0-1a32dbb6bb71}"/>
              </w:placeholder>
            </w:sdtPr>
            <w:sdtEndPr>
              <w:rPr>
                <w:rFonts w:hint="eastAsia" w:ascii="仿宋_GB2312" w:hAnsi="仿宋_GB2312" w:eastAsia="仿宋_GB2312" w:cs="仿宋_GB2312"/>
                <w:b/>
                <w:bCs/>
                <w:kern w:val="2"/>
                <w:sz w:val="24"/>
                <w:szCs w:val="24"/>
                <w:highlight w:val="none"/>
              </w:rPr>
            </w:sdtEndPr>
            <w:sdtContent>
              <w:r>
                <w:rPr>
                  <w:rFonts w:hint="eastAsia" w:ascii="仿宋_GB2312" w:hAnsi="仿宋_GB2312" w:eastAsia="仿宋_GB2312" w:cs="仿宋_GB2312"/>
                  <w:b/>
                  <w:bCs/>
                  <w:sz w:val="24"/>
                  <w:szCs w:val="24"/>
                  <w:highlight w:val="none"/>
                </w:rPr>
                <w:t>正 文</w:t>
              </w:r>
            </w:sdtContent>
          </w:sdt>
          <w:r>
            <w:rPr>
              <w:rFonts w:hint="eastAsia" w:ascii="仿宋_GB2312" w:hAnsi="仿宋_GB2312" w:eastAsia="仿宋_GB2312" w:cs="仿宋_GB2312"/>
              <w:b/>
              <w:bCs/>
              <w:sz w:val="24"/>
              <w:szCs w:val="24"/>
              <w:highlight w:val="none"/>
            </w:rPr>
            <w:tab/>
          </w:r>
          <w:bookmarkStart w:id="2" w:name="_Toc949830526_WPSOffice_Level1Page"/>
          <w:r>
            <w:rPr>
              <w:rFonts w:hint="eastAsia" w:ascii="仿宋_GB2312" w:hAnsi="仿宋_GB2312" w:eastAsia="仿宋_GB2312" w:cs="仿宋_GB2312"/>
              <w:b/>
              <w:bCs/>
              <w:sz w:val="24"/>
              <w:szCs w:val="24"/>
              <w:highlight w:val="none"/>
            </w:rPr>
            <w:t>3</w:t>
          </w:r>
          <w:bookmarkEnd w:id="2"/>
          <w:r>
            <w:rPr>
              <w:rFonts w:hint="eastAsia" w:ascii="仿宋_GB2312" w:hAnsi="仿宋_GB2312" w:eastAsia="仿宋_GB2312" w:cs="仿宋_GB2312"/>
              <w:b/>
              <w:bCs/>
              <w:sz w:val="24"/>
              <w:szCs w:val="24"/>
              <w:highlight w:val="none"/>
            </w:rPr>
            <w:fldChar w:fldCharType="end"/>
          </w:r>
        </w:p>
        <w:p>
          <w:pPr>
            <w:pStyle w:val="47"/>
            <w:tabs>
              <w:tab w:val="right" w:leader="dot" w:pos="8312"/>
            </w:tabs>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"_Toc1969369554_WPSOffice_Level1" </w:instrText>
          </w:r>
          <w:r>
            <w:rPr>
              <w:highlight w:val="none"/>
            </w:rPr>
            <w:fldChar w:fldCharType="separate"/>
          </w:r>
          <w:sdt>
            <w:sdtPr>
              <w:rPr>
                <w:rFonts w:hint="eastAsia" w:ascii="仿宋_GB2312" w:hAnsi="仿宋_GB2312" w:eastAsia="仿宋_GB2312" w:cs="仿宋_GB2312"/>
                <w:b/>
                <w:bCs/>
                <w:kern w:val="2"/>
                <w:sz w:val="24"/>
                <w:szCs w:val="24"/>
                <w:highlight w:val="none"/>
              </w:rPr>
              <w:id w:val="-1774701868"/>
              <w:placeholder>
                <w:docPart w:val="{f652dde9-10bb-41b2-bdff-65e870f41dde}"/>
              </w:placeholder>
            </w:sdtPr>
            <w:sdtEndPr>
              <w:rPr>
                <w:rFonts w:hint="eastAsia" w:ascii="仿宋_GB2312" w:hAnsi="仿宋_GB2312" w:eastAsia="仿宋_GB2312" w:cs="仿宋_GB2312"/>
                <w:b/>
                <w:bCs/>
                <w:kern w:val="2"/>
                <w:sz w:val="24"/>
                <w:szCs w:val="24"/>
                <w:highlight w:val="none"/>
              </w:rPr>
            </w:sdtEndPr>
            <w:sdtContent>
              <w:r>
                <w:rPr>
                  <w:rFonts w:hint="eastAsia" w:ascii="仿宋_GB2312" w:hAnsi="仿宋_GB2312" w:eastAsia="仿宋_GB2312" w:cs="仿宋_GB2312"/>
                  <w:b/>
                  <w:bCs/>
                  <w:sz w:val="24"/>
                  <w:szCs w:val="24"/>
                  <w:highlight w:val="none"/>
                </w:rPr>
                <w:t>一、构建同一业务、同一客户风险管理机制</w:t>
              </w:r>
            </w:sdtContent>
          </w:sdt>
          <w:r>
            <w:rPr>
              <w:rFonts w:hint="eastAsia" w:ascii="仿宋_GB2312" w:hAnsi="仿宋_GB2312" w:eastAsia="仿宋_GB2312" w:cs="仿宋_GB2312"/>
              <w:b/>
              <w:bCs/>
              <w:sz w:val="24"/>
              <w:szCs w:val="24"/>
              <w:highlight w:val="none"/>
            </w:rPr>
            <w:tab/>
          </w:r>
          <w:bookmarkStart w:id="3" w:name="_Toc1969369554_WPSOffice_Level1Page"/>
          <w:r>
            <w:rPr>
              <w:rFonts w:hint="eastAsia" w:ascii="仿宋_GB2312" w:hAnsi="仿宋_GB2312" w:eastAsia="仿宋_GB2312" w:cs="仿宋_GB2312"/>
              <w:b/>
              <w:bCs/>
              <w:sz w:val="24"/>
              <w:szCs w:val="24"/>
              <w:highlight w:val="none"/>
            </w:rPr>
            <w:t>3</w:t>
          </w:r>
          <w:bookmarkEnd w:id="3"/>
          <w:r>
            <w:rPr>
              <w:rFonts w:hint="eastAsia" w:ascii="仿宋_GB2312" w:hAnsi="仿宋_GB2312" w:eastAsia="仿宋_GB2312" w:cs="仿宋_GB2312"/>
              <w:b/>
              <w:bCs/>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"_Toc949830526_WPSOffice_Level2"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1084024020"/>
              <w:placeholder>
                <w:docPart w:val="{abb7d5e4-55cd-4fc8-9c0f-6d69ed3c627d}"/>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（一）同一业务</w:t>
              </w:r>
            </w:sdtContent>
          </w:sdt>
          <w:r>
            <w:rPr>
              <w:rFonts w:hint="eastAsia" w:ascii="仿宋_GB2312" w:hAnsi="仿宋_GB2312" w:eastAsia="仿宋_GB2312" w:cs="仿宋_GB2312"/>
              <w:sz w:val="24"/>
              <w:szCs w:val="24"/>
              <w:highlight w:val="none"/>
            </w:rPr>
            <w:tab/>
          </w:r>
          <w:bookmarkStart w:id="4" w:name="_Toc949830526_WPSOffice_Level2Page"/>
          <w:r>
            <w:rPr>
              <w:rFonts w:hint="eastAsia" w:ascii="仿宋_GB2312" w:hAnsi="仿宋_GB2312" w:eastAsia="仿宋_GB2312" w:cs="仿宋_GB2312"/>
              <w:sz w:val="24"/>
              <w:szCs w:val="24"/>
              <w:highlight w:val="none"/>
            </w:rPr>
            <w:t>3</w:t>
          </w:r>
          <w:bookmarkEnd w:id="4"/>
          <w:r>
            <w:rPr>
              <w:rFonts w:hint="eastAsia" w:ascii="仿宋_GB2312" w:hAnsi="仿宋_GB2312" w:eastAsia="仿宋_GB2312" w:cs="仿宋_GB2312"/>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"_Toc1969369554_WPSOffice_Level2"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151917258"/>
              <w:placeholder>
                <w:docPart w:val="{3b8b6166-e4ba-4e62-9336-dad17e3a2e2d}"/>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（二）同一客户</w:t>
              </w:r>
            </w:sdtContent>
          </w:sdt>
          <w:r>
            <w:rPr>
              <w:rFonts w:hint="eastAsia" w:ascii="仿宋_GB2312" w:hAnsi="仿宋_GB2312" w:eastAsia="仿宋_GB2312" w:cs="仿宋_GB2312"/>
              <w:sz w:val="24"/>
              <w:szCs w:val="24"/>
              <w:highlight w:val="none"/>
            </w:rPr>
            <w:tab/>
          </w:r>
          <w:bookmarkStart w:id="5" w:name="_Toc1969369554_WPSOffice_Level2Page"/>
          <w:r>
            <w:rPr>
              <w:rFonts w:hint="eastAsia" w:ascii="仿宋_GB2312" w:hAnsi="仿宋_GB2312" w:eastAsia="仿宋_GB2312" w:cs="仿宋_GB2312"/>
              <w:sz w:val="24"/>
              <w:szCs w:val="24"/>
              <w:highlight w:val="none"/>
            </w:rPr>
            <w:t>9</w:t>
          </w:r>
          <w:bookmarkEnd w:id="5"/>
          <w:r>
            <w:rPr>
              <w:rFonts w:hint="eastAsia" w:ascii="仿宋_GB2312" w:hAnsi="仿宋_GB2312" w:eastAsia="仿宋_GB2312" w:cs="仿宋_GB2312"/>
              <w:sz w:val="24"/>
              <w:szCs w:val="24"/>
              <w:highlight w:val="none"/>
            </w:rPr>
            <w:fldChar w:fldCharType="end"/>
          </w:r>
        </w:p>
        <w:p>
          <w:pPr>
            <w:pStyle w:val="47"/>
            <w:tabs>
              <w:tab w:val="right" w:leader="dot" w:pos="8312"/>
            </w:tabs>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"_Toc377568947_WPSOffice_Level1" </w:instrText>
          </w:r>
          <w:r>
            <w:rPr>
              <w:highlight w:val="none"/>
            </w:rPr>
            <w:fldChar w:fldCharType="separate"/>
          </w:r>
          <w:sdt>
            <w:sdtPr>
              <w:rPr>
                <w:rFonts w:hint="eastAsia" w:ascii="仿宋_GB2312" w:hAnsi="仿宋_GB2312" w:eastAsia="仿宋_GB2312" w:cs="仿宋_GB2312"/>
                <w:b/>
                <w:bCs/>
                <w:kern w:val="2"/>
                <w:sz w:val="24"/>
                <w:szCs w:val="24"/>
                <w:highlight w:val="none"/>
              </w:rPr>
              <w:id w:val="-1590613168"/>
              <w:placeholder>
                <w:docPart w:val="{675c0f1d-5f1f-47c9-84bb-981b8dd32abe}"/>
              </w:placeholder>
            </w:sdtPr>
            <w:sdtEndPr>
              <w:rPr>
                <w:rFonts w:hint="eastAsia" w:ascii="仿宋_GB2312" w:hAnsi="仿宋_GB2312" w:eastAsia="仿宋_GB2312" w:cs="仿宋_GB2312"/>
                <w:b/>
                <w:bCs/>
                <w:kern w:val="2"/>
                <w:sz w:val="24"/>
                <w:szCs w:val="24"/>
                <w:highlight w:val="none"/>
              </w:rPr>
            </w:sdtEndPr>
            <w:sdtContent>
              <w:r>
                <w:rPr>
                  <w:rFonts w:hint="eastAsia" w:ascii="仿宋_GB2312" w:hAnsi="仿宋_GB2312" w:eastAsia="仿宋_GB2312" w:cs="仿宋_GB2312"/>
                  <w:b/>
                  <w:bCs/>
                  <w:sz w:val="24"/>
                  <w:szCs w:val="24"/>
                  <w:highlight w:val="none"/>
                </w:rPr>
                <w:t>二、同一业务、同一客户风险信息收集的范围与标准</w:t>
              </w:r>
            </w:sdtContent>
          </w:sdt>
          <w:r>
            <w:rPr>
              <w:rFonts w:hint="eastAsia" w:ascii="仿宋_GB2312" w:hAnsi="仿宋_GB2312" w:eastAsia="仿宋_GB2312" w:cs="仿宋_GB2312"/>
              <w:b/>
              <w:bCs/>
              <w:sz w:val="24"/>
              <w:szCs w:val="24"/>
              <w:highlight w:val="none"/>
            </w:rPr>
            <w:tab/>
          </w:r>
          <w:bookmarkStart w:id="6" w:name="_Toc377568947_WPSOffice_Level1Page"/>
          <w:r>
            <w:rPr>
              <w:rFonts w:hint="eastAsia" w:ascii="仿宋_GB2312" w:hAnsi="仿宋_GB2312" w:eastAsia="仿宋_GB2312" w:cs="仿宋_GB2312"/>
              <w:b/>
              <w:bCs/>
              <w:sz w:val="24"/>
              <w:szCs w:val="24"/>
              <w:highlight w:val="none"/>
            </w:rPr>
            <w:t>19</w:t>
          </w:r>
          <w:bookmarkEnd w:id="6"/>
          <w:r>
            <w:rPr>
              <w:rFonts w:hint="eastAsia" w:ascii="仿宋_GB2312" w:hAnsi="仿宋_GB2312" w:eastAsia="仿宋_GB2312" w:cs="仿宋_GB2312"/>
              <w:b/>
              <w:bCs/>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"_Toc377568947_WPSOffice_Level2"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225757885"/>
              <w:placeholder>
                <w:docPart w:val="{f3e10aef-80b0-4b3f-8cd5-60f9d3847620}"/>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（一）同一业务风险信息收集的范围</w:t>
              </w:r>
            </w:sdtContent>
          </w:sdt>
          <w:r>
            <w:rPr>
              <w:rFonts w:hint="eastAsia" w:ascii="仿宋_GB2312" w:hAnsi="仿宋_GB2312" w:eastAsia="仿宋_GB2312" w:cs="仿宋_GB2312"/>
              <w:sz w:val="24"/>
              <w:szCs w:val="24"/>
              <w:highlight w:val="none"/>
            </w:rPr>
            <w:tab/>
          </w:r>
          <w:bookmarkStart w:id="7" w:name="_Toc377568947_WPSOffice_Level2Page"/>
          <w:r>
            <w:rPr>
              <w:rFonts w:hint="eastAsia" w:ascii="仿宋_GB2312" w:hAnsi="仿宋_GB2312" w:eastAsia="仿宋_GB2312" w:cs="仿宋_GB2312"/>
              <w:sz w:val="24"/>
              <w:szCs w:val="24"/>
              <w:highlight w:val="none"/>
            </w:rPr>
            <w:t>19</w:t>
          </w:r>
          <w:bookmarkEnd w:id="7"/>
          <w:r>
            <w:rPr>
              <w:rFonts w:hint="eastAsia" w:ascii="仿宋_GB2312" w:hAnsi="仿宋_GB2312" w:eastAsia="仿宋_GB2312" w:cs="仿宋_GB2312"/>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"_Toc1495302788_WPSOffice_Level2"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1935822837"/>
              <w:placeholder>
                <w:docPart w:val="{bc8c90a4-d934-47d8-aac3-ae07400955f6}"/>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（二）同一客户风险信息收集的范围</w:t>
              </w:r>
            </w:sdtContent>
          </w:sdt>
          <w:r>
            <w:rPr>
              <w:rFonts w:hint="eastAsia" w:ascii="仿宋_GB2312" w:hAnsi="仿宋_GB2312" w:eastAsia="仿宋_GB2312" w:cs="仿宋_GB2312"/>
              <w:sz w:val="24"/>
              <w:szCs w:val="24"/>
              <w:highlight w:val="none"/>
            </w:rPr>
            <w:tab/>
          </w:r>
          <w:bookmarkStart w:id="8" w:name="_Toc1495302788_WPSOffice_Level2Page"/>
          <w:r>
            <w:rPr>
              <w:rFonts w:hint="eastAsia" w:ascii="仿宋_GB2312" w:hAnsi="仿宋_GB2312" w:eastAsia="仿宋_GB2312" w:cs="仿宋_GB2312"/>
              <w:sz w:val="24"/>
              <w:szCs w:val="24"/>
              <w:highlight w:val="none"/>
            </w:rPr>
            <w:t>20</w:t>
          </w:r>
          <w:bookmarkEnd w:id="8"/>
          <w:r>
            <w:rPr>
              <w:rFonts w:hint="eastAsia" w:ascii="仿宋_GB2312" w:hAnsi="仿宋_GB2312" w:eastAsia="仿宋_GB2312" w:cs="仿宋_GB2312"/>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"_Toc903984869_WPSOffice_Level2"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324744765"/>
              <w:placeholder>
                <w:docPart w:val="{51e4f3f5-058c-419a-9eb9-6a12e05176ea}"/>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（三）同一业务、同一客户风险信息收集标准</w:t>
              </w:r>
            </w:sdtContent>
          </w:sdt>
          <w:r>
            <w:rPr>
              <w:rFonts w:hint="eastAsia" w:ascii="仿宋_GB2312" w:hAnsi="仿宋_GB2312" w:eastAsia="仿宋_GB2312" w:cs="仿宋_GB2312"/>
              <w:sz w:val="24"/>
              <w:szCs w:val="24"/>
              <w:highlight w:val="none"/>
            </w:rPr>
            <w:tab/>
          </w:r>
          <w:bookmarkStart w:id="9" w:name="_Toc903984869_WPSOffice_Level2Page"/>
          <w:r>
            <w:rPr>
              <w:rFonts w:hint="eastAsia" w:ascii="仿宋_GB2312" w:hAnsi="仿宋_GB2312" w:eastAsia="仿宋_GB2312" w:cs="仿宋_GB2312"/>
              <w:sz w:val="24"/>
              <w:szCs w:val="24"/>
              <w:highlight w:val="none"/>
            </w:rPr>
            <w:t>22</w:t>
          </w:r>
          <w:bookmarkEnd w:id="9"/>
          <w:r>
            <w:rPr>
              <w:rFonts w:hint="eastAsia" w:ascii="仿宋_GB2312" w:hAnsi="仿宋_GB2312" w:eastAsia="仿宋_GB2312" w:cs="仿宋_GB2312"/>
              <w:sz w:val="24"/>
              <w:szCs w:val="24"/>
              <w:highlight w:val="none"/>
            </w:rPr>
            <w:fldChar w:fldCharType="end"/>
          </w:r>
        </w:p>
        <w:p>
          <w:pPr>
            <w:pStyle w:val="47"/>
            <w:tabs>
              <w:tab w:val="right" w:leader="dot" w:pos="8312"/>
            </w:tabs>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"_Toc1495302788_WPSOffice_Level1" </w:instrText>
          </w:r>
          <w:r>
            <w:rPr>
              <w:highlight w:val="none"/>
            </w:rPr>
            <w:fldChar w:fldCharType="separate"/>
          </w:r>
          <w:sdt>
            <w:sdtPr>
              <w:rPr>
                <w:rFonts w:hint="eastAsia" w:ascii="仿宋_GB2312" w:hAnsi="仿宋_GB2312" w:eastAsia="仿宋_GB2312" w:cs="仿宋_GB2312"/>
                <w:b/>
                <w:bCs/>
                <w:kern w:val="2"/>
                <w:sz w:val="24"/>
                <w:szCs w:val="24"/>
                <w:highlight w:val="none"/>
              </w:rPr>
              <w:id w:val="-1451627804"/>
              <w:placeholder>
                <w:docPart w:val="{0ec28dd7-4426-4cf7-9193-4e1657ebbe0f}"/>
              </w:placeholder>
            </w:sdtPr>
            <w:sdtEndPr>
              <w:rPr>
                <w:rFonts w:hint="eastAsia" w:ascii="仿宋_GB2312" w:hAnsi="仿宋_GB2312" w:eastAsia="仿宋_GB2312" w:cs="仿宋_GB2312"/>
                <w:b/>
                <w:bCs/>
                <w:kern w:val="2"/>
                <w:sz w:val="24"/>
                <w:szCs w:val="24"/>
                <w:highlight w:val="none"/>
              </w:rPr>
            </w:sdtEndPr>
            <w:sdtContent>
              <w:r>
                <w:rPr>
                  <w:rFonts w:hint="eastAsia" w:ascii="仿宋_GB2312" w:hAnsi="仿宋_GB2312" w:eastAsia="仿宋_GB2312" w:cs="仿宋_GB2312"/>
                  <w:b/>
                  <w:bCs/>
                  <w:sz w:val="24"/>
                  <w:szCs w:val="24"/>
                  <w:highlight w:val="none"/>
                </w:rPr>
                <w:t>三、在风险管理上的应用</w:t>
              </w:r>
            </w:sdtContent>
          </w:sdt>
          <w:r>
            <w:rPr>
              <w:rFonts w:hint="eastAsia" w:ascii="仿宋_GB2312" w:hAnsi="仿宋_GB2312" w:eastAsia="仿宋_GB2312" w:cs="仿宋_GB2312"/>
              <w:b/>
              <w:bCs/>
              <w:sz w:val="24"/>
              <w:szCs w:val="24"/>
              <w:highlight w:val="none"/>
            </w:rPr>
            <w:tab/>
          </w:r>
          <w:bookmarkStart w:id="10" w:name="_Toc1495302788_WPSOffice_Level1Page"/>
          <w:r>
            <w:rPr>
              <w:rFonts w:hint="eastAsia" w:ascii="仿宋_GB2312" w:hAnsi="仿宋_GB2312" w:eastAsia="仿宋_GB2312" w:cs="仿宋_GB2312"/>
              <w:b/>
              <w:bCs/>
              <w:sz w:val="24"/>
              <w:szCs w:val="24"/>
              <w:highlight w:val="none"/>
            </w:rPr>
            <w:t>23</w:t>
          </w:r>
          <w:bookmarkEnd w:id="10"/>
          <w:r>
            <w:rPr>
              <w:rFonts w:hint="eastAsia" w:ascii="仿宋_GB2312" w:hAnsi="仿宋_GB2312" w:eastAsia="仿宋_GB2312" w:cs="仿宋_GB2312"/>
              <w:b/>
              <w:bCs/>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"_Toc707455135_WPSOffice_Level2"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1911989159"/>
              <w:placeholder>
                <w:docPart w:val="{3c1f0096-6b4a-4205-880d-ab93c4dc79b7}"/>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（一）同一业务</w:t>
              </w:r>
            </w:sdtContent>
          </w:sdt>
          <w:r>
            <w:rPr>
              <w:rFonts w:hint="eastAsia" w:ascii="仿宋_GB2312" w:hAnsi="仿宋_GB2312" w:eastAsia="仿宋_GB2312" w:cs="仿宋_GB2312"/>
              <w:sz w:val="24"/>
              <w:szCs w:val="24"/>
              <w:highlight w:val="none"/>
            </w:rPr>
            <w:tab/>
          </w:r>
          <w:bookmarkStart w:id="11" w:name="_Toc707455135_WPSOffice_Level2Page"/>
          <w:r>
            <w:rPr>
              <w:rFonts w:hint="eastAsia" w:ascii="仿宋_GB2312" w:hAnsi="仿宋_GB2312" w:eastAsia="仿宋_GB2312" w:cs="仿宋_GB2312"/>
              <w:sz w:val="24"/>
              <w:szCs w:val="24"/>
              <w:highlight w:val="none"/>
            </w:rPr>
            <w:t>23</w:t>
          </w:r>
          <w:bookmarkEnd w:id="11"/>
          <w:r>
            <w:rPr>
              <w:rFonts w:hint="eastAsia" w:ascii="仿宋_GB2312" w:hAnsi="仿宋_GB2312" w:eastAsia="仿宋_GB2312" w:cs="仿宋_GB2312"/>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"_Toc895523393_WPSOffice_Level2"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448748437"/>
              <w:placeholder>
                <w:docPart w:val="{e0fda005-b640-4e81-b985-cae0f00cea14}"/>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（二）同一客户</w:t>
              </w:r>
            </w:sdtContent>
          </w:sdt>
          <w:r>
            <w:rPr>
              <w:rFonts w:hint="eastAsia" w:ascii="仿宋_GB2312" w:hAnsi="仿宋_GB2312" w:eastAsia="仿宋_GB2312" w:cs="仿宋_GB2312"/>
              <w:sz w:val="24"/>
              <w:szCs w:val="24"/>
              <w:highlight w:val="none"/>
            </w:rPr>
            <w:tab/>
          </w:r>
          <w:bookmarkStart w:id="12" w:name="_Toc895523393_WPSOffice_Level2Page"/>
          <w:r>
            <w:rPr>
              <w:rFonts w:hint="eastAsia" w:ascii="仿宋_GB2312" w:hAnsi="仿宋_GB2312" w:eastAsia="仿宋_GB2312" w:cs="仿宋_GB2312"/>
              <w:sz w:val="24"/>
              <w:szCs w:val="24"/>
              <w:highlight w:val="none"/>
            </w:rPr>
            <w:t>25</w:t>
          </w:r>
          <w:bookmarkEnd w:id="12"/>
          <w:r>
            <w:rPr>
              <w:rFonts w:hint="eastAsia" w:ascii="仿宋_GB2312" w:hAnsi="仿宋_GB2312" w:eastAsia="仿宋_GB2312" w:cs="仿宋_GB2312"/>
              <w:sz w:val="24"/>
              <w:szCs w:val="24"/>
              <w:highlight w:val="none"/>
            </w:rPr>
            <w:fldChar w:fldCharType="end"/>
          </w:r>
        </w:p>
        <w:p>
          <w:pPr>
            <w:pStyle w:val="47"/>
            <w:tabs>
              <w:tab w:val="right" w:leader="dot" w:pos="8312"/>
            </w:tabs>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"_Toc903984869_WPSOffice_Level1" </w:instrText>
          </w:r>
          <w:r>
            <w:rPr>
              <w:highlight w:val="none"/>
            </w:rPr>
            <w:fldChar w:fldCharType="separate"/>
          </w:r>
          <w:sdt>
            <w:sdtPr>
              <w:rPr>
                <w:rFonts w:hint="eastAsia" w:ascii="仿宋_GB2312" w:hAnsi="仿宋_GB2312" w:eastAsia="仿宋_GB2312" w:cs="仿宋_GB2312"/>
                <w:b/>
                <w:bCs/>
                <w:kern w:val="2"/>
                <w:sz w:val="24"/>
                <w:szCs w:val="24"/>
                <w:highlight w:val="none"/>
              </w:rPr>
              <w:id w:val="-1126466056"/>
              <w:placeholder>
                <w:docPart w:val="{14d3d4fc-3778-4a82-8ecc-dc3c58a80466}"/>
              </w:placeholder>
            </w:sdtPr>
            <w:sdtEndPr>
              <w:rPr>
                <w:rFonts w:hint="eastAsia" w:ascii="仿宋_GB2312" w:hAnsi="仿宋_GB2312" w:eastAsia="仿宋_GB2312" w:cs="仿宋_GB2312"/>
                <w:b/>
                <w:bCs/>
                <w:kern w:val="2"/>
                <w:sz w:val="24"/>
                <w:szCs w:val="24"/>
                <w:highlight w:val="none"/>
              </w:rPr>
            </w:sdtEndPr>
            <w:sdtContent>
              <w:r>
                <w:rPr>
                  <w:rFonts w:hint="eastAsia" w:ascii="仿宋_GB2312" w:hAnsi="仿宋_GB2312" w:eastAsia="仿宋_GB2312" w:cs="仿宋_GB2312"/>
                  <w:b/>
                  <w:bCs/>
                  <w:sz w:val="24"/>
                  <w:szCs w:val="24"/>
                  <w:highlight w:val="none"/>
                </w:rPr>
                <w:t>四、系统实现</w:t>
              </w:r>
            </w:sdtContent>
          </w:sdt>
          <w:r>
            <w:rPr>
              <w:rFonts w:hint="eastAsia" w:ascii="仿宋_GB2312" w:hAnsi="仿宋_GB2312" w:eastAsia="仿宋_GB2312" w:cs="仿宋_GB2312"/>
              <w:b/>
              <w:bCs/>
              <w:sz w:val="24"/>
              <w:szCs w:val="24"/>
              <w:highlight w:val="none"/>
            </w:rPr>
            <w:tab/>
          </w:r>
          <w:bookmarkStart w:id="13" w:name="_Toc903984869_WPSOffice_Level1Page"/>
          <w:r>
            <w:rPr>
              <w:rFonts w:hint="eastAsia" w:ascii="仿宋_GB2312" w:hAnsi="仿宋_GB2312" w:eastAsia="仿宋_GB2312" w:cs="仿宋_GB2312"/>
              <w:b/>
              <w:bCs/>
              <w:sz w:val="24"/>
              <w:szCs w:val="24"/>
              <w:highlight w:val="none"/>
            </w:rPr>
            <w:t>29</w:t>
          </w:r>
          <w:bookmarkEnd w:id="13"/>
          <w:r>
            <w:rPr>
              <w:rFonts w:hint="eastAsia" w:ascii="仿宋_GB2312" w:hAnsi="仿宋_GB2312" w:eastAsia="仿宋_GB2312" w:cs="仿宋_GB2312"/>
              <w:b/>
              <w:bCs/>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"_Toc2029819205_WPSOffice_Level2"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601022860"/>
              <w:placeholder>
                <w:docPart w:val="{0fe68c0d-50ef-4bef-a20b-b4dd2f6da091}"/>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（一）系统基础简介</w:t>
              </w:r>
            </w:sdtContent>
          </w:sdt>
          <w:r>
            <w:rPr>
              <w:rFonts w:hint="eastAsia" w:ascii="仿宋_GB2312" w:hAnsi="仿宋_GB2312" w:eastAsia="仿宋_GB2312" w:cs="仿宋_GB2312"/>
              <w:sz w:val="24"/>
              <w:szCs w:val="24"/>
              <w:highlight w:val="none"/>
            </w:rPr>
            <w:tab/>
          </w:r>
          <w:bookmarkStart w:id="14" w:name="_Toc2029819205_WPSOffice_Level2Page"/>
          <w:r>
            <w:rPr>
              <w:rFonts w:hint="eastAsia" w:ascii="仿宋_GB2312" w:hAnsi="仿宋_GB2312" w:eastAsia="仿宋_GB2312" w:cs="仿宋_GB2312"/>
              <w:sz w:val="24"/>
              <w:szCs w:val="24"/>
              <w:highlight w:val="none"/>
            </w:rPr>
            <w:t>29</w:t>
          </w:r>
          <w:bookmarkEnd w:id="14"/>
          <w:r>
            <w:rPr>
              <w:rFonts w:hint="eastAsia" w:ascii="仿宋_GB2312" w:hAnsi="仿宋_GB2312" w:eastAsia="仿宋_GB2312" w:cs="仿宋_GB2312"/>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"_Toc895599955_WPSOffice_Level2"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1807070482"/>
              <w:placeholder>
                <w:docPart w:val="{9eda64b4-1ee3-4444-af25-a15ee54b08c0}"/>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（二）同一业务、同一客户数据集市</w:t>
              </w:r>
            </w:sdtContent>
          </w:sdt>
          <w:r>
            <w:rPr>
              <w:rFonts w:hint="eastAsia" w:ascii="仿宋_GB2312" w:hAnsi="仿宋_GB2312" w:eastAsia="仿宋_GB2312" w:cs="仿宋_GB2312"/>
              <w:sz w:val="24"/>
              <w:szCs w:val="24"/>
              <w:highlight w:val="none"/>
            </w:rPr>
            <w:tab/>
          </w:r>
          <w:bookmarkStart w:id="15" w:name="_Toc895599955_WPSOffice_Level2Page"/>
          <w:r>
            <w:rPr>
              <w:rFonts w:hint="eastAsia" w:ascii="仿宋_GB2312" w:hAnsi="仿宋_GB2312" w:eastAsia="仿宋_GB2312" w:cs="仿宋_GB2312"/>
              <w:sz w:val="24"/>
              <w:szCs w:val="24"/>
              <w:highlight w:val="none"/>
            </w:rPr>
            <w:t>31</w:t>
          </w:r>
          <w:bookmarkEnd w:id="15"/>
          <w:r>
            <w:rPr>
              <w:rFonts w:hint="eastAsia" w:ascii="仿宋_GB2312" w:hAnsi="仿宋_GB2312" w:eastAsia="仿宋_GB2312" w:cs="仿宋_GB2312"/>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"_Toc1498516618_WPSOffice_Level2"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322129730"/>
              <w:placeholder>
                <w:docPart w:val="{5dbe82fd-e407-4763-981f-031f7c39b946}"/>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（三）同一业务的系统服务</w:t>
              </w:r>
            </w:sdtContent>
          </w:sdt>
          <w:r>
            <w:rPr>
              <w:rFonts w:hint="eastAsia" w:ascii="仿宋_GB2312" w:hAnsi="仿宋_GB2312" w:eastAsia="仿宋_GB2312" w:cs="仿宋_GB2312"/>
              <w:sz w:val="24"/>
              <w:szCs w:val="24"/>
              <w:highlight w:val="none"/>
            </w:rPr>
            <w:tab/>
          </w:r>
          <w:bookmarkStart w:id="16" w:name="_Toc1498516618_WPSOffice_Level2Page"/>
          <w:r>
            <w:rPr>
              <w:rFonts w:hint="eastAsia" w:ascii="仿宋_GB2312" w:hAnsi="仿宋_GB2312" w:eastAsia="仿宋_GB2312" w:cs="仿宋_GB2312"/>
              <w:sz w:val="24"/>
              <w:szCs w:val="24"/>
              <w:highlight w:val="none"/>
            </w:rPr>
            <w:t>35</w:t>
          </w:r>
          <w:bookmarkEnd w:id="16"/>
          <w:r>
            <w:rPr>
              <w:rFonts w:hint="eastAsia" w:ascii="仿宋_GB2312" w:hAnsi="仿宋_GB2312" w:eastAsia="仿宋_GB2312" w:cs="仿宋_GB2312"/>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"_Toc2058884962_WPSOffice_Level2"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813943323"/>
              <w:placeholder>
                <w:docPart w:val="{2104a35c-53a9-41bb-9ac9-9827b2ad5d44}"/>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（四）同一客户的系统服务</w:t>
              </w:r>
            </w:sdtContent>
          </w:sdt>
          <w:r>
            <w:rPr>
              <w:rFonts w:hint="eastAsia" w:ascii="仿宋_GB2312" w:hAnsi="仿宋_GB2312" w:eastAsia="仿宋_GB2312" w:cs="仿宋_GB2312"/>
              <w:sz w:val="24"/>
              <w:szCs w:val="24"/>
              <w:highlight w:val="none"/>
            </w:rPr>
            <w:tab/>
          </w:r>
          <w:bookmarkStart w:id="17" w:name="_Toc2058884962_WPSOffice_Level2Page"/>
          <w:r>
            <w:rPr>
              <w:rFonts w:hint="eastAsia" w:ascii="仿宋_GB2312" w:hAnsi="仿宋_GB2312" w:eastAsia="仿宋_GB2312" w:cs="仿宋_GB2312"/>
              <w:sz w:val="24"/>
              <w:szCs w:val="24"/>
              <w:highlight w:val="none"/>
            </w:rPr>
            <w:t>37</w:t>
          </w:r>
          <w:bookmarkEnd w:id="17"/>
          <w:r>
            <w:rPr>
              <w:rFonts w:hint="eastAsia" w:ascii="仿宋_GB2312" w:hAnsi="仿宋_GB2312" w:eastAsia="仿宋_GB2312" w:cs="仿宋_GB2312"/>
              <w:sz w:val="24"/>
              <w:szCs w:val="24"/>
              <w:highlight w:val="none"/>
            </w:rPr>
            <w:fldChar w:fldCharType="end"/>
          </w:r>
        </w:p>
        <w:p>
          <w:pPr>
            <w:pStyle w:val="47"/>
            <w:tabs>
              <w:tab w:val="right" w:leader="dot" w:pos="8312"/>
            </w:tabs>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"_Toc707455135_WPSOffice_Level1" </w:instrText>
          </w:r>
          <w:r>
            <w:rPr>
              <w:highlight w:val="none"/>
            </w:rPr>
            <w:fldChar w:fldCharType="separate"/>
          </w:r>
          <w:sdt>
            <w:sdtPr>
              <w:rPr>
                <w:rFonts w:hint="eastAsia" w:ascii="仿宋_GB2312" w:hAnsi="仿宋_GB2312" w:eastAsia="仿宋_GB2312" w:cs="仿宋_GB2312"/>
                <w:b/>
                <w:bCs/>
                <w:kern w:val="2"/>
                <w:sz w:val="24"/>
                <w:szCs w:val="24"/>
                <w:highlight w:val="none"/>
              </w:rPr>
              <w:id w:val="-358276600"/>
              <w:placeholder>
                <w:docPart w:val="{831ea964-9432-4aad-b949-55d41e538771}"/>
              </w:placeholder>
            </w:sdtPr>
            <w:sdtEndPr>
              <w:rPr>
                <w:rFonts w:hint="eastAsia" w:ascii="仿宋_GB2312" w:hAnsi="仿宋_GB2312" w:eastAsia="仿宋_GB2312" w:cs="仿宋_GB2312"/>
                <w:b/>
                <w:bCs/>
                <w:kern w:val="2"/>
                <w:sz w:val="24"/>
                <w:szCs w:val="24"/>
                <w:highlight w:val="none"/>
              </w:rPr>
            </w:sdtEndPr>
            <w:sdtContent>
              <w:r>
                <w:rPr>
                  <w:rFonts w:hint="eastAsia" w:ascii="仿宋_GB2312" w:hAnsi="仿宋_GB2312" w:eastAsia="仿宋_GB2312" w:cs="仿宋_GB2312"/>
                  <w:b/>
                  <w:bCs/>
                  <w:sz w:val="24"/>
                  <w:szCs w:val="24"/>
                  <w:highlight w:val="none"/>
                </w:rPr>
                <w:t>五、实施中关注的重点</w:t>
              </w:r>
            </w:sdtContent>
          </w:sdt>
          <w:r>
            <w:rPr>
              <w:rFonts w:hint="eastAsia" w:ascii="仿宋_GB2312" w:hAnsi="仿宋_GB2312" w:eastAsia="仿宋_GB2312" w:cs="仿宋_GB2312"/>
              <w:b/>
              <w:bCs/>
              <w:sz w:val="24"/>
              <w:szCs w:val="24"/>
              <w:highlight w:val="none"/>
            </w:rPr>
            <w:tab/>
          </w:r>
          <w:bookmarkStart w:id="18" w:name="_Toc707455135_WPSOffice_Level1Page"/>
          <w:r>
            <w:rPr>
              <w:rFonts w:hint="eastAsia" w:ascii="仿宋_GB2312" w:hAnsi="仿宋_GB2312" w:eastAsia="仿宋_GB2312" w:cs="仿宋_GB2312"/>
              <w:b/>
              <w:bCs/>
              <w:sz w:val="24"/>
              <w:szCs w:val="24"/>
              <w:highlight w:val="none"/>
            </w:rPr>
            <w:t>42</w:t>
          </w:r>
          <w:bookmarkEnd w:id="18"/>
          <w:r>
            <w:rPr>
              <w:rFonts w:hint="eastAsia" w:ascii="仿宋_GB2312" w:hAnsi="仿宋_GB2312" w:eastAsia="仿宋_GB2312" w:cs="仿宋_GB2312"/>
              <w:b/>
              <w:bCs/>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"_Toc1738543717_WPSOffice_Level2"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917792618"/>
              <w:placeholder>
                <w:docPart w:val="{c7072f39-60e1-44e6-bfc0-9c95f9ce61c5}"/>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（一）制定明确的、具有可操作性的定义和标准</w:t>
              </w:r>
            </w:sdtContent>
          </w:sdt>
          <w:r>
            <w:rPr>
              <w:rFonts w:hint="eastAsia" w:ascii="仿宋_GB2312" w:hAnsi="仿宋_GB2312" w:eastAsia="仿宋_GB2312" w:cs="仿宋_GB2312"/>
              <w:sz w:val="24"/>
              <w:szCs w:val="24"/>
              <w:highlight w:val="none"/>
            </w:rPr>
            <w:tab/>
          </w:r>
          <w:bookmarkStart w:id="19" w:name="_Toc1738543717_WPSOffice_Level2Page"/>
          <w:r>
            <w:rPr>
              <w:rFonts w:hint="eastAsia" w:ascii="仿宋_GB2312" w:hAnsi="仿宋_GB2312" w:eastAsia="仿宋_GB2312" w:cs="仿宋_GB2312"/>
              <w:sz w:val="24"/>
              <w:szCs w:val="24"/>
              <w:highlight w:val="none"/>
            </w:rPr>
            <w:t>42</w:t>
          </w:r>
          <w:bookmarkEnd w:id="19"/>
          <w:r>
            <w:rPr>
              <w:rFonts w:hint="eastAsia" w:ascii="仿宋_GB2312" w:hAnsi="仿宋_GB2312" w:eastAsia="仿宋_GB2312" w:cs="仿宋_GB2312"/>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"_Toc129992382_WPSOffice_Level2"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24845639"/>
              <w:placeholder>
                <w:docPart w:val="{14f9442e-2e43-4c06-9240-5a388ebf7d8a}"/>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（二）重视数据治理和质量控制</w:t>
              </w:r>
            </w:sdtContent>
          </w:sdt>
          <w:r>
            <w:rPr>
              <w:rFonts w:hint="eastAsia" w:ascii="仿宋_GB2312" w:hAnsi="仿宋_GB2312" w:eastAsia="仿宋_GB2312" w:cs="仿宋_GB2312"/>
              <w:sz w:val="24"/>
              <w:szCs w:val="24"/>
              <w:highlight w:val="none"/>
            </w:rPr>
            <w:tab/>
          </w:r>
          <w:bookmarkStart w:id="20" w:name="_Toc129992382_WPSOffice_Level2Page"/>
          <w:r>
            <w:rPr>
              <w:rFonts w:hint="eastAsia" w:ascii="仿宋_GB2312" w:hAnsi="仿宋_GB2312" w:eastAsia="仿宋_GB2312" w:cs="仿宋_GB2312"/>
              <w:sz w:val="24"/>
              <w:szCs w:val="24"/>
              <w:highlight w:val="none"/>
            </w:rPr>
            <w:t>42</w:t>
          </w:r>
          <w:bookmarkEnd w:id="20"/>
          <w:r>
            <w:rPr>
              <w:rFonts w:hint="eastAsia" w:ascii="仿宋_GB2312" w:hAnsi="仿宋_GB2312" w:eastAsia="仿宋_GB2312" w:cs="仿宋_GB2312"/>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"_Toc263886671_WPSOffice_Level2"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1770278431"/>
              <w:placeholder>
                <w:docPart w:val="{00453634-e673-45ee-9e31-16acc02d3274}"/>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（三）提升系统的可扩展性</w:t>
              </w:r>
            </w:sdtContent>
          </w:sdt>
          <w:r>
            <w:rPr>
              <w:rFonts w:hint="eastAsia" w:ascii="仿宋_GB2312" w:hAnsi="仿宋_GB2312" w:eastAsia="仿宋_GB2312" w:cs="仿宋_GB2312"/>
              <w:sz w:val="24"/>
              <w:szCs w:val="24"/>
              <w:highlight w:val="none"/>
            </w:rPr>
            <w:tab/>
          </w:r>
          <w:bookmarkStart w:id="21" w:name="_Toc263886671_WPSOffice_Level2Page"/>
          <w:r>
            <w:rPr>
              <w:rFonts w:hint="eastAsia" w:ascii="仿宋_GB2312" w:hAnsi="仿宋_GB2312" w:eastAsia="仿宋_GB2312" w:cs="仿宋_GB2312"/>
              <w:sz w:val="24"/>
              <w:szCs w:val="24"/>
              <w:highlight w:val="none"/>
            </w:rPr>
            <w:t>43</w:t>
          </w:r>
          <w:bookmarkEnd w:id="21"/>
          <w:r>
            <w:rPr>
              <w:rFonts w:hint="eastAsia" w:ascii="仿宋_GB2312" w:hAnsi="仿宋_GB2312" w:eastAsia="仿宋_GB2312" w:cs="仿宋_GB2312"/>
              <w:sz w:val="24"/>
              <w:szCs w:val="24"/>
              <w:highlight w:val="none"/>
            </w:rPr>
            <w:fldChar w:fldCharType="end"/>
          </w:r>
        </w:p>
        <w:p>
          <w:pPr>
            <w:pStyle w:val="48"/>
            <w:tabs>
              <w:tab w:val="right" w:leader="dot" w:pos="8312"/>
            </w:tabs>
            <w:ind w:left="420"/>
            <w:rPr>
              <w:rFonts w:ascii="仿宋_GB2312" w:hAnsi="仿宋_GB2312" w:eastAsia="仿宋_GB2312" w:cs="仿宋_GB2312"/>
              <w:sz w:val="24"/>
              <w:szCs w:val="24"/>
              <w:highlight w:val="none"/>
            </w:rPr>
          </w:pPr>
          <w:r>
            <w:rPr>
              <w:highlight w:val="none"/>
            </w:rPr>
            <w:fldChar w:fldCharType="begin"/>
          </w:r>
          <w:r>
            <w:rPr>
              <w:highlight w:val="none"/>
            </w:rPr>
            <w:instrText xml:space="preserve"> HYPERLINK \l "_Toc1999330479_WPSOffice_Level2"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1353297994"/>
              <w:placeholder>
                <w:docPart w:val="{5a496892-e295-48b0-affe-3f2bf54f3473}"/>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（四）要量“需”而为</w:t>
              </w:r>
            </w:sdtContent>
          </w:sdt>
          <w:r>
            <w:rPr>
              <w:rFonts w:hint="eastAsia" w:ascii="仿宋_GB2312" w:hAnsi="仿宋_GB2312" w:eastAsia="仿宋_GB2312" w:cs="仿宋_GB2312"/>
              <w:sz w:val="24"/>
              <w:szCs w:val="24"/>
              <w:highlight w:val="none"/>
            </w:rPr>
            <w:tab/>
          </w:r>
          <w:bookmarkStart w:id="22" w:name="_Toc1999330479_WPSOffice_Level2Page"/>
          <w:r>
            <w:rPr>
              <w:rFonts w:hint="eastAsia" w:ascii="仿宋_GB2312" w:hAnsi="仿宋_GB2312" w:eastAsia="仿宋_GB2312" w:cs="仿宋_GB2312"/>
              <w:sz w:val="24"/>
              <w:szCs w:val="24"/>
              <w:highlight w:val="none"/>
            </w:rPr>
            <w:t>43</w:t>
          </w:r>
          <w:bookmarkEnd w:id="22"/>
          <w:r>
            <w:rPr>
              <w:rFonts w:hint="eastAsia" w:ascii="仿宋_GB2312" w:hAnsi="仿宋_GB2312" w:eastAsia="仿宋_GB2312" w:cs="仿宋_GB2312"/>
              <w:sz w:val="24"/>
              <w:szCs w:val="24"/>
              <w:highlight w:val="none"/>
            </w:rPr>
            <w:fldChar w:fldCharType="end"/>
          </w:r>
        </w:p>
        <w:p>
          <w:pPr>
            <w:pStyle w:val="48"/>
            <w:tabs>
              <w:tab w:val="right" w:leader="dot" w:pos="8312"/>
            </w:tabs>
            <w:ind w:left="420"/>
            <w:rPr>
              <w:highlight w:val="none"/>
            </w:rPr>
          </w:pPr>
          <w:r>
            <w:rPr>
              <w:highlight w:val="none"/>
            </w:rPr>
            <w:fldChar w:fldCharType="begin"/>
          </w:r>
          <w:r>
            <w:rPr>
              <w:highlight w:val="none"/>
            </w:rPr>
            <w:instrText xml:space="preserve"> HYPERLINK \l "_Toc1978934420_WPSOffice_Level2" </w:instrText>
          </w:r>
          <w:r>
            <w:rPr>
              <w:highlight w:val="none"/>
            </w:rPr>
            <w:fldChar w:fldCharType="separate"/>
          </w:r>
          <w:sdt>
            <w:sdtPr>
              <w:rPr>
                <w:rFonts w:hint="eastAsia" w:ascii="仿宋_GB2312" w:hAnsi="仿宋_GB2312" w:eastAsia="仿宋_GB2312" w:cs="仿宋_GB2312"/>
                <w:kern w:val="2"/>
                <w:sz w:val="24"/>
                <w:szCs w:val="24"/>
                <w:highlight w:val="none"/>
              </w:rPr>
              <w:id w:val="1763718989"/>
              <w:placeholder>
                <w:docPart w:val="{7cc04b15-70b4-4ea3-af98-427b773f4f69}"/>
              </w:placeholder>
            </w:sdtPr>
            <w:sdtEndPr>
              <w:rPr>
                <w:rFonts w:hint="eastAsia" w:ascii="仿宋_GB2312" w:hAnsi="仿宋_GB2312" w:eastAsia="仿宋_GB2312" w:cs="仿宋_GB2312"/>
                <w:kern w:val="2"/>
                <w:sz w:val="24"/>
                <w:szCs w:val="24"/>
                <w:highlight w:val="none"/>
              </w:rPr>
            </w:sdtEndPr>
            <w:sdtContent>
              <w:r>
                <w:rPr>
                  <w:rFonts w:hint="eastAsia" w:ascii="仿宋_GB2312" w:hAnsi="仿宋_GB2312" w:eastAsia="仿宋_GB2312" w:cs="仿宋_GB2312"/>
                  <w:sz w:val="24"/>
                  <w:szCs w:val="24"/>
                  <w:highlight w:val="none"/>
                </w:rPr>
                <w:t>（五）建立动态调整机制</w:t>
              </w:r>
            </w:sdtContent>
          </w:sdt>
          <w:r>
            <w:rPr>
              <w:rFonts w:hint="eastAsia" w:ascii="仿宋_GB2312" w:hAnsi="仿宋_GB2312" w:eastAsia="仿宋_GB2312" w:cs="仿宋_GB2312"/>
              <w:sz w:val="24"/>
              <w:szCs w:val="24"/>
              <w:highlight w:val="none"/>
            </w:rPr>
            <w:tab/>
          </w:r>
          <w:bookmarkStart w:id="23" w:name="_Toc1978934420_WPSOffice_Level2Page"/>
          <w:r>
            <w:rPr>
              <w:rFonts w:hint="eastAsia" w:ascii="仿宋_GB2312" w:hAnsi="仿宋_GB2312" w:eastAsia="仿宋_GB2312" w:cs="仿宋_GB2312"/>
              <w:sz w:val="24"/>
              <w:szCs w:val="24"/>
              <w:highlight w:val="none"/>
            </w:rPr>
            <w:t>44</w:t>
          </w:r>
          <w:bookmarkEnd w:id="23"/>
          <w:r>
            <w:rPr>
              <w:rFonts w:hint="eastAsia" w:ascii="仿宋_GB2312" w:hAnsi="仿宋_GB2312" w:eastAsia="仿宋_GB2312" w:cs="仿宋_GB2312"/>
              <w:sz w:val="24"/>
              <w:szCs w:val="24"/>
              <w:highlight w:val="none"/>
            </w:rPr>
            <w:fldChar w:fldCharType="end"/>
          </w:r>
        </w:p>
      </w:sdtContent>
    </w:sdt>
    <w:bookmarkEnd w:id="0"/>
    <w:p>
      <w:pPr>
        <w:widowControl/>
        <w:spacing w:line="640" w:lineRule="exact"/>
        <w:jc w:val="left"/>
        <w:rPr>
          <w:rFonts w:ascii="仿宋_GB2312" w:hAnsi="宋体" w:eastAsia="仿宋_GB2312" w:cs="Arial"/>
          <w:sz w:val="32"/>
          <w:szCs w:val="32"/>
          <w:highlight w:val="none"/>
        </w:rPr>
        <w:sectPr>
          <w:footerReference r:id="rId6" w:type="default"/>
          <w:pgSz w:w="11906" w:h="16838"/>
          <w:pgMar w:top="1440" w:right="1797" w:bottom="1440" w:left="1797" w:header="851" w:footer="992" w:gutter="0"/>
          <w:cols w:space="425" w:num="1"/>
          <w:docGrid w:type="lines" w:linePitch="312" w:charSpace="0"/>
        </w:sectPr>
      </w:pPr>
      <w:r>
        <w:rPr>
          <w:rFonts w:ascii="仿宋_GB2312" w:hAnsi="宋体" w:eastAsia="仿宋_GB2312" w:cs="Arial"/>
          <w:sz w:val="32"/>
          <w:szCs w:val="32"/>
          <w:highlight w:val="none"/>
        </w:rPr>
        <w:br w:type="page"/>
      </w:r>
    </w:p>
    <w:p>
      <w:pPr>
        <w:adjustRightInd w:val="0"/>
        <w:snapToGrid w:val="0"/>
        <w:spacing w:line="640" w:lineRule="exact"/>
        <w:jc w:val="center"/>
        <w:outlineLvl w:val="0"/>
        <w:rPr>
          <w:rFonts w:ascii="黑体" w:hAnsi="黑体" w:eastAsia="黑体" w:cs="黑体"/>
          <w:b/>
          <w:sz w:val="32"/>
          <w:szCs w:val="32"/>
          <w:highlight w:val="none"/>
        </w:rPr>
      </w:pPr>
      <w:bookmarkStart w:id="24" w:name="_Toc114140383"/>
      <w:bookmarkStart w:id="25" w:name="_Toc2074765066_WPSOffice_Level1"/>
      <w:bookmarkStart w:id="26" w:name="_Toc27491"/>
      <w:bookmarkStart w:id="27" w:name="_Toc9350"/>
      <w:bookmarkStart w:id="28" w:name="_Toc28606"/>
      <w:bookmarkStart w:id="29" w:name="_Toc28300"/>
      <w:r>
        <w:rPr>
          <w:rFonts w:hint="eastAsia" w:ascii="黑体" w:hAnsi="黑体" w:eastAsia="黑体" w:cs="黑体"/>
          <w:b/>
          <w:sz w:val="32"/>
          <w:szCs w:val="32"/>
          <w:highlight w:val="none"/>
        </w:rPr>
        <w:t>前 言</w:t>
      </w:r>
      <w:bookmarkEnd w:id="24"/>
      <w:bookmarkEnd w:id="25"/>
      <w:bookmarkEnd w:id="26"/>
      <w:bookmarkEnd w:id="27"/>
      <w:bookmarkEnd w:id="28"/>
      <w:bookmarkEnd w:id="29"/>
    </w:p>
    <w:p>
      <w:pPr>
        <w:numPr>
          <w:ilvl w:val="255"/>
          <w:numId w:val="0"/>
        </w:numPr>
        <w:adjustRightInd w:val="0"/>
        <w:snapToGrid w:val="0"/>
        <w:spacing w:line="640" w:lineRule="exact"/>
        <w:ind w:firstLine="640" w:firstLineChars="200"/>
        <w:rPr>
          <w:rFonts w:ascii="黑体" w:hAnsi="黑体" w:eastAsia="黑体" w:cs="黑体"/>
          <w:sz w:val="32"/>
          <w:szCs w:val="32"/>
          <w:highlight w:val="none"/>
        </w:rPr>
      </w:pPr>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2014年，中国证券业协会发布《证券公司全面风险管理规范》，要求证券公司应当“建立与业务复杂程度和风险指标体系相适应的风险管理信息技术系统”，并“实现同一业务、同一客户相关风险信息的集中管理”。</w:t>
      </w:r>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近年来，随着资本市场启动全面深化改革，证券行业步入了高质量发展的新轨道，业务品种及业务模式日趋多样化、复杂化，相应地，管理模式上呈现出以业务品种为中心的组织架构转向以客户为中心的组织架构的趋势。同时，随着融资类业务、衍生品业务的不断发展壮大，母子公司对客户及其关联方的业务交叉日益增多，证券公司风险暴露的形式也更加多样、复杂，加之金融市场信用风险事件频发，证券公司的融资类、信用债投资等业务踩雷事件也屡见不鲜。因此，加强同一业务、同一客户集中统一的风险管理既是金融行业防范系统性风险的重要举措，也是证券公司自身持续稳定健康发展、提升全面风险管理水平的必要手段。在业务管理和风险管理的双重驱动下，证券行业推进同一业务、同一客户风险管理的工作势在必行。建立同一业务、同一客户风险管理机制，有利于证券公司按照科学合理的方法对具有相同风险特征的业务采取基本一致的风控措施；有利于证券公司在准确识别客户关联关系的基础上，实现对客户评级授信、风险监测及后续管理等的统一管控，进而优化风险管理全流程，提升全面风险管理能力。</w:t>
      </w:r>
    </w:p>
    <w:p>
      <w:pPr>
        <w:numPr>
          <w:ilvl w:val="255"/>
          <w:numId w:val="0"/>
        </w:numPr>
        <w:adjustRightInd w:val="0"/>
        <w:snapToGrid w:val="0"/>
        <w:spacing w:line="640" w:lineRule="exact"/>
        <w:ind w:firstLine="640" w:firstLineChars="200"/>
        <w:rPr>
          <w:rFonts w:ascii="仿宋_GB2312" w:hAnsi="宋体" w:eastAsia="仿宋_GB2312" w:cs="Arial"/>
          <w:b/>
          <w:sz w:val="32"/>
          <w:szCs w:val="32"/>
          <w:highlight w:val="none"/>
        </w:rPr>
      </w:pPr>
      <w:r>
        <w:rPr>
          <w:rFonts w:hint="eastAsia" w:ascii="仿宋_GB2312" w:hAnsi="宋体" w:eastAsia="仿宋_GB2312" w:cs="Arial"/>
          <w:sz w:val="32"/>
          <w:szCs w:val="32"/>
          <w:highlight w:val="none"/>
        </w:rPr>
        <w:t>本</w:t>
      </w:r>
      <w:r>
        <w:rPr>
          <w:rFonts w:hint="eastAsia" w:ascii="仿宋_GB2312" w:hAnsi="宋体" w:eastAsia="仿宋_GB2312" w:cs="Arial"/>
          <w:sz w:val="32"/>
          <w:szCs w:val="32"/>
          <w:highlight w:val="none"/>
          <w:lang w:eastAsia="zh-CN"/>
        </w:rPr>
        <w:t>示范实践</w:t>
      </w:r>
      <w:r>
        <w:rPr>
          <w:rFonts w:hint="eastAsia" w:ascii="仿宋_GB2312" w:hAnsi="宋体" w:eastAsia="仿宋_GB2312" w:cs="Arial"/>
          <w:sz w:val="32"/>
          <w:szCs w:val="32"/>
          <w:highlight w:val="none"/>
        </w:rPr>
        <w:t>从同一业务和同一客户的定义和识别入手，介绍如何搭建同一业务及同一客户风险管理机制、相关风险信息收集的范围与标准、在风险管理上的应用以及系统实现，供行业参考。</w:t>
      </w:r>
      <w:bookmarkStart w:id="30" w:name="_Toc25175"/>
      <w:bookmarkStart w:id="31" w:name="_Toc114140384"/>
      <w:bookmarkStart w:id="32" w:name="_Toc12816"/>
      <w:bookmarkStart w:id="33" w:name="_Toc25122"/>
      <w:bookmarkStart w:id="34" w:name="_Toc17144"/>
      <w:r>
        <w:rPr>
          <w:rFonts w:hint="eastAsia" w:ascii="仿宋_GB2312" w:hAnsi="宋体" w:eastAsia="仿宋_GB2312" w:cs="Arial"/>
          <w:b/>
          <w:sz w:val="32"/>
          <w:szCs w:val="32"/>
          <w:highlight w:val="none"/>
        </w:rPr>
        <w:br w:type="page"/>
      </w:r>
    </w:p>
    <w:p>
      <w:pPr>
        <w:adjustRightInd w:val="0"/>
        <w:snapToGrid w:val="0"/>
        <w:spacing w:line="640" w:lineRule="exact"/>
        <w:jc w:val="center"/>
        <w:outlineLvl w:val="0"/>
        <w:rPr>
          <w:rFonts w:ascii="黑体" w:hAnsi="黑体" w:eastAsia="黑体" w:cs="黑体"/>
          <w:b/>
          <w:sz w:val="32"/>
          <w:szCs w:val="32"/>
          <w:highlight w:val="none"/>
          <w:lang w:val="en"/>
        </w:rPr>
      </w:pPr>
      <w:bookmarkStart w:id="35" w:name="_Toc949830526_WPSOffice_Level1"/>
      <w:r>
        <w:rPr>
          <w:rFonts w:hint="eastAsia" w:ascii="黑体" w:hAnsi="黑体" w:eastAsia="黑体" w:cs="黑体"/>
          <w:b/>
          <w:sz w:val="32"/>
          <w:szCs w:val="32"/>
          <w:highlight w:val="none"/>
          <w:lang w:val="en"/>
        </w:rPr>
        <w:t>正</w:t>
      </w:r>
      <w:r>
        <w:rPr>
          <w:rFonts w:hint="eastAsia" w:ascii="黑体" w:hAnsi="黑体" w:eastAsia="黑体" w:cs="黑体"/>
          <w:b/>
          <w:sz w:val="32"/>
          <w:szCs w:val="32"/>
          <w:highlight w:val="none"/>
        </w:rPr>
        <w:t xml:space="preserve"> </w:t>
      </w:r>
      <w:r>
        <w:rPr>
          <w:rFonts w:hint="eastAsia" w:ascii="黑体" w:hAnsi="黑体" w:eastAsia="黑体" w:cs="黑体"/>
          <w:b/>
          <w:sz w:val="32"/>
          <w:szCs w:val="32"/>
          <w:highlight w:val="none"/>
          <w:lang w:val="en"/>
        </w:rPr>
        <w:t>文</w:t>
      </w:r>
      <w:bookmarkEnd w:id="35"/>
    </w:p>
    <w:p>
      <w:pPr>
        <w:adjustRightInd w:val="0"/>
        <w:snapToGrid w:val="0"/>
        <w:spacing w:line="640" w:lineRule="exact"/>
        <w:ind w:firstLine="642" w:firstLineChars="200"/>
        <w:jc w:val="center"/>
        <w:outlineLvl w:val="0"/>
        <w:rPr>
          <w:rFonts w:ascii="仿宋_GB2312" w:hAnsi="宋体" w:eastAsia="仿宋_GB2312" w:cs="Arial"/>
          <w:b/>
          <w:sz w:val="32"/>
          <w:szCs w:val="32"/>
          <w:highlight w:val="none"/>
          <w:lang w:val="en"/>
        </w:rPr>
      </w:pPr>
    </w:p>
    <w:p>
      <w:pPr>
        <w:pStyle w:val="30"/>
        <w:spacing w:line="640" w:lineRule="exact"/>
        <w:ind w:firstLine="643"/>
        <w:rPr>
          <w:rFonts w:ascii="黑体" w:hAnsi="黑体" w:eastAsia="黑体" w:cs="黑体"/>
          <w:b/>
          <w:sz w:val="32"/>
          <w:szCs w:val="32"/>
          <w:highlight w:val="none"/>
        </w:rPr>
      </w:pPr>
      <w:bookmarkStart w:id="36" w:name="_Toc1969369554_WPSOffice_Level1"/>
      <w:r>
        <w:rPr>
          <w:rFonts w:hint="eastAsia" w:ascii="黑体" w:hAnsi="黑体" w:eastAsia="黑体" w:cs="黑体"/>
          <w:b/>
          <w:sz w:val="32"/>
          <w:szCs w:val="32"/>
          <w:highlight w:val="none"/>
        </w:rPr>
        <w:t>一、构建同一业务、同一客户风险管理机制</w:t>
      </w:r>
      <w:bookmarkEnd w:id="30"/>
      <w:bookmarkEnd w:id="31"/>
      <w:bookmarkEnd w:id="32"/>
      <w:bookmarkEnd w:id="33"/>
      <w:bookmarkEnd w:id="34"/>
      <w:bookmarkEnd w:id="36"/>
    </w:p>
    <w:p>
      <w:pPr>
        <w:spacing w:line="640" w:lineRule="exact"/>
        <w:ind w:firstLine="643"/>
        <w:rPr>
          <w:rFonts w:ascii="仿宋_GB2312" w:hAnsi="宋体" w:eastAsia="仿宋_GB2312" w:cs="Arial"/>
          <w:sz w:val="32"/>
          <w:szCs w:val="32"/>
          <w:highlight w:val="none"/>
        </w:rPr>
      </w:pPr>
      <w:bookmarkStart w:id="37" w:name="_Toc2932"/>
      <w:bookmarkStart w:id="38" w:name="_Toc13082"/>
      <w:bookmarkStart w:id="39" w:name="_Toc114140385"/>
      <w:bookmarkStart w:id="40" w:name="_Toc3515"/>
      <w:bookmarkStart w:id="41" w:name="_Toc7907"/>
      <w:r>
        <w:rPr>
          <w:rFonts w:hint="eastAsia" w:ascii="仿宋_GB2312" w:hAnsi="宋体" w:eastAsia="仿宋_GB2312" w:cs="Arial"/>
          <w:sz w:val="32"/>
          <w:szCs w:val="32"/>
          <w:highlight w:val="none"/>
        </w:rPr>
        <w:t>证券公司进行同一业务、同一客户风险管理，</w:t>
      </w:r>
      <w:r>
        <w:rPr>
          <w:rFonts w:hint="eastAsia" w:ascii="仿宋_GB2312" w:hAnsi="宋体" w:eastAsia="仿宋_GB2312" w:cs="Arial"/>
          <w:sz w:val="32"/>
          <w:szCs w:val="32"/>
          <w:highlight w:val="none"/>
          <w:lang w:eastAsia="zh-CN"/>
        </w:rPr>
        <w:t>应当</w:t>
      </w:r>
      <w:r>
        <w:rPr>
          <w:rFonts w:hint="eastAsia" w:ascii="仿宋_GB2312" w:hAnsi="宋体" w:eastAsia="仿宋_GB2312" w:cs="Arial"/>
          <w:sz w:val="32"/>
          <w:szCs w:val="32"/>
          <w:highlight w:val="none"/>
        </w:rPr>
        <w:t>制定同一业务、同一客户风险管理的相关制度，明确适用范围、各项定义及认定标准、职责分工等相关内容。本文如无特殊说明，均以业务全覆盖、子公司全覆盖、分支机构全覆盖、风险类型全覆盖的风险管理为目标适用范围。证券公司可以结合自身实践酌情参考。</w:t>
      </w:r>
    </w:p>
    <w:p>
      <w:pPr>
        <w:spacing w:line="640" w:lineRule="exact"/>
        <w:ind w:firstLine="643"/>
        <w:rPr>
          <w:rFonts w:ascii="楷体" w:hAnsi="楷体" w:eastAsia="楷体" w:cs="华文仿宋"/>
          <w:b/>
          <w:sz w:val="32"/>
          <w:szCs w:val="32"/>
          <w:highlight w:val="none"/>
        </w:rPr>
      </w:pPr>
      <w:bookmarkStart w:id="42" w:name="_Toc949830526_WPSOffice_Level2"/>
      <w:r>
        <w:rPr>
          <w:rFonts w:hint="eastAsia" w:ascii="楷体" w:hAnsi="楷体" w:eastAsia="楷体" w:cs="华文仿宋"/>
          <w:b/>
          <w:sz w:val="32"/>
          <w:szCs w:val="32"/>
          <w:highlight w:val="none"/>
        </w:rPr>
        <w:t>（一）同一业务</w:t>
      </w:r>
      <w:bookmarkEnd w:id="37"/>
      <w:bookmarkEnd w:id="38"/>
      <w:bookmarkEnd w:id="39"/>
      <w:bookmarkEnd w:id="40"/>
      <w:bookmarkEnd w:id="41"/>
      <w:bookmarkEnd w:id="42"/>
    </w:p>
    <w:p>
      <w:pPr>
        <w:spacing w:line="640" w:lineRule="exact"/>
        <w:ind w:firstLine="640" w:firstLineChars="200"/>
        <w:rPr>
          <w:rFonts w:ascii="仿宋_GB2312" w:hAnsi="华文仿宋" w:eastAsia="仿宋_GB2312" w:cs="华文仿宋"/>
          <w:sz w:val="32"/>
          <w:szCs w:val="32"/>
          <w:highlight w:val="none"/>
        </w:rPr>
      </w:pPr>
      <w:r>
        <w:rPr>
          <w:rFonts w:hint="eastAsia" w:ascii="仿宋_GB2312" w:hAnsi="华文仿宋" w:eastAsia="仿宋_GB2312" w:cs="华文仿宋"/>
          <w:sz w:val="32"/>
          <w:szCs w:val="32"/>
          <w:highlight w:val="none"/>
        </w:rPr>
        <w:t>证券公司建立同一业务风险管理机制，要从明确同一业务的定义入手，做好新业务新产品的归集，配以统一的内控、数据治理等相关要求，统一风险指标及计量方法，统一业务系统主要功能的标准与要求，从而实现同一业务的风险信息汇总计量与监测，并实施基本一致的风险管控措施。</w:t>
      </w:r>
    </w:p>
    <w:p>
      <w:pPr>
        <w:adjustRightInd w:val="0"/>
        <w:snapToGrid w:val="0"/>
        <w:spacing w:line="640" w:lineRule="exact"/>
        <w:jc w:val="center"/>
        <w:rPr>
          <w:rFonts w:ascii="黑体" w:hAnsi="黑体" w:eastAsia="黑体" w:cs="仿宋"/>
          <w:sz w:val="28"/>
          <w:szCs w:val="28"/>
          <w:highlight w:val="none"/>
        </w:rPr>
      </w:pPr>
      <w:r>
        <w:rPr>
          <w:rFonts w:ascii="黑体" w:hAnsi="黑体" w:eastAsia="黑体" w:cs="Arial"/>
          <w:sz w:val="28"/>
          <w:szCs w:val="28"/>
          <w:highlight w:val="none"/>
        </w:rPr>
        <w:drawing>
          <wp:anchor distT="0" distB="0" distL="0" distR="0" simplePos="0" relativeHeight="251660288" behindDoc="0" locked="0" layoutInCell="1" allowOverlap="0">
            <wp:simplePos x="0" y="0"/>
            <wp:positionH relativeFrom="column">
              <wp:posOffset>57785</wp:posOffset>
            </wp:positionH>
            <wp:positionV relativeFrom="paragraph">
              <wp:posOffset>170180</wp:posOffset>
            </wp:positionV>
            <wp:extent cx="5247005" cy="3167380"/>
            <wp:effectExtent l="0" t="0" r="10795" b="13970"/>
            <wp:wrapTopAndBottom/>
            <wp:docPr id="8" name="图片 7" descr="企业微信截图_2022091615293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descr="企业微信截图_20220916152938.png"/>
                    <pic:cNvPicPr>
                      <a:picLocks noChangeAspect="true"/>
                    </pic:cNvPicPr>
                  </pic:nvPicPr>
                  <pic:blipFill>
                    <a:blip r:embed="rId9"/>
                    <a:stretch>
                      <a:fillRect/>
                    </a:stretch>
                  </pic:blipFill>
                  <pic:spPr>
                    <a:xfrm>
                      <a:off x="0" y="0"/>
                      <a:ext cx="5247005" cy="3167380"/>
                    </a:xfrm>
                    <a:prstGeom prst="rect">
                      <a:avLst/>
                    </a:prstGeom>
                  </pic:spPr>
                </pic:pic>
              </a:graphicData>
            </a:graphic>
          </wp:anchor>
        </w:drawing>
      </w:r>
      <w:r>
        <w:rPr>
          <w:rFonts w:hint="eastAsia" w:ascii="黑体" w:hAnsi="黑体" w:eastAsia="黑体" w:cs="Arial"/>
          <w:sz w:val="28"/>
          <w:szCs w:val="28"/>
          <w:highlight w:val="none"/>
        </w:rPr>
        <w:t xml:space="preserve">    图1同一业务风险管理机制</w:t>
      </w:r>
    </w:p>
    <w:p>
      <w:pPr>
        <w:spacing w:line="640" w:lineRule="exact"/>
        <w:ind w:firstLine="642" w:firstLineChars="200"/>
        <w:rPr>
          <w:rFonts w:ascii="仿宋_GB2312" w:hAnsi="华文仿宋" w:eastAsia="仿宋_GB2312" w:cs="华文仿宋"/>
          <w:b/>
          <w:bCs/>
          <w:sz w:val="32"/>
          <w:szCs w:val="32"/>
          <w:highlight w:val="none"/>
        </w:rPr>
      </w:pPr>
      <w:bookmarkStart w:id="43" w:name="_Toc21757"/>
      <w:bookmarkStart w:id="44" w:name="_Toc2072"/>
      <w:bookmarkStart w:id="45" w:name="_Toc16186"/>
      <w:bookmarkStart w:id="46" w:name="_Toc31123"/>
      <w:bookmarkStart w:id="47" w:name="_Toc114140386"/>
    </w:p>
    <w:p>
      <w:pPr>
        <w:spacing w:line="640" w:lineRule="exact"/>
        <w:ind w:firstLine="642" w:firstLineChars="200"/>
        <w:rPr>
          <w:rFonts w:ascii="仿宋_GB2312" w:hAnsi="华文仿宋" w:eastAsia="仿宋_GB2312" w:cs="华文仿宋"/>
          <w:b/>
          <w:bCs/>
          <w:sz w:val="32"/>
          <w:szCs w:val="32"/>
          <w:highlight w:val="none"/>
        </w:rPr>
      </w:pPr>
      <w:r>
        <w:rPr>
          <w:rFonts w:hint="eastAsia" w:ascii="仿宋_GB2312" w:hAnsi="华文仿宋" w:eastAsia="仿宋_GB2312" w:cs="华文仿宋"/>
          <w:b/>
          <w:bCs/>
          <w:sz w:val="32"/>
          <w:szCs w:val="32"/>
          <w:highlight w:val="none"/>
        </w:rPr>
        <w:t>1.定义同一业务</w:t>
      </w:r>
      <w:bookmarkEnd w:id="43"/>
      <w:bookmarkEnd w:id="44"/>
      <w:bookmarkEnd w:id="45"/>
      <w:bookmarkEnd w:id="46"/>
      <w:bookmarkEnd w:id="47"/>
      <w:r>
        <w:rPr>
          <w:rFonts w:hint="eastAsia" w:ascii="仿宋_GB2312" w:hAnsi="华文仿宋" w:eastAsia="仿宋_GB2312" w:cs="华文仿宋"/>
          <w:b/>
          <w:bCs/>
          <w:sz w:val="32"/>
          <w:szCs w:val="32"/>
          <w:highlight w:val="none"/>
        </w:rPr>
        <w:t>及分类分层</w:t>
      </w:r>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同一业务是指具有相同或相似业务性质及风险特征的业务。</w:t>
      </w:r>
      <w:r>
        <w:rPr>
          <w:rFonts w:hint="eastAsia" w:ascii="仿宋_GB2312" w:hAnsi="宋体" w:eastAsia="仿宋_GB2312" w:cs="Arial"/>
          <w:b/>
          <w:sz w:val="32"/>
          <w:szCs w:val="32"/>
          <w:highlight w:val="none"/>
        </w:rPr>
        <w:t>证券公司可以在业务性质和风险特征的基础上，结合自身需求，从业务资格、经营牌照、监管主体、业务模式、管理模式、业务品种等多种视角来制定灵活、操作性强的同一业务定义和分类分层的划分标准，并据此对公司的业务进行分类，归纳出若干个大类同一业务</w:t>
      </w:r>
      <w:r>
        <w:rPr>
          <w:rFonts w:hint="eastAsia" w:ascii="仿宋_GB2312" w:hAnsi="宋体" w:eastAsia="仿宋_GB2312" w:cs="Arial"/>
          <w:sz w:val="32"/>
          <w:szCs w:val="32"/>
          <w:highlight w:val="none"/>
        </w:rPr>
        <w:t>；还可以根据需要将大类同一业务进一步细分成多个层级，归纳出不同层级的小类同一业务，做到不交叉、不遗漏，最终形成能反映公司所有业务的同一业务矩阵。</w:t>
      </w:r>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例如，以业务资格和业务牌照作为划分的出发点，第一层可以将公司的所有业务分成证券经纪、证券承销与保荐、证券自营等若干个大类同一业务；接着再进行第二层的划分，如将证券承销与保荐划分为股权类承销、股权类保荐、债权类承销等；根据需要还可以进行第三层的划分。以此类推，有的业务还可以进一步划分出更多的层级，尽量细化、分到不能再分为止。</w:t>
      </w:r>
    </w:p>
    <w:p>
      <w:pPr>
        <w:numPr>
          <w:ilvl w:val="255"/>
          <w:numId w:val="0"/>
        </w:numPr>
        <w:adjustRightInd w:val="0"/>
        <w:snapToGrid w:val="0"/>
        <w:spacing w:line="640" w:lineRule="exact"/>
        <w:ind w:firstLine="640" w:firstLineChars="200"/>
        <w:rPr>
          <w:rFonts w:ascii="黑体" w:hAnsi="黑体" w:eastAsia="黑体" w:cs="Arial"/>
          <w:sz w:val="28"/>
          <w:szCs w:val="28"/>
          <w:highlight w:val="none"/>
        </w:rPr>
      </w:pPr>
      <w:r>
        <w:rPr>
          <w:rFonts w:ascii="仿宋_GB2312" w:hAnsi="宋体" w:eastAsia="仿宋_GB2312" w:cs="Arial"/>
          <w:sz w:val="32"/>
          <w:szCs w:val="32"/>
          <w:highlight w:val="none"/>
        </w:rPr>
        <w:drawing>
          <wp:anchor distT="0" distB="0" distL="0" distR="0" simplePos="0" relativeHeight="251669504" behindDoc="0" locked="0" layoutInCell="1" allowOverlap="1">
            <wp:simplePos x="0" y="0"/>
            <wp:positionH relativeFrom="column">
              <wp:posOffset>-134620</wp:posOffset>
            </wp:positionH>
            <wp:positionV relativeFrom="paragraph">
              <wp:posOffset>234315</wp:posOffset>
            </wp:positionV>
            <wp:extent cx="5278120" cy="3317240"/>
            <wp:effectExtent l="0" t="0" r="0" b="0"/>
            <wp:wrapTopAndBottom/>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0"/>
                    <a:stretch>
                      <a:fillRect/>
                    </a:stretch>
                  </pic:blipFill>
                  <pic:spPr>
                    <a:xfrm>
                      <a:off x="0" y="0"/>
                      <a:ext cx="5278120" cy="3317240"/>
                    </a:xfrm>
                    <a:prstGeom prst="rect">
                      <a:avLst/>
                    </a:prstGeom>
                  </pic:spPr>
                </pic:pic>
              </a:graphicData>
            </a:graphic>
          </wp:anchor>
        </w:drawing>
      </w:r>
      <w:r>
        <w:rPr>
          <w:rFonts w:hint="eastAsia" w:ascii="仿宋_GB2312" w:hAnsi="宋体" w:eastAsia="仿宋_GB2312" w:cs="Arial"/>
          <w:sz w:val="32"/>
          <w:szCs w:val="32"/>
          <w:highlight w:val="none"/>
        </w:rPr>
        <w:t xml:space="preserve">        </w:t>
      </w:r>
      <w:r>
        <w:rPr>
          <w:rFonts w:hint="eastAsia" w:ascii="黑体" w:hAnsi="黑体" w:eastAsia="黑体" w:cs="Arial"/>
          <w:sz w:val="28"/>
          <w:szCs w:val="28"/>
          <w:highlight w:val="none"/>
        </w:rPr>
        <w:t>图2 同一业务分类分层示例</w:t>
      </w:r>
    </w:p>
    <w:p>
      <w:pPr>
        <w:numPr>
          <w:ilvl w:val="255"/>
          <w:numId w:val="0"/>
        </w:numPr>
        <w:adjustRightInd w:val="0"/>
        <w:snapToGrid w:val="0"/>
        <w:spacing w:line="640" w:lineRule="exact"/>
        <w:jc w:val="center"/>
        <w:rPr>
          <w:rFonts w:ascii="黑体" w:hAnsi="黑体" w:eastAsia="黑体" w:cs="Arial"/>
          <w:sz w:val="32"/>
          <w:szCs w:val="32"/>
          <w:highlight w:val="none"/>
        </w:rPr>
      </w:pPr>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在制定分类分层的标准时，每一层级所依据的同一业务的各种视角，可以根据公司自身管理需要灵活运用。例如，监管主体这个视角可以在不同的层级运用。以证券经纪为例，在第一层如果考虑监管主体，就可以把境内证券经纪、香港证券经纪并列成第一层的不同的两个大类同一业务；如果在第二层考虑，则第一层大类同一业务是证券经纪，第二层则可进一步分为境内证券经纪、香港证券经纪。</w:t>
      </w:r>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在进行同一业务认定时，可以将“不是业务”的经营活动一并纳入同一业务管理，例如，证券公司发行的负债工具、在商业银行的存款等。</w:t>
      </w:r>
      <w:bookmarkStart w:id="48" w:name="_Toc31862"/>
      <w:bookmarkStart w:id="49" w:name="_Toc4589"/>
      <w:bookmarkStart w:id="50" w:name="_Toc8046"/>
    </w:p>
    <w:p>
      <w:pPr>
        <w:spacing w:line="640" w:lineRule="exact"/>
        <w:ind w:firstLine="642" w:firstLineChars="200"/>
        <w:rPr>
          <w:rFonts w:ascii="仿宋_GB2312" w:hAnsi="华文仿宋" w:eastAsia="仿宋_GB2312" w:cs="华文仿宋"/>
          <w:b/>
          <w:bCs/>
          <w:sz w:val="32"/>
          <w:szCs w:val="32"/>
          <w:highlight w:val="none"/>
        </w:rPr>
      </w:pPr>
      <w:r>
        <w:rPr>
          <w:rFonts w:hint="eastAsia" w:ascii="仿宋_GB2312" w:hAnsi="华文仿宋" w:eastAsia="仿宋_GB2312" w:cs="华文仿宋"/>
          <w:b/>
          <w:bCs/>
          <w:sz w:val="32"/>
          <w:szCs w:val="32"/>
          <w:highlight w:val="none"/>
        </w:rPr>
        <w:t>2.新业务新产品的同一业务归集</w:t>
      </w:r>
      <w:bookmarkEnd w:id="48"/>
      <w:bookmarkEnd w:id="49"/>
      <w:bookmarkEnd w:id="50"/>
    </w:p>
    <w:p>
      <w:pPr>
        <w:numPr>
          <w:ilvl w:val="255"/>
          <w:numId w:val="0"/>
        </w:numPr>
        <w:adjustRightInd w:val="0"/>
        <w:snapToGrid w:val="0"/>
        <w:spacing w:line="64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证券公司开展新业务新产品前，应梳理分析业务性质、风险特征，对照同一业务定义将其进行归集。如无法将其归集到现有的同一业务分类中，则可通过适当修订现有同一业务定义、增加相应层级中的业务类别或定义新的同一业务类别等方式，将新业务新产品归集到公司同一业务矩阵中。</w:t>
      </w:r>
    </w:p>
    <w:p>
      <w:pPr>
        <w:spacing w:line="640" w:lineRule="exact"/>
        <w:ind w:firstLine="642" w:firstLineChars="200"/>
        <w:rPr>
          <w:rFonts w:ascii="仿宋_GB2312" w:hAnsi="华文仿宋" w:eastAsia="仿宋_GB2312" w:cs="华文仿宋"/>
          <w:b/>
          <w:bCs/>
          <w:sz w:val="32"/>
          <w:szCs w:val="32"/>
          <w:highlight w:val="none"/>
        </w:rPr>
      </w:pPr>
      <w:r>
        <w:rPr>
          <w:rFonts w:hint="eastAsia" w:ascii="仿宋_GB2312" w:hAnsi="华文仿宋" w:eastAsia="仿宋_GB2312" w:cs="华文仿宋"/>
          <w:b/>
          <w:bCs/>
          <w:sz w:val="32"/>
          <w:szCs w:val="32"/>
          <w:highlight w:val="none"/>
        </w:rPr>
        <w:t>3.统一四项基础工作</w:t>
      </w:r>
    </w:p>
    <w:p>
      <w:pPr>
        <w:numPr>
          <w:ilvl w:val="255"/>
          <w:numId w:val="0"/>
        </w:numPr>
        <w:adjustRightInd w:val="0"/>
        <w:snapToGrid w:val="0"/>
        <w:spacing w:line="64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构建同一业务风险管理机制应在内控、数据治理、风险指标及计量、业务系统的主要功能等方面进行统一。</w:t>
      </w:r>
    </w:p>
    <w:p>
      <w:pPr>
        <w:pStyle w:val="26"/>
        <w:spacing w:line="640" w:lineRule="exact"/>
        <w:ind w:firstLine="642" w:firstLineChars="200"/>
        <w:rPr>
          <w:rFonts w:hint="default" w:ascii="仿宋_GB2312" w:hAnsi="华文仿宋" w:eastAsia="仿宋_GB2312" w:cs="华文仿宋"/>
          <w:b/>
          <w:bCs/>
          <w:sz w:val="32"/>
          <w:szCs w:val="32"/>
          <w:highlight w:val="none"/>
        </w:rPr>
      </w:pPr>
      <w:bookmarkStart w:id="51" w:name="_Toc15199"/>
      <w:bookmarkStart w:id="52" w:name="_Toc114140387"/>
      <w:bookmarkStart w:id="53" w:name="_Toc20792"/>
      <w:bookmarkStart w:id="54" w:name="_Toc467"/>
      <w:bookmarkStart w:id="55" w:name="_Toc9240"/>
      <w:r>
        <w:rPr>
          <w:rFonts w:ascii="仿宋_GB2312" w:hAnsi="华文仿宋" w:eastAsia="仿宋_GB2312" w:cs="华文仿宋"/>
          <w:b/>
          <w:bCs/>
          <w:sz w:val="32"/>
          <w:szCs w:val="32"/>
          <w:highlight w:val="none"/>
        </w:rPr>
        <w:t>（1）统一内控相关要求</w:t>
      </w:r>
      <w:bookmarkEnd w:id="51"/>
      <w:bookmarkEnd w:id="52"/>
      <w:bookmarkEnd w:id="53"/>
      <w:bookmarkEnd w:id="54"/>
      <w:bookmarkEnd w:id="55"/>
    </w:p>
    <w:p>
      <w:pPr>
        <w:numPr>
          <w:ilvl w:val="255"/>
          <w:numId w:val="0"/>
        </w:numPr>
        <w:adjustRightInd w:val="0"/>
        <w:snapToGrid w:val="0"/>
        <w:spacing w:line="64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首先，应统一制度流程。</w:t>
      </w:r>
      <w:r>
        <w:rPr>
          <w:rFonts w:hint="eastAsia" w:ascii="仿宋" w:hAnsi="仿宋" w:eastAsia="仿宋"/>
          <w:b/>
          <w:sz w:val="32"/>
          <w:szCs w:val="32"/>
          <w:highlight w:val="none"/>
        </w:rPr>
        <w:t>证券公司应在公司层面的基本业务制度中明确对同一业务</w:t>
      </w:r>
      <w:bookmarkStart w:id="56" w:name="_Hlk102884223"/>
      <w:r>
        <w:rPr>
          <w:rFonts w:hint="eastAsia" w:ascii="仿宋" w:hAnsi="仿宋" w:eastAsia="仿宋"/>
          <w:b/>
          <w:sz w:val="32"/>
          <w:szCs w:val="32"/>
          <w:highlight w:val="none"/>
        </w:rPr>
        <w:t>风险管理的基本要求</w:t>
      </w:r>
      <w:bookmarkEnd w:id="56"/>
      <w:r>
        <w:rPr>
          <w:rFonts w:hint="eastAsia" w:ascii="仿宋" w:hAnsi="仿宋" w:eastAsia="仿宋"/>
          <w:b/>
          <w:sz w:val="32"/>
          <w:szCs w:val="32"/>
          <w:highlight w:val="none"/>
        </w:rPr>
        <w:t>，并落实到各业务线具体的业务管理制度与流程中</w:t>
      </w:r>
      <w:r>
        <w:rPr>
          <w:rFonts w:hint="eastAsia" w:ascii="仿宋" w:hAnsi="仿宋" w:eastAsia="仿宋"/>
          <w:sz w:val="32"/>
          <w:szCs w:val="32"/>
          <w:highlight w:val="none"/>
        </w:rPr>
        <w:t>。证券公司应按照证监会《证券公司内部控制指引》的要求对每一类业务制定统一的基本业务管理制度，并要求开展同一业务的相关部门遵照执行。以证券自营-权益类证券投资为例，公司应制定该业务的风险管理基本规定,在此基础上，各相关部门可以进一步将相关要求细化并落实到本部门的业务制度与流程中。</w:t>
      </w:r>
    </w:p>
    <w:p>
      <w:pPr>
        <w:numPr>
          <w:ilvl w:val="255"/>
          <w:numId w:val="0"/>
        </w:numPr>
        <w:adjustRightInd w:val="0"/>
        <w:snapToGrid w:val="0"/>
        <w:spacing w:line="640" w:lineRule="exact"/>
        <w:ind w:firstLine="640" w:firstLineChars="200"/>
        <w:jc w:val="both"/>
        <w:rPr>
          <w:rFonts w:ascii="仿宋" w:hAnsi="仿宋" w:eastAsia="仿宋"/>
          <w:sz w:val="32"/>
          <w:szCs w:val="32"/>
          <w:highlight w:val="none"/>
        </w:rPr>
      </w:pPr>
      <w:r>
        <w:rPr>
          <w:rFonts w:hint="eastAsia" w:ascii="仿宋" w:hAnsi="仿宋" w:eastAsia="仿宋"/>
          <w:sz w:val="32"/>
          <w:szCs w:val="32"/>
          <w:highlight w:val="none"/>
        </w:rPr>
        <w:t>其次，应统一内控矩阵。</w:t>
      </w:r>
      <w:r>
        <w:rPr>
          <w:rFonts w:hint="eastAsia" w:ascii="仿宋" w:hAnsi="仿宋" w:eastAsia="仿宋"/>
          <w:b/>
          <w:sz w:val="32"/>
          <w:szCs w:val="32"/>
          <w:highlight w:val="none"/>
        </w:rPr>
        <w:t>证券公司应根据各项业务的风险特征提出公司层面对同一业务原则性的内控要求，制定关键控制措施，相关业务部门参照要求，结合自身业务流程，形成基本统一的内控矩阵</w:t>
      </w:r>
      <w:r>
        <w:rPr>
          <w:rFonts w:hint="eastAsia" w:ascii="仿宋" w:hAnsi="仿宋" w:eastAsia="仿宋"/>
          <w:sz w:val="32"/>
          <w:szCs w:val="32"/>
          <w:highlight w:val="none"/>
        </w:rPr>
        <w:t>。内控矩阵要充分考虑同一业务的控制环境、风险识别与评估、控制活动、信息沟通、监督与评价等各类要素。</w:t>
      </w:r>
      <w:r>
        <w:rPr>
          <w:rFonts w:hint="eastAsia" w:ascii="仿宋" w:hAnsi="仿宋" w:eastAsia="仿宋"/>
          <w:bCs/>
          <w:sz w:val="32"/>
          <w:szCs w:val="32"/>
          <w:highlight w:val="none"/>
        </w:rPr>
        <w:t>控制环境要确保同一业务的组织架构与决策程序的基本统一。</w:t>
      </w:r>
      <w:r>
        <w:rPr>
          <w:rFonts w:hint="eastAsia" w:ascii="仿宋" w:hAnsi="仿宋" w:eastAsia="仿宋"/>
          <w:sz w:val="32"/>
          <w:szCs w:val="32"/>
          <w:highlight w:val="none"/>
        </w:rPr>
        <w:t>风险识别与评估在方法、工具、标准等方面保持基本一致，确保及时识别、确认同一业务的各类风险，并进行准确加总、评估。控制活动应保持同一业务在授权与审批、复核与查证、业务规程与操作程序、岗位权限与职责分工等方面的管理原则和重要要求基本一致。</w:t>
      </w:r>
    </w:p>
    <w:p>
      <w:pPr>
        <w:pStyle w:val="26"/>
        <w:spacing w:line="640" w:lineRule="exact"/>
        <w:ind w:firstLine="642" w:firstLineChars="200"/>
        <w:rPr>
          <w:rFonts w:hint="default" w:ascii="仿宋_GB2312" w:hAnsi="华文仿宋" w:eastAsia="仿宋_GB2312" w:cs="华文仿宋"/>
          <w:b/>
          <w:bCs/>
          <w:sz w:val="32"/>
          <w:szCs w:val="32"/>
          <w:highlight w:val="none"/>
        </w:rPr>
      </w:pPr>
      <w:bookmarkStart w:id="57" w:name="_Toc1808"/>
      <w:bookmarkStart w:id="58" w:name="_Toc13713"/>
      <w:bookmarkStart w:id="59" w:name="_Toc114140388"/>
      <w:bookmarkStart w:id="60" w:name="_Toc6838"/>
      <w:bookmarkStart w:id="61" w:name="_Toc32290"/>
      <w:r>
        <w:rPr>
          <w:rFonts w:ascii="仿宋_GB2312" w:hAnsi="华文仿宋" w:eastAsia="仿宋_GB2312" w:cs="华文仿宋"/>
          <w:b/>
          <w:bCs/>
          <w:sz w:val="32"/>
          <w:szCs w:val="32"/>
          <w:highlight w:val="none"/>
        </w:rPr>
        <w:t>（2）统一数据治理的相关工作</w:t>
      </w:r>
      <w:bookmarkEnd w:id="57"/>
      <w:bookmarkEnd w:id="58"/>
      <w:bookmarkEnd w:id="59"/>
      <w:bookmarkEnd w:id="60"/>
      <w:bookmarkEnd w:id="61"/>
    </w:p>
    <w:p>
      <w:pPr>
        <w:adjustRightInd w:val="0"/>
        <w:snapToGrid w:val="0"/>
        <w:spacing w:line="640" w:lineRule="exact"/>
        <w:ind w:firstLine="642" w:firstLineChars="200"/>
        <w:jc w:val="both"/>
        <w:rPr>
          <w:rFonts w:ascii="仿宋" w:hAnsi="仿宋" w:eastAsia="仿宋" w:cs="仿宋"/>
          <w:sz w:val="32"/>
          <w:szCs w:val="32"/>
          <w:highlight w:val="none"/>
        </w:rPr>
      </w:pPr>
      <w:r>
        <w:rPr>
          <w:rFonts w:hint="eastAsia" w:ascii="仿宋" w:hAnsi="仿宋" w:eastAsia="仿宋" w:cs="仿宋"/>
          <w:b/>
          <w:bCs/>
          <w:sz w:val="32"/>
          <w:szCs w:val="32"/>
          <w:highlight w:val="none"/>
        </w:rPr>
        <w:t>证券公司应明确同一业务数据治理工作内容和职责分工，确保各系统数据准确、完整、一致。</w:t>
      </w:r>
      <w:r>
        <w:rPr>
          <w:rFonts w:hint="eastAsia" w:ascii="仿宋" w:hAnsi="仿宋" w:eastAsia="仿宋" w:cs="仿宋"/>
          <w:sz w:val="32"/>
          <w:szCs w:val="32"/>
          <w:highlight w:val="none"/>
        </w:rPr>
        <w:t>按照业务分类，梳理同一业务数据在各业务系统和管理系统中的分布情况，确定同一业务的数据标准与数据模型，制定同一业务系统数据模型与上游各源系统数据模型映射规则，确定数据归集与数据交换的方式，建立数据质量管控规则等。</w:t>
      </w:r>
    </w:p>
    <w:p>
      <w:pPr>
        <w:pStyle w:val="26"/>
        <w:spacing w:line="640" w:lineRule="exact"/>
        <w:ind w:firstLine="642" w:firstLineChars="200"/>
        <w:rPr>
          <w:rFonts w:hint="default" w:ascii="仿宋_GB2312" w:hAnsi="华文仿宋" w:eastAsia="仿宋_GB2312" w:cs="华文仿宋"/>
          <w:b/>
          <w:bCs/>
          <w:sz w:val="32"/>
          <w:szCs w:val="32"/>
          <w:highlight w:val="none"/>
        </w:rPr>
      </w:pPr>
      <w:bookmarkStart w:id="62" w:name="_Toc19054"/>
      <w:bookmarkStart w:id="63" w:name="_Toc8301"/>
      <w:bookmarkStart w:id="64" w:name="_Toc2997"/>
      <w:bookmarkStart w:id="65" w:name="_Toc16124"/>
      <w:bookmarkStart w:id="66" w:name="_Toc114140389"/>
      <w:r>
        <w:rPr>
          <w:rFonts w:ascii="仿宋_GB2312" w:hAnsi="华文仿宋" w:eastAsia="仿宋_GB2312" w:cs="华文仿宋"/>
          <w:b/>
          <w:bCs/>
          <w:sz w:val="32"/>
          <w:szCs w:val="32"/>
          <w:highlight w:val="none"/>
        </w:rPr>
        <w:t>（3）统一风险指标及计量方法</w:t>
      </w:r>
      <w:bookmarkEnd w:id="62"/>
      <w:bookmarkEnd w:id="63"/>
      <w:bookmarkEnd w:id="64"/>
      <w:bookmarkEnd w:id="65"/>
      <w:bookmarkEnd w:id="66"/>
    </w:p>
    <w:p>
      <w:pPr>
        <w:numPr>
          <w:ilvl w:val="255"/>
          <w:numId w:val="0"/>
        </w:numPr>
        <w:adjustRightInd w:val="0"/>
        <w:snapToGrid w:val="0"/>
        <w:spacing w:line="640" w:lineRule="exact"/>
        <w:ind w:firstLine="642" w:firstLineChars="200"/>
        <w:rPr>
          <w:rFonts w:ascii="仿宋" w:hAnsi="仿宋" w:eastAsia="仿宋"/>
          <w:sz w:val="32"/>
          <w:szCs w:val="32"/>
          <w:highlight w:val="none"/>
        </w:rPr>
      </w:pPr>
      <w:r>
        <w:rPr>
          <w:rFonts w:hint="eastAsia" w:ascii="仿宋" w:hAnsi="仿宋" w:eastAsia="仿宋"/>
          <w:b/>
          <w:bCs/>
          <w:sz w:val="32"/>
          <w:szCs w:val="32"/>
          <w:highlight w:val="none"/>
        </w:rPr>
        <w:t>证券公司应针对同一业务设计统一的风险指标，以实现同一业务在不同层级、不同维度进行风险比较和汇总。</w:t>
      </w:r>
      <w:r>
        <w:rPr>
          <w:rFonts w:hint="eastAsia" w:ascii="仿宋" w:hAnsi="仿宋" w:eastAsia="仿宋"/>
          <w:sz w:val="32"/>
          <w:szCs w:val="32"/>
          <w:highlight w:val="none"/>
        </w:rPr>
        <w:t>风险指标在指标类型和指标参数方面做到统一，如统一VAR指标时，需同时统一其时间跨度、置信度两个参数的设定。业务部门出于自身风险控制的需要，制定的个性化风险指标可不包括在统一风险指标的范畴内。</w:t>
      </w:r>
    </w:p>
    <w:p>
      <w:pPr>
        <w:numPr>
          <w:ilvl w:val="255"/>
          <w:numId w:val="0"/>
        </w:numPr>
        <w:adjustRightInd w:val="0"/>
        <w:snapToGrid w:val="0"/>
        <w:spacing w:line="640" w:lineRule="exact"/>
        <w:ind w:firstLine="642" w:firstLineChars="200"/>
        <w:rPr>
          <w:rFonts w:ascii="仿宋" w:hAnsi="仿宋" w:eastAsia="仿宋"/>
          <w:sz w:val="32"/>
          <w:szCs w:val="32"/>
          <w:highlight w:val="none"/>
        </w:rPr>
      </w:pPr>
      <w:r>
        <w:rPr>
          <w:rFonts w:hint="eastAsia" w:ascii="仿宋" w:hAnsi="仿宋" w:eastAsia="仿宋"/>
          <w:b/>
          <w:sz w:val="32"/>
          <w:szCs w:val="32"/>
          <w:highlight w:val="none"/>
        </w:rPr>
        <w:t>证券公司应对同一业务不同层级设计统一的风险指标，随着层级不断下探，可设置更为丰富的风险指标。</w:t>
      </w:r>
      <w:r>
        <w:rPr>
          <w:rFonts w:hint="eastAsia" w:ascii="仿宋" w:hAnsi="仿宋" w:eastAsia="仿宋"/>
          <w:sz w:val="32"/>
          <w:szCs w:val="32"/>
          <w:highlight w:val="none"/>
        </w:rPr>
        <w:t>例如，根据自营业务承担的市场风险，在第一层证券自营可以设置VAR、压力测试下损失等指标，在第二层，可以在第一层指标基础上增加结合第二层业务风险特征的指标，如权益类证券自营可以增加的净敞口、单一证券最大规模等指标，固收类证券自营可以增加基点价值、单一证券最大规模等指标。</w:t>
      </w:r>
      <w:r>
        <w:rPr>
          <w:rFonts w:hint="eastAsia" w:ascii="仿宋" w:hAnsi="仿宋" w:eastAsia="仿宋"/>
          <w:b/>
          <w:sz w:val="32"/>
          <w:szCs w:val="32"/>
          <w:highlight w:val="none"/>
        </w:rPr>
        <w:t>在同一业务各维度层面应使用统一的风险指标</w:t>
      </w:r>
      <w:r>
        <w:rPr>
          <w:rFonts w:hint="eastAsia" w:ascii="仿宋" w:hAnsi="仿宋" w:eastAsia="仿宋"/>
          <w:sz w:val="32"/>
          <w:szCs w:val="32"/>
          <w:highlight w:val="none"/>
        </w:rPr>
        <w:t>，例如，开展证券承销和保荐的不同部门应使用相同的关键操作风险指标，如外部处罚次数、外部关注次数等。</w:t>
      </w:r>
    </w:p>
    <w:p>
      <w:pPr>
        <w:adjustRightInd w:val="0"/>
        <w:snapToGrid w:val="0"/>
        <w:spacing w:line="640" w:lineRule="exact"/>
        <w:ind w:firstLine="642" w:firstLineChars="200"/>
        <w:rPr>
          <w:rFonts w:ascii="仿宋" w:hAnsi="仿宋" w:eastAsia="仿宋"/>
          <w:b/>
          <w:sz w:val="32"/>
          <w:szCs w:val="32"/>
          <w:highlight w:val="none"/>
        </w:rPr>
      </w:pPr>
      <w:r>
        <w:rPr>
          <w:rFonts w:hint="eastAsia" w:ascii="仿宋" w:hAnsi="仿宋" w:eastAsia="仿宋"/>
          <w:b/>
          <w:sz w:val="32"/>
          <w:szCs w:val="32"/>
          <w:highlight w:val="none"/>
        </w:rPr>
        <w:t>统一计量方法是指涉及到同一业务的限额管理、风险监测、风险评估所使用的计量模型、模型参数、计量频率等要保持一致，以实现风险指标可在各层级、各维度间比较和汇总。</w:t>
      </w:r>
    </w:p>
    <w:p>
      <w:pPr>
        <w:pStyle w:val="26"/>
        <w:spacing w:line="640" w:lineRule="exact"/>
        <w:ind w:firstLine="642" w:firstLineChars="200"/>
        <w:rPr>
          <w:rFonts w:hint="default" w:ascii="仿宋_GB2312" w:hAnsi="华文仿宋" w:eastAsia="仿宋_GB2312" w:cs="华文仿宋"/>
          <w:b/>
          <w:bCs/>
          <w:sz w:val="32"/>
          <w:szCs w:val="32"/>
          <w:highlight w:val="none"/>
        </w:rPr>
      </w:pPr>
      <w:bookmarkStart w:id="67" w:name="_Toc114140390"/>
      <w:bookmarkStart w:id="68" w:name="_Toc31402"/>
      <w:bookmarkStart w:id="69" w:name="_Toc24179"/>
      <w:bookmarkStart w:id="70" w:name="_Toc11842"/>
      <w:bookmarkStart w:id="71" w:name="_Toc6275"/>
      <w:r>
        <w:rPr>
          <w:rFonts w:ascii="仿宋_GB2312" w:hAnsi="华文仿宋" w:eastAsia="仿宋_GB2312" w:cs="华文仿宋"/>
          <w:b/>
          <w:bCs/>
          <w:sz w:val="32"/>
          <w:szCs w:val="32"/>
          <w:highlight w:val="none"/>
        </w:rPr>
        <w:t>（4）统一业务系统主要功能的标准与要求</w:t>
      </w:r>
      <w:bookmarkEnd w:id="67"/>
      <w:bookmarkEnd w:id="68"/>
      <w:bookmarkEnd w:id="69"/>
      <w:bookmarkEnd w:id="70"/>
      <w:bookmarkEnd w:id="71"/>
    </w:p>
    <w:p>
      <w:pPr>
        <w:adjustRightInd w:val="0"/>
        <w:snapToGrid w:val="0"/>
        <w:spacing w:line="640" w:lineRule="exact"/>
        <w:ind w:firstLine="642" w:firstLineChars="200"/>
        <w:rPr>
          <w:rFonts w:ascii="仿宋" w:hAnsi="仿宋" w:eastAsia="仿宋"/>
          <w:sz w:val="32"/>
          <w:szCs w:val="32"/>
          <w:highlight w:val="none"/>
        </w:rPr>
      </w:pPr>
      <w:r>
        <w:rPr>
          <w:rFonts w:hint="eastAsia" w:ascii="仿宋" w:hAnsi="仿宋" w:eastAsia="仿宋" w:cs="仿宋"/>
          <w:b/>
          <w:sz w:val="32"/>
          <w:szCs w:val="32"/>
          <w:highlight w:val="none"/>
        </w:rPr>
        <w:t>证券公司应对同一业务的相关业务系统主要功能建立统一标准，以满足前中后台在同一业务方面的管理需求。</w:t>
      </w:r>
      <w:r>
        <w:rPr>
          <w:rFonts w:hint="eastAsia" w:ascii="仿宋" w:hAnsi="仿宋" w:eastAsia="仿宋" w:cs="仿宋"/>
          <w:sz w:val="32"/>
          <w:szCs w:val="32"/>
          <w:highlight w:val="none"/>
        </w:rPr>
        <w:t>在前台功能方面至少应对交易流水记录、系统前端控制、审批流程等制定统一的标准或最低要求；在中台功能方面应明确使用相同的估值模型、风险计量方法等；在后台功能方面对清算、交收、事后风控等提出基本一致的要求。</w:t>
      </w:r>
    </w:p>
    <w:p>
      <w:pPr>
        <w:pStyle w:val="26"/>
        <w:spacing w:line="640" w:lineRule="exact"/>
        <w:ind w:firstLine="642" w:firstLineChars="200"/>
        <w:jc w:val="both"/>
        <w:rPr>
          <w:rFonts w:hint="default" w:ascii="仿宋_GB2312" w:hAnsi="华文仿宋" w:eastAsia="仿宋_GB2312" w:cs="华文仿宋"/>
          <w:b/>
          <w:bCs/>
          <w:color w:val="auto"/>
          <w:kern w:val="2"/>
          <w:sz w:val="32"/>
          <w:szCs w:val="32"/>
          <w:highlight w:val="none"/>
        </w:rPr>
      </w:pPr>
      <w:bookmarkStart w:id="72" w:name="_Toc19330"/>
      <w:bookmarkStart w:id="73" w:name="_Toc29030"/>
      <w:bookmarkStart w:id="74" w:name="_Toc114140391"/>
      <w:bookmarkStart w:id="75" w:name="_Toc1969369554_WPSOffice_Level2"/>
      <w:bookmarkStart w:id="76" w:name="_Toc2696"/>
      <w:bookmarkStart w:id="77" w:name="_Toc18758"/>
      <w:r>
        <w:rPr>
          <w:rFonts w:ascii="仿宋_GB2312" w:hAnsi="华文仿宋" w:eastAsia="仿宋_GB2312" w:cs="华文仿宋"/>
          <w:b/>
          <w:bCs/>
          <w:color w:val="auto"/>
          <w:kern w:val="2"/>
          <w:sz w:val="32"/>
          <w:szCs w:val="32"/>
          <w:highlight w:val="none"/>
        </w:rPr>
        <w:t>（二）同一客户</w:t>
      </w:r>
      <w:bookmarkEnd w:id="72"/>
      <w:bookmarkEnd w:id="73"/>
      <w:bookmarkEnd w:id="74"/>
      <w:bookmarkEnd w:id="75"/>
      <w:bookmarkEnd w:id="76"/>
      <w:bookmarkEnd w:id="77"/>
    </w:p>
    <w:p>
      <w:pPr>
        <w:adjustRightInd w:val="0"/>
        <w:snapToGrid w:val="0"/>
        <w:spacing w:after="156" w:afterLines="50"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在同一客户管理的范畴中，客户包含证券公司各类业务中涉及的交易对手、经纪业务线客户、融资工具发行人等。证券公司建立同一客户风险管理机制，要从明确定义和认定标准入手，实现同一客户在公司内部的唯一识别和关联关系认定，配以健全的风险信息收集机制和完善的风险管理系统，以实现对同一客户信用风险的统一计量及集中管理。</w:t>
      </w:r>
    </w:p>
    <w:p>
      <w:pPr>
        <w:adjustRightInd w:val="0"/>
        <w:snapToGrid w:val="0"/>
        <w:spacing w:line="640" w:lineRule="exact"/>
        <w:jc w:val="center"/>
        <w:rPr>
          <w:rFonts w:ascii="黑体" w:hAnsi="黑体" w:eastAsia="黑体" w:cs="Arial"/>
          <w:sz w:val="28"/>
          <w:szCs w:val="28"/>
          <w:highlight w:val="none"/>
        </w:rPr>
      </w:pPr>
      <w:bookmarkStart w:id="78" w:name="_Toc4360"/>
      <w:bookmarkStart w:id="79" w:name="_Toc14917"/>
      <w:bookmarkStart w:id="80" w:name="_Toc27085"/>
      <w:bookmarkStart w:id="81" w:name="_Toc32460"/>
      <w:bookmarkStart w:id="82" w:name="_Toc1633"/>
      <w:r>
        <w:rPr>
          <w:rFonts w:hint="eastAsia" w:ascii="黑体" w:hAnsi="黑体" w:eastAsia="黑体" w:cs="Arial"/>
          <w:sz w:val="28"/>
          <w:szCs w:val="28"/>
          <w:highlight w:val="none"/>
        </w:rPr>
        <w:drawing>
          <wp:anchor distT="0" distB="0" distL="114300" distR="114300" simplePos="0" relativeHeight="251663360" behindDoc="0" locked="0" layoutInCell="1" allowOverlap="1">
            <wp:simplePos x="0" y="0"/>
            <wp:positionH relativeFrom="column">
              <wp:posOffset>189230</wp:posOffset>
            </wp:positionH>
            <wp:positionV relativeFrom="paragraph">
              <wp:posOffset>0</wp:posOffset>
            </wp:positionV>
            <wp:extent cx="4824730" cy="2693670"/>
            <wp:effectExtent l="19050" t="0" r="0" b="0"/>
            <wp:wrapTopAndBottom/>
            <wp:docPr id="19" name="图片 19"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true"/>
                    </pic:cNvPicPr>
                  </pic:nvPicPr>
                  <pic:blipFill>
                    <a:blip r:embed="rId11" cstate="print"/>
                    <a:stretch>
                      <a:fillRect/>
                    </a:stretch>
                  </pic:blipFill>
                  <pic:spPr>
                    <a:xfrm>
                      <a:off x="0" y="0"/>
                      <a:ext cx="4824730" cy="2693670"/>
                    </a:xfrm>
                    <a:prstGeom prst="rect">
                      <a:avLst/>
                    </a:prstGeom>
                  </pic:spPr>
                </pic:pic>
              </a:graphicData>
            </a:graphic>
          </wp:anchor>
        </w:drawing>
      </w:r>
      <w:r>
        <w:rPr>
          <w:rFonts w:hint="eastAsia" w:ascii="黑体" w:hAnsi="黑体" w:eastAsia="黑体" w:cs="Arial"/>
          <w:sz w:val="28"/>
          <w:szCs w:val="28"/>
          <w:highlight w:val="none"/>
        </w:rPr>
        <w:t>图3 同一客户风险管理机制</w:t>
      </w:r>
    </w:p>
    <w:p>
      <w:pPr>
        <w:pStyle w:val="26"/>
        <w:tabs>
          <w:tab w:val="left" w:pos="942"/>
        </w:tabs>
        <w:spacing w:before="156" w:beforeLines="50" w:line="640" w:lineRule="exact"/>
        <w:ind w:left="630" w:leftChars="300"/>
        <w:rPr>
          <w:rFonts w:hint="default" w:ascii="仿宋_GB2312" w:hAnsi="华文仿宋" w:eastAsia="仿宋_GB2312" w:cs="华文仿宋"/>
          <w:b/>
          <w:sz w:val="32"/>
          <w:szCs w:val="32"/>
          <w:highlight w:val="none"/>
        </w:rPr>
      </w:pPr>
      <w:bookmarkStart w:id="83" w:name="_Toc5144"/>
      <w:bookmarkStart w:id="84" w:name="_Toc27203"/>
      <w:bookmarkStart w:id="85" w:name="_Toc114140392"/>
      <w:r>
        <w:rPr>
          <w:rFonts w:ascii="仿宋_GB2312" w:hAnsi="华文仿宋" w:eastAsia="仿宋_GB2312" w:cs="华文仿宋"/>
          <w:b/>
          <w:sz w:val="32"/>
          <w:szCs w:val="32"/>
          <w:highlight w:val="none"/>
        </w:rPr>
        <w:t>1.单一客户身份识别</w:t>
      </w:r>
      <w:bookmarkEnd w:id="78"/>
      <w:bookmarkEnd w:id="79"/>
      <w:bookmarkEnd w:id="80"/>
      <w:bookmarkEnd w:id="81"/>
      <w:bookmarkEnd w:id="82"/>
      <w:bookmarkEnd w:id="83"/>
      <w:bookmarkEnd w:id="84"/>
      <w:bookmarkEnd w:id="85"/>
    </w:p>
    <w:p>
      <w:pPr>
        <w:adjustRightInd w:val="0"/>
        <w:snapToGrid w:val="0"/>
        <w:spacing w:line="640" w:lineRule="exact"/>
        <w:ind w:firstLine="642" w:firstLineChars="200"/>
        <w:rPr>
          <w:rFonts w:ascii="仿宋_GB2312" w:hAnsi="宋体" w:eastAsia="仿宋_GB2312" w:cs="Arial"/>
          <w:sz w:val="32"/>
          <w:szCs w:val="32"/>
          <w:highlight w:val="none"/>
        </w:rPr>
      </w:pPr>
      <w:r>
        <w:rPr>
          <w:rFonts w:hint="eastAsia" w:ascii="仿宋_GB2312" w:hAnsi="宋体" w:eastAsia="仿宋_GB2312" w:cs="Arial"/>
          <w:b/>
          <w:sz w:val="32"/>
          <w:szCs w:val="32"/>
          <w:highlight w:val="none"/>
        </w:rPr>
        <w:t>同一客户的基础是对单一客户的识别和归并</w:t>
      </w:r>
      <w:r>
        <w:rPr>
          <w:rFonts w:hint="eastAsia" w:ascii="仿宋_GB2312" w:hAnsi="宋体" w:eastAsia="仿宋_GB2312" w:cs="Arial"/>
          <w:sz w:val="32"/>
          <w:szCs w:val="32"/>
          <w:highlight w:val="none"/>
        </w:rPr>
        <w:t>，做到将不同业务条线、不同系统里的同一个单一客户识别出来，将其业务信息、风险信息等进行归并。证券公司需要根据客户类型差异化定义单一客户的身份识别依据，并据此对客户进行内部编码。定义应考虑到监管对不同业务客户身份信息方面的不同要求，如遇与监管要求的证件类型不一致的情形，需要制定内部尽调要求来补充收集相应的身份识别信息。根据各家证券公司的现状，也可以先从最低要求做起，逐步完善单一客户识别。表1列示了自然人、企业法人、产品户的身份识别依据/编码依据。其他客户类型可以参考《中国证券登记结算有限责任公司证券账户业务指南》相关规定、境外监管相关要求。</w:t>
      </w:r>
    </w:p>
    <w:p>
      <w:pPr>
        <w:adjustRightInd w:val="0"/>
        <w:snapToGrid w:val="0"/>
        <w:spacing w:line="640" w:lineRule="exact"/>
        <w:jc w:val="center"/>
        <w:rPr>
          <w:rFonts w:ascii="黑体" w:hAnsi="黑体" w:eastAsia="黑体" w:cs="Arial"/>
          <w:sz w:val="28"/>
          <w:szCs w:val="28"/>
          <w:highlight w:val="none"/>
        </w:rPr>
      </w:pPr>
      <w:r>
        <w:rPr>
          <w:rFonts w:hint="eastAsia" w:ascii="黑体" w:hAnsi="黑体" w:eastAsia="黑体" w:cs="Arial"/>
          <w:sz w:val="28"/>
          <w:szCs w:val="28"/>
          <w:highlight w:val="none"/>
        </w:rPr>
        <w:t>表1 单一客户身份识别依据/编码依据</w:t>
      </w:r>
    </w:p>
    <w:tbl>
      <w:tblPr>
        <w:tblStyle w:val="18"/>
        <w:tblW w:w="8222" w:type="dxa"/>
        <w:tblInd w:w="108" w:type="dxa"/>
        <w:tblLayout w:type="fixed"/>
        <w:tblCellMar>
          <w:top w:w="0" w:type="dxa"/>
          <w:left w:w="108" w:type="dxa"/>
          <w:bottom w:w="0" w:type="dxa"/>
          <w:right w:w="108" w:type="dxa"/>
        </w:tblCellMar>
      </w:tblPr>
      <w:tblGrid>
        <w:gridCol w:w="1117"/>
        <w:gridCol w:w="3182"/>
        <w:gridCol w:w="3923"/>
      </w:tblGrid>
      <w:tr>
        <w:trPr>
          <w:trHeight w:val="565" w:hRule="atLeast"/>
        </w:trPr>
        <w:tc>
          <w:tcPr>
            <w:tcW w:w="1117" w:type="dxa"/>
            <w:tcBorders>
              <w:top w:val="single" w:color="auto" w:sz="4" w:space="0"/>
              <w:left w:val="single" w:color="auto" w:sz="4" w:space="0"/>
              <w:bottom w:val="single" w:color="auto" w:sz="4" w:space="0"/>
              <w:right w:val="single" w:color="auto" w:sz="4" w:space="0"/>
            </w:tcBorders>
            <w:shd w:val="clear" w:color="000000" w:fill="D8D8D8" w:themeFill="background1" w:themeFillShade="D9"/>
            <w:noWrap/>
            <w:vAlign w:val="center"/>
          </w:tcPr>
          <w:p>
            <w:pPr>
              <w:widowControl/>
              <w:spacing w:line="640" w:lineRule="exact"/>
              <w:jc w:val="center"/>
              <w:rPr>
                <w:rFonts w:ascii="仿宋" w:hAnsi="仿宋" w:eastAsia="仿宋" w:cs="仿宋"/>
                <w:b/>
                <w:bCs/>
                <w:color w:val="000000"/>
                <w:kern w:val="0"/>
                <w:sz w:val="22"/>
                <w:highlight w:val="none"/>
              </w:rPr>
            </w:pPr>
            <w:r>
              <w:rPr>
                <w:rFonts w:hint="eastAsia" w:ascii="仿宋" w:hAnsi="仿宋" w:eastAsia="仿宋" w:cs="仿宋"/>
                <w:b/>
                <w:bCs/>
                <w:color w:val="000000"/>
                <w:kern w:val="0"/>
                <w:sz w:val="22"/>
                <w:highlight w:val="none"/>
              </w:rPr>
              <w:t>客户类型</w:t>
            </w:r>
          </w:p>
        </w:tc>
        <w:tc>
          <w:tcPr>
            <w:tcW w:w="3182" w:type="dxa"/>
            <w:tcBorders>
              <w:top w:val="single" w:color="auto" w:sz="4" w:space="0"/>
              <w:left w:val="nil"/>
              <w:bottom w:val="single" w:color="auto" w:sz="4" w:space="0"/>
              <w:right w:val="single" w:color="auto" w:sz="4" w:space="0"/>
            </w:tcBorders>
            <w:shd w:val="clear" w:color="000000" w:fill="D8D8D8" w:themeFill="background1" w:themeFillShade="D9"/>
            <w:noWrap/>
            <w:vAlign w:val="center"/>
          </w:tcPr>
          <w:p>
            <w:pPr>
              <w:widowControl/>
              <w:spacing w:line="640" w:lineRule="exact"/>
              <w:jc w:val="center"/>
              <w:rPr>
                <w:rFonts w:ascii="仿宋" w:hAnsi="仿宋" w:eastAsia="仿宋" w:cs="仿宋"/>
                <w:b/>
                <w:bCs/>
                <w:color w:val="000000"/>
                <w:kern w:val="0"/>
                <w:sz w:val="22"/>
                <w:highlight w:val="none"/>
              </w:rPr>
            </w:pPr>
            <w:r>
              <w:rPr>
                <w:rFonts w:hint="eastAsia" w:ascii="仿宋" w:hAnsi="仿宋" w:eastAsia="仿宋" w:cs="仿宋"/>
                <w:b/>
                <w:bCs/>
                <w:color w:val="000000"/>
                <w:kern w:val="0"/>
                <w:sz w:val="22"/>
                <w:highlight w:val="none"/>
              </w:rPr>
              <w:t>一般要求</w:t>
            </w:r>
          </w:p>
        </w:tc>
        <w:tc>
          <w:tcPr>
            <w:tcW w:w="3923" w:type="dxa"/>
            <w:tcBorders>
              <w:top w:val="single" w:color="auto" w:sz="4" w:space="0"/>
              <w:left w:val="nil"/>
              <w:bottom w:val="single" w:color="auto" w:sz="4" w:space="0"/>
              <w:right w:val="single" w:color="auto" w:sz="4" w:space="0"/>
            </w:tcBorders>
            <w:shd w:val="clear" w:color="000000" w:fill="D8D8D8" w:themeFill="background1" w:themeFillShade="D9"/>
            <w:noWrap/>
            <w:vAlign w:val="center"/>
          </w:tcPr>
          <w:p>
            <w:pPr>
              <w:widowControl/>
              <w:spacing w:line="640" w:lineRule="exact"/>
              <w:jc w:val="center"/>
              <w:rPr>
                <w:rFonts w:ascii="仿宋" w:hAnsi="仿宋" w:eastAsia="仿宋" w:cs="仿宋"/>
                <w:b/>
                <w:bCs/>
                <w:color w:val="000000"/>
                <w:kern w:val="0"/>
                <w:sz w:val="22"/>
                <w:highlight w:val="none"/>
              </w:rPr>
            </w:pPr>
            <w:r>
              <w:rPr>
                <w:rFonts w:hint="eastAsia" w:ascii="仿宋" w:hAnsi="仿宋" w:eastAsia="仿宋" w:cs="仿宋"/>
                <w:b/>
                <w:bCs/>
                <w:color w:val="000000"/>
                <w:kern w:val="0"/>
                <w:sz w:val="22"/>
                <w:highlight w:val="none"/>
              </w:rPr>
              <w:t>最低要求</w:t>
            </w:r>
          </w:p>
        </w:tc>
      </w:tr>
      <w:tr>
        <w:trPr>
          <w:trHeight w:val="700" w:hRule="atLeast"/>
        </w:trPr>
        <w:tc>
          <w:tcPr>
            <w:tcW w:w="1117" w:type="dxa"/>
            <w:tcBorders>
              <w:top w:val="nil"/>
              <w:left w:val="single" w:color="auto" w:sz="4" w:space="0"/>
              <w:bottom w:val="single" w:color="auto" w:sz="4" w:space="0"/>
              <w:right w:val="single" w:color="auto" w:sz="4" w:space="0"/>
            </w:tcBorders>
            <w:shd w:val="clear" w:color="auto" w:fill="auto"/>
            <w:noWrap/>
            <w:vAlign w:val="center"/>
          </w:tcPr>
          <w:p>
            <w:pPr>
              <w:widowControl/>
              <w:spacing w:line="640" w:lineRule="exact"/>
              <w:jc w:val="center"/>
              <w:rPr>
                <w:rFonts w:ascii="仿宋" w:hAnsi="仿宋" w:eastAsia="仿宋" w:cs="仿宋"/>
                <w:color w:val="000000"/>
                <w:kern w:val="0"/>
                <w:sz w:val="22"/>
                <w:highlight w:val="none"/>
              </w:rPr>
            </w:pPr>
            <w:r>
              <w:rPr>
                <w:rFonts w:hint="eastAsia" w:ascii="仿宋" w:hAnsi="仿宋" w:eastAsia="仿宋" w:cs="仿宋"/>
                <w:color w:val="000000"/>
                <w:kern w:val="0"/>
                <w:sz w:val="22"/>
                <w:highlight w:val="none"/>
              </w:rPr>
              <w:t>自然人</w:t>
            </w:r>
          </w:p>
        </w:tc>
        <w:tc>
          <w:tcPr>
            <w:tcW w:w="3182" w:type="dxa"/>
            <w:tcBorders>
              <w:top w:val="single" w:color="auto" w:sz="4" w:space="0"/>
              <w:left w:val="nil"/>
              <w:bottom w:val="single" w:color="auto" w:sz="4" w:space="0"/>
              <w:right w:val="single" w:color="auto" w:sz="4" w:space="0"/>
            </w:tcBorders>
            <w:shd w:val="clear" w:color="auto" w:fill="auto"/>
            <w:noWrap/>
            <w:vAlign w:val="center"/>
          </w:tcPr>
          <w:p>
            <w:pPr>
              <w:widowControl/>
              <w:spacing w:line="640" w:lineRule="exact"/>
              <w:jc w:val="left"/>
              <w:rPr>
                <w:rFonts w:ascii="仿宋" w:hAnsi="仿宋" w:eastAsia="仿宋" w:cs="仿宋"/>
                <w:color w:val="000000"/>
                <w:kern w:val="0"/>
                <w:sz w:val="22"/>
                <w:highlight w:val="none"/>
              </w:rPr>
            </w:pPr>
            <w:r>
              <w:rPr>
                <w:rFonts w:hint="eastAsia" w:ascii="仿宋" w:hAnsi="仿宋" w:eastAsia="仿宋" w:cs="仿宋"/>
                <w:color w:val="000000"/>
                <w:kern w:val="0"/>
                <w:sz w:val="22"/>
                <w:highlight w:val="none"/>
              </w:rPr>
              <w:t>姓名+证件类型+证件号码</w:t>
            </w:r>
          </w:p>
        </w:tc>
        <w:tc>
          <w:tcPr>
            <w:tcW w:w="3923" w:type="dxa"/>
            <w:tcBorders>
              <w:top w:val="nil"/>
              <w:left w:val="nil"/>
              <w:bottom w:val="single" w:color="auto" w:sz="4" w:space="0"/>
              <w:right w:val="single" w:color="auto" w:sz="4" w:space="0"/>
            </w:tcBorders>
            <w:shd w:val="clear" w:color="auto" w:fill="auto"/>
            <w:noWrap/>
            <w:vAlign w:val="center"/>
          </w:tcPr>
          <w:p>
            <w:pPr>
              <w:widowControl/>
              <w:spacing w:line="640" w:lineRule="exact"/>
              <w:jc w:val="left"/>
              <w:rPr>
                <w:rFonts w:ascii="仿宋" w:hAnsi="仿宋" w:eastAsia="仿宋" w:cs="仿宋"/>
                <w:color w:val="000000"/>
                <w:kern w:val="0"/>
                <w:sz w:val="22"/>
                <w:highlight w:val="none"/>
              </w:rPr>
            </w:pPr>
            <w:r>
              <w:rPr>
                <w:rFonts w:hint="eastAsia" w:ascii="仿宋" w:hAnsi="仿宋" w:eastAsia="仿宋" w:cs="仿宋"/>
                <w:color w:val="000000"/>
                <w:kern w:val="0"/>
                <w:sz w:val="22"/>
                <w:highlight w:val="none"/>
              </w:rPr>
              <w:t>大陆居民实现依据居民身份证的唯一识别</w:t>
            </w:r>
          </w:p>
        </w:tc>
      </w:tr>
      <w:tr>
        <w:trPr>
          <w:trHeight w:val="1120" w:hRule="atLeast"/>
        </w:trPr>
        <w:tc>
          <w:tcPr>
            <w:tcW w:w="1117" w:type="dxa"/>
            <w:tcBorders>
              <w:top w:val="nil"/>
              <w:left w:val="single" w:color="auto" w:sz="4" w:space="0"/>
              <w:bottom w:val="single" w:color="auto" w:sz="4" w:space="0"/>
              <w:right w:val="single" w:color="auto" w:sz="4" w:space="0"/>
            </w:tcBorders>
            <w:shd w:val="clear" w:color="auto" w:fill="auto"/>
            <w:noWrap/>
            <w:vAlign w:val="center"/>
          </w:tcPr>
          <w:p>
            <w:pPr>
              <w:widowControl/>
              <w:spacing w:line="640" w:lineRule="exact"/>
              <w:jc w:val="center"/>
              <w:rPr>
                <w:rFonts w:ascii="仿宋" w:hAnsi="仿宋" w:eastAsia="仿宋" w:cs="仿宋"/>
                <w:color w:val="000000"/>
                <w:kern w:val="0"/>
                <w:sz w:val="22"/>
                <w:highlight w:val="none"/>
              </w:rPr>
            </w:pPr>
            <w:r>
              <w:rPr>
                <w:rFonts w:hint="eastAsia" w:ascii="仿宋" w:hAnsi="仿宋" w:eastAsia="仿宋" w:cs="仿宋"/>
                <w:color w:val="000000"/>
                <w:kern w:val="0"/>
                <w:sz w:val="22"/>
                <w:highlight w:val="none"/>
              </w:rPr>
              <w:t>企业法人</w:t>
            </w:r>
          </w:p>
        </w:tc>
        <w:tc>
          <w:tcPr>
            <w:tcW w:w="3182" w:type="dxa"/>
            <w:tcBorders>
              <w:top w:val="single" w:color="auto" w:sz="4" w:space="0"/>
              <w:left w:val="nil"/>
              <w:bottom w:val="single" w:color="auto" w:sz="4" w:space="0"/>
              <w:right w:val="single" w:color="auto" w:sz="4" w:space="0"/>
            </w:tcBorders>
            <w:shd w:val="clear" w:color="auto" w:fill="auto"/>
            <w:noWrap/>
            <w:vAlign w:val="center"/>
          </w:tcPr>
          <w:p>
            <w:pPr>
              <w:widowControl/>
              <w:spacing w:line="640" w:lineRule="exact"/>
              <w:jc w:val="left"/>
              <w:rPr>
                <w:rFonts w:ascii="仿宋" w:hAnsi="仿宋" w:eastAsia="仿宋" w:cs="仿宋"/>
                <w:color w:val="000000"/>
                <w:kern w:val="0"/>
                <w:sz w:val="22"/>
                <w:highlight w:val="none"/>
              </w:rPr>
            </w:pPr>
            <w:r>
              <w:rPr>
                <w:rFonts w:hint="eastAsia" w:ascii="仿宋" w:hAnsi="仿宋" w:eastAsia="仿宋" w:cs="仿宋"/>
                <w:color w:val="000000"/>
                <w:kern w:val="0"/>
                <w:sz w:val="22"/>
                <w:highlight w:val="none"/>
              </w:rPr>
              <w:t>全称+证件类型+证件号码</w:t>
            </w:r>
          </w:p>
        </w:tc>
        <w:tc>
          <w:tcPr>
            <w:tcW w:w="3923" w:type="dxa"/>
            <w:tcBorders>
              <w:top w:val="nil"/>
              <w:left w:val="nil"/>
              <w:bottom w:val="single" w:color="auto" w:sz="4" w:space="0"/>
              <w:right w:val="single" w:color="auto" w:sz="4" w:space="0"/>
            </w:tcBorders>
            <w:shd w:val="clear" w:color="auto" w:fill="auto"/>
            <w:vAlign w:val="center"/>
          </w:tcPr>
          <w:p>
            <w:pPr>
              <w:widowControl/>
              <w:spacing w:line="640" w:lineRule="exact"/>
              <w:jc w:val="left"/>
              <w:rPr>
                <w:rFonts w:ascii="仿宋" w:hAnsi="仿宋" w:eastAsia="仿宋" w:cs="仿宋"/>
                <w:color w:val="000000"/>
                <w:kern w:val="0"/>
                <w:sz w:val="22"/>
                <w:highlight w:val="none"/>
              </w:rPr>
            </w:pPr>
            <w:r>
              <w:rPr>
                <w:rFonts w:hint="eastAsia" w:ascii="仿宋" w:hAnsi="仿宋" w:eastAsia="仿宋" w:cs="仿宋"/>
                <w:color w:val="000000"/>
                <w:kern w:val="0"/>
                <w:sz w:val="22"/>
                <w:highlight w:val="none"/>
              </w:rPr>
              <w:t xml:space="preserve">在大陆注册的企业法人实现依据统一社会信用代码的唯一识别 </w:t>
            </w:r>
            <w:r>
              <w:rPr>
                <w:rFonts w:hint="eastAsia" w:ascii="仿宋" w:hAnsi="仿宋" w:eastAsia="仿宋" w:cs="仿宋"/>
                <w:color w:val="000000"/>
                <w:kern w:val="0"/>
                <w:sz w:val="22"/>
                <w:highlight w:val="none"/>
              </w:rPr>
              <w:br w:type="textWrapping"/>
            </w:r>
            <w:r>
              <w:rPr>
                <w:rFonts w:hint="eastAsia" w:ascii="仿宋" w:hAnsi="仿宋" w:eastAsia="仿宋" w:cs="仿宋"/>
                <w:color w:val="000000"/>
                <w:kern w:val="0"/>
                <w:sz w:val="22"/>
                <w:highlight w:val="none"/>
              </w:rPr>
              <w:t>其他企业法人：名称+国别</w:t>
            </w:r>
          </w:p>
        </w:tc>
      </w:tr>
      <w:tr>
        <w:trPr>
          <w:trHeight w:val="733" w:hRule="atLeast"/>
        </w:trPr>
        <w:tc>
          <w:tcPr>
            <w:tcW w:w="11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 w:hAnsi="仿宋" w:eastAsia="仿宋" w:cs="仿宋"/>
                <w:color w:val="000000"/>
                <w:kern w:val="0"/>
                <w:sz w:val="22"/>
                <w:highlight w:val="none"/>
              </w:rPr>
            </w:pPr>
            <w:r>
              <w:rPr>
                <w:rFonts w:hint="eastAsia" w:ascii="仿宋" w:hAnsi="仿宋" w:eastAsia="仿宋" w:cs="仿宋"/>
                <w:color w:val="000000"/>
                <w:kern w:val="0"/>
                <w:sz w:val="22"/>
                <w:highlight w:val="none"/>
              </w:rPr>
              <w:t>产品户</w:t>
            </w:r>
          </w:p>
        </w:tc>
        <w:tc>
          <w:tcPr>
            <w:tcW w:w="3182"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000000"/>
                <w:kern w:val="0"/>
                <w:sz w:val="22"/>
                <w:highlight w:val="none"/>
              </w:rPr>
            </w:pPr>
            <w:r>
              <w:rPr>
                <w:rFonts w:hint="eastAsia" w:ascii="仿宋" w:hAnsi="仿宋" w:eastAsia="仿宋" w:cs="仿宋"/>
                <w:color w:val="000000"/>
                <w:kern w:val="0"/>
                <w:sz w:val="22"/>
                <w:highlight w:val="none"/>
              </w:rPr>
              <w:t xml:space="preserve">全称+备案机构+备案编码 </w:t>
            </w:r>
          </w:p>
        </w:tc>
        <w:tc>
          <w:tcPr>
            <w:tcW w:w="392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 w:hAnsi="仿宋" w:eastAsia="仿宋" w:cs="仿宋"/>
                <w:color w:val="000000"/>
                <w:kern w:val="0"/>
                <w:sz w:val="22"/>
                <w:highlight w:val="none"/>
              </w:rPr>
            </w:pPr>
            <w:r>
              <w:rPr>
                <w:rFonts w:hint="eastAsia" w:ascii="仿宋" w:hAnsi="仿宋" w:eastAsia="仿宋" w:cs="仿宋"/>
                <w:color w:val="000000"/>
                <w:kern w:val="0"/>
                <w:sz w:val="22"/>
                <w:highlight w:val="none"/>
              </w:rPr>
              <w:t>全称+备案机构+备案编码</w:t>
            </w:r>
          </w:p>
        </w:tc>
      </w:tr>
    </w:tbl>
    <w:p>
      <w:pPr>
        <w:adjustRightInd w:val="0"/>
        <w:snapToGrid w:val="0"/>
        <w:spacing w:line="640" w:lineRule="exact"/>
        <w:ind w:firstLine="640" w:firstLineChars="200"/>
        <w:rPr>
          <w:rFonts w:ascii="仿宋_GB2312" w:hAnsi="宋体" w:eastAsia="仿宋_GB2312" w:cs="Arial"/>
          <w:sz w:val="32"/>
          <w:szCs w:val="32"/>
          <w:highlight w:val="none"/>
        </w:rPr>
      </w:pPr>
    </w:p>
    <w:p>
      <w:pPr>
        <w:pStyle w:val="26"/>
        <w:spacing w:line="640" w:lineRule="exact"/>
        <w:ind w:left="710"/>
        <w:rPr>
          <w:rFonts w:hint="default" w:ascii="仿宋_GB2312" w:hAnsi="华文仿宋" w:eastAsia="仿宋_GB2312" w:cs="华文仿宋"/>
          <w:b/>
          <w:sz w:val="32"/>
          <w:szCs w:val="32"/>
          <w:highlight w:val="none"/>
        </w:rPr>
      </w:pPr>
      <w:bookmarkStart w:id="86" w:name="_Toc30197"/>
      <w:bookmarkStart w:id="87" w:name="_Toc20032"/>
      <w:bookmarkStart w:id="88" w:name="_Toc20878"/>
      <w:bookmarkStart w:id="89" w:name="_Toc27826"/>
      <w:bookmarkStart w:id="90" w:name="_Toc5581"/>
      <w:bookmarkStart w:id="91" w:name="_Toc17238"/>
      <w:bookmarkStart w:id="92" w:name="_Toc22490"/>
      <w:bookmarkStart w:id="93" w:name="_Toc114140393"/>
      <w:r>
        <w:rPr>
          <w:rFonts w:ascii="仿宋_GB2312" w:hAnsi="华文仿宋" w:eastAsia="仿宋_GB2312" w:cs="华文仿宋"/>
          <w:b/>
          <w:sz w:val="32"/>
          <w:szCs w:val="32"/>
          <w:highlight w:val="none"/>
        </w:rPr>
        <w:t>（1）自然人客户</w:t>
      </w:r>
      <w:bookmarkEnd w:id="86"/>
      <w:bookmarkEnd w:id="87"/>
      <w:bookmarkEnd w:id="88"/>
      <w:bookmarkEnd w:id="89"/>
      <w:bookmarkEnd w:id="90"/>
      <w:bookmarkEnd w:id="91"/>
      <w:bookmarkEnd w:id="92"/>
      <w:bookmarkEnd w:id="93"/>
    </w:p>
    <w:p>
      <w:pPr>
        <w:adjustRightInd w:val="0"/>
        <w:snapToGrid w:val="0"/>
        <w:spacing w:line="640" w:lineRule="exact"/>
        <w:ind w:firstLine="642" w:firstLineChars="200"/>
        <w:rPr>
          <w:rFonts w:ascii="仿宋_GB2312" w:hAnsi="宋体" w:eastAsia="仿宋_GB2312" w:cs="Arial"/>
          <w:sz w:val="32"/>
          <w:szCs w:val="32"/>
          <w:highlight w:val="none"/>
        </w:rPr>
      </w:pPr>
      <w:r>
        <w:rPr>
          <w:rFonts w:hint="eastAsia" w:ascii="仿宋_GB2312" w:hAnsi="宋体" w:eastAsia="仿宋_GB2312" w:cs="Arial"/>
          <w:b/>
          <w:sz w:val="32"/>
          <w:szCs w:val="32"/>
          <w:highlight w:val="none"/>
        </w:rPr>
        <w:t>自然人客户身份识别主要依据身份证明文件，并依据姓名、证件类型、证件号码进行内部编码。</w:t>
      </w:r>
      <w:r>
        <w:rPr>
          <w:rFonts w:hint="eastAsia" w:ascii="仿宋_GB2312" w:hAnsi="宋体" w:eastAsia="仿宋_GB2312" w:cs="Arial"/>
          <w:sz w:val="32"/>
          <w:szCs w:val="32"/>
          <w:highlight w:val="none"/>
        </w:rPr>
        <w:t>身份证明文件包括身份证、护照等。证券公司应明确定义自然人客户中不同群体的客户具体以哪类身份证件作为识别依据。同时要考虑监管对不同业务客户身份信息方面的要求，视情况补充收集不同于监管要求的身份识别信息。例如，如果一个自然人客户同时拥有大陆居民身份证、护照，在大陆按照监管要求应当使用大陆居民身份证在证券公司开户，但是在香港，根据香港证监会规则，可以使用护照作为身份证件开户，可能会导致无法识别为同一个单一客户，在此种情况下可以要求客户在香港提供大陆居民身份证作为补充。</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94" w:name="_Toc7855"/>
      <w:bookmarkStart w:id="95" w:name="_Toc8641"/>
      <w:bookmarkStart w:id="96" w:name="_Toc19870"/>
      <w:bookmarkStart w:id="97" w:name="_Toc20388"/>
      <w:bookmarkStart w:id="98" w:name="_Toc114140394"/>
      <w:bookmarkStart w:id="99" w:name="_Toc17456"/>
      <w:bookmarkStart w:id="100" w:name="_Toc19197"/>
      <w:bookmarkStart w:id="101" w:name="_Toc7307"/>
      <w:r>
        <w:rPr>
          <w:rFonts w:hint="eastAsia" w:ascii="仿宋_GB2312" w:hAnsi="宋体" w:eastAsia="仿宋_GB2312" w:cs="Arial"/>
          <w:b/>
          <w:bCs/>
          <w:sz w:val="32"/>
          <w:szCs w:val="32"/>
          <w:highlight w:val="none"/>
        </w:rPr>
        <w:t>（2）企业法人客户</w:t>
      </w:r>
      <w:bookmarkEnd w:id="94"/>
      <w:bookmarkEnd w:id="95"/>
      <w:bookmarkEnd w:id="96"/>
      <w:bookmarkEnd w:id="97"/>
      <w:bookmarkEnd w:id="98"/>
      <w:bookmarkEnd w:id="99"/>
      <w:bookmarkEnd w:id="100"/>
      <w:bookmarkEnd w:id="101"/>
    </w:p>
    <w:p>
      <w:pPr>
        <w:adjustRightInd w:val="0"/>
        <w:snapToGrid w:val="0"/>
        <w:spacing w:line="640" w:lineRule="exact"/>
        <w:ind w:firstLine="642" w:firstLineChars="200"/>
        <w:rPr>
          <w:rFonts w:ascii="仿宋_GB2312" w:hAnsi="宋体" w:eastAsia="仿宋_GB2312" w:cs="Arial"/>
          <w:sz w:val="32"/>
          <w:szCs w:val="32"/>
          <w:highlight w:val="none"/>
        </w:rPr>
      </w:pPr>
      <w:r>
        <w:rPr>
          <w:rFonts w:hint="eastAsia" w:ascii="仿宋_GB2312" w:hAnsi="宋体" w:eastAsia="仿宋_GB2312" w:cs="Arial"/>
          <w:b/>
          <w:sz w:val="32"/>
          <w:szCs w:val="32"/>
          <w:highlight w:val="none"/>
        </w:rPr>
        <w:t>企业法人客户身份识别主要依据是身份证明文件，并依据全称、证件类型及证件号码进行编码。</w:t>
      </w:r>
      <w:r>
        <w:rPr>
          <w:rFonts w:hint="eastAsia" w:ascii="仿宋_GB2312" w:hAnsi="宋体" w:eastAsia="仿宋_GB2312" w:cs="Arial"/>
          <w:sz w:val="32"/>
          <w:szCs w:val="32"/>
          <w:highlight w:val="none"/>
        </w:rPr>
        <w:t>大陆企业法人客户身份识别主要依据统一社会信用代码。港澳台以及境外企业法人客户可以优先使用全球法人机构识别编码（</w:t>
      </w:r>
      <w:r>
        <w:rPr>
          <w:rFonts w:ascii="仿宋_GB2312" w:hAnsi="宋体" w:eastAsia="仿宋_GB2312" w:cs="Arial"/>
          <w:sz w:val="32"/>
          <w:szCs w:val="32"/>
          <w:highlight w:val="none"/>
        </w:rPr>
        <w:t>LEI</w:t>
      </w:r>
      <w:r>
        <w:rPr>
          <w:rFonts w:hint="eastAsia" w:ascii="仿宋_GB2312" w:hAnsi="宋体" w:eastAsia="仿宋_GB2312" w:cs="Arial"/>
          <w:sz w:val="32"/>
          <w:szCs w:val="32"/>
          <w:highlight w:val="none"/>
        </w:rPr>
        <w:t>）。LEI码是全球范围内通用的企业代码，金融机构、金融中介公司、在全球交易所注册的机构、从事股票或债券交易的机构以及贸易公司等在国际金融市场中活跃的企业需要注册 LEI 码，覆盖程度较高。对于没有LEI编码的企业法人客户，可以依次用注册证明书、商业登记证作为身份识别依据。如果以上信息均无，也可以用简易方案，即用包含客户英文名称全称（如果没有正式的英文名称，</w:t>
      </w:r>
      <w:r>
        <w:rPr>
          <w:rFonts w:hint="eastAsia" w:ascii="仿宋_GB2312" w:hAnsi="宋体" w:eastAsia="仿宋_GB2312" w:cs="Arial"/>
          <w:sz w:val="32"/>
          <w:szCs w:val="32"/>
          <w:highlight w:val="none"/>
          <w:lang w:eastAsia="zh-CN"/>
        </w:rPr>
        <w:t>可以</w:t>
      </w:r>
      <w:r>
        <w:rPr>
          <w:rFonts w:hint="eastAsia" w:ascii="仿宋_GB2312" w:hAnsi="宋体" w:eastAsia="仿宋_GB2312" w:cs="Arial"/>
          <w:sz w:val="32"/>
          <w:szCs w:val="32"/>
          <w:highlight w:val="none"/>
        </w:rPr>
        <w:t>使用其所在国语言）及国别作为身份识别信息。如果证券公司目前仅有少量的港澳台以及境外企业法人客户，也可以直接应用简易方案。</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企业法人客户身份识别信息的收集也同样应在符合监管要求的前提下实施。如遇与监管要求的证件类型不一致的情形，证券公司可以根据业务类型及风险暴露程度视情况去补充收集相应的身份识别信息。</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102" w:name="_Toc27878"/>
      <w:bookmarkStart w:id="103" w:name="_Toc23918"/>
      <w:bookmarkStart w:id="104" w:name="_Toc21875"/>
      <w:bookmarkStart w:id="105" w:name="_Toc114140395"/>
      <w:bookmarkStart w:id="106" w:name="_Toc23396"/>
      <w:bookmarkStart w:id="107" w:name="_Toc12392"/>
      <w:bookmarkStart w:id="108" w:name="_Toc5716"/>
      <w:bookmarkStart w:id="109" w:name="_Toc3964"/>
      <w:r>
        <w:rPr>
          <w:rFonts w:hint="eastAsia" w:ascii="仿宋_GB2312" w:hAnsi="宋体" w:eastAsia="仿宋_GB2312" w:cs="Arial"/>
          <w:b/>
          <w:bCs/>
          <w:sz w:val="32"/>
          <w:szCs w:val="32"/>
          <w:highlight w:val="none"/>
        </w:rPr>
        <w:t>（3）产品户客户</w:t>
      </w:r>
      <w:bookmarkEnd w:id="102"/>
      <w:bookmarkEnd w:id="103"/>
      <w:bookmarkEnd w:id="104"/>
      <w:bookmarkEnd w:id="105"/>
      <w:bookmarkEnd w:id="106"/>
      <w:bookmarkEnd w:id="107"/>
      <w:bookmarkEnd w:id="108"/>
      <w:bookmarkEnd w:id="109"/>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eastAsia="仿宋_GB2312" w:cs="楷体"/>
          <w:sz w:val="32"/>
          <w:szCs w:val="32"/>
          <w:highlight w:val="none"/>
        </w:rPr>
        <w:t>证券公司产品户客户是指金融机构或特定机构为实现风险隔离等特殊目的而创立的准实体，其资产负债独立于发行人（管理人）自身的资产负债。常见的产品户有银行理财产品、信托计划、资管计划、公募及私募基金产品等。境内产品户可以使用产品户</w:t>
      </w:r>
      <w:r>
        <w:rPr>
          <w:rFonts w:hint="eastAsia" w:ascii="仿宋_GB2312" w:eastAsia="仿宋_GB2312" w:cs="楷体"/>
          <w:b/>
          <w:sz w:val="32"/>
          <w:szCs w:val="32"/>
          <w:highlight w:val="none"/>
        </w:rPr>
        <w:t>全称、备案机构以及备案机构产品编码</w:t>
      </w:r>
      <w:r>
        <w:rPr>
          <w:rFonts w:hint="eastAsia" w:ascii="仿宋_GB2312" w:eastAsia="仿宋_GB2312" w:cs="楷体"/>
          <w:sz w:val="32"/>
          <w:szCs w:val="32"/>
          <w:highlight w:val="none"/>
        </w:rPr>
        <w:t>这三个要素进行身份识别和编码依据。港澳台、境外的产品户可以参考境外企业法人用简易方案来识别，同时可以借助ISIN、CUSIP、Sedol、Ticker等国际上的编码来作为辅助</w:t>
      </w:r>
      <w:r>
        <w:rPr>
          <w:rFonts w:hint="eastAsia" w:ascii="仿宋_GB2312" w:hAnsi="宋体" w:eastAsia="仿宋_GB2312" w:cs="Arial"/>
          <w:sz w:val="32"/>
          <w:szCs w:val="32"/>
          <w:highlight w:val="none"/>
        </w:rPr>
        <w:t>。</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如果产品户客户较少或者仅开展较低信用风险的业务，也可以通过产品户的管理人来进行识别。</w:t>
      </w:r>
    </w:p>
    <w:p>
      <w:pPr>
        <w:pStyle w:val="26"/>
        <w:tabs>
          <w:tab w:val="left" w:pos="942"/>
        </w:tabs>
        <w:spacing w:line="640" w:lineRule="exact"/>
        <w:ind w:left="630" w:leftChars="300"/>
        <w:rPr>
          <w:rFonts w:hint="default" w:ascii="仿宋_GB2312" w:hAnsi="华文仿宋" w:eastAsia="仿宋_GB2312" w:cs="华文仿宋"/>
          <w:b/>
          <w:sz w:val="32"/>
          <w:szCs w:val="32"/>
          <w:highlight w:val="none"/>
        </w:rPr>
      </w:pPr>
      <w:bookmarkStart w:id="110" w:name="_Toc20289"/>
      <w:bookmarkStart w:id="111" w:name="_Toc26606"/>
      <w:bookmarkStart w:id="112" w:name="_Toc26555"/>
      <w:bookmarkStart w:id="113" w:name="_Toc16557"/>
      <w:bookmarkStart w:id="114" w:name="_Toc26514"/>
      <w:bookmarkStart w:id="115" w:name="_Toc13326"/>
      <w:bookmarkStart w:id="116" w:name="_Toc114140396"/>
      <w:bookmarkStart w:id="117" w:name="_Toc2399"/>
      <w:r>
        <w:rPr>
          <w:rFonts w:ascii="仿宋_GB2312" w:hAnsi="华文仿宋" w:eastAsia="仿宋_GB2312" w:cs="华文仿宋"/>
          <w:b/>
          <w:sz w:val="32"/>
          <w:szCs w:val="32"/>
          <w:highlight w:val="none"/>
        </w:rPr>
        <w:t>2.同一客户</w:t>
      </w:r>
      <w:bookmarkEnd w:id="110"/>
      <w:bookmarkEnd w:id="111"/>
      <w:bookmarkEnd w:id="112"/>
      <w:r>
        <w:rPr>
          <w:rFonts w:ascii="仿宋_GB2312" w:hAnsi="华文仿宋" w:eastAsia="仿宋_GB2312" w:cs="华文仿宋"/>
          <w:b/>
          <w:sz w:val="32"/>
          <w:szCs w:val="32"/>
          <w:highlight w:val="none"/>
        </w:rPr>
        <w:t>认定</w:t>
      </w:r>
      <w:bookmarkEnd w:id="113"/>
      <w:bookmarkEnd w:id="114"/>
      <w:bookmarkEnd w:id="115"/>
      <w:bookmarkEnd w:id="116"/>
      <w:bookmarkEnd w:id="117"/>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同一客户可以定义为具有关联关系的客户组并且因其关联关系证券公司需要将这组客户视为一个整体来管理。判断一组客户是否应为同一客户，重点在于识别其关联关系并判定具有哪些关联关系的客户组应认定为同一客户。证券公司可以结合自身管理情况制定兼具有效性、可操作性的认定标准。对认定的同一客户进行内部唯一编码，用于内部管理中同一客户的标识。</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客户之间的关联关系按照客户组的类型可以分为企业法人客户之间、自然人客户之间、自然人客户与企业法人之间及产品户相关的关联关系。</w:t>
      </w:r>
      <w:r>
        <w:rPr>
          <w:rFonts w:hint="eastAsia" w:ascii="仿宋_GB2312" w:hAnsi="宋体" w:eastAsia="仿宋_GB2312" w:cs="Arial"/>
          <w:b/>
          <w:sz w:val="32"/>
          <w:szCs w:val="32"/>
          <w:highlight w:val="none"/>
        </w:rPr>
        <w:t>证券公司可以优先通过公开信息可以获取的关联关系来判定同一客户;对于通过公开信息无法获取的关联关系，根据信用风险、集中度风险等风险暴露程度等制定尽调要求，同时要尽可能考虑隐秘的关联关系。</w:t>
      </w:r>
      <w:r>
        <w:rPr>
          <w:rFonts w:hint="eastAsia" w:ascii="仿宋_GB2312" w:hAnsi="宋体" w:eastAsia="仿宋_GB2312" w:cs="Arial"/>
          <w:sz w:val="32"/>
          <w:szCs w:val="32"/>
          <w:highlight w:val="none"/>
        </w:rPr>
        <w:t>隐秘的关联关系主要是公开信息看不到但是对判断客户风险有重要影响的关系，例如实际存在的控制关系、一致行动关系。</w:t>
      </w:r>
    </w:p>
    <w:p>
      <w:pPr>
        <w:adjustRightInd w:val="0"/>
        <w:snapToGrid w:val="0"/>
        <w:spacing w:line="640" w:lineRule="exact"/>
        <w:jc w:val="center"/>
        <w:rPr>
          <w:rFonts w:ascii="黑体" w:hAnsi="黑体" w:eastAsia="黑体" w:cs="Arial"/>
          <w:sz w:val="28"/>
          <w:szCs w:val="28"/>
          <w:highlight w:val="none"/>
        </w:rPr>
      </w:pPr>
      <w:r>
        <w:rPr>
          <w:rFonts w:hint="eastAsia" w:ascii="黑体" w:hAnsi="黑体" w:eastAsia="黑体" w:cs="Arial"/>
          <w:sz w:val="28"/>
          <w:szCs w:val="28"/>
          <w:highlight w:val="none"/>
        </w:rPr>
        <w:t>表2 同一客户关联关系</w:t>
      </w:r>
    </w:p>
    <w:tbl>
      <w:tblPr>
        <w:tblStyle w:val="18"/>
        <w:tblW w:w="9428" w:type="dxa"/>
        <w:tblInd w:w="-864" w:type="dxa"/>
        <w:tblLayout w:type="fixed"/>
        <w:tblCellMar>
          <w:top w:w="0" w:type="dxa"/>
          <w:left w:w="108" w:type="dxa"/>
          <w:bottom w:w="0" w:type="dxa"/>
          <w:right w:w="108" w:type="dxa"/>
        </w:tblCellMar>
      </w:tblPr>
      <w:tblGrid>
        <w:gridCol w:w="1446"/>
        <w:gridCol w:w="2839"/>
        <w:gridCol w:w="2743"/>
        <w:gridCol w:w="2400"/>
      </w:tblGrid>
      <w:tr>
        <w:tblPrEx>
          <w:tblCellMar>
            <w:top w:w="0" w:type="dxa"/>
            <w:left w:w="108" w:type="dxa"/>
            <w:bottom w:w="0" w:type="dxa"/>
            <w:right w:w="108" w:type="dxa"/>
          </w:tblCellMar>
        </w:tblPrEx>
        <w:trPr>
          <w:trHeight w:val="710" w:hRule="atLeast"/>
        </w:trPr>
        <w:tc>
          <w:tcPr>
            <w:tcW w:w="1446" w:type="dxa"/>
            <w:tcBorders>
              <w:top w:val="single" w:color="auto" w:sz="8" w:space="0"/>
              <w:left w:val="single" w:color="auto" w:sz="8" w:space="0"/>
              <w:bottom w:val="single" w:color="auto" w:sz="8" w:space="0"/>
              <w:right w:val="single" w:color="auto" w:sz="8" w:space="0"/>
            </w:tcBorders>
            <w:shd w:val="clear" w:color="000000" w:fill="D8D8D8" w:themeFill="background1" w:themeFillShade="D9"/>
            <w:noWrap/>
            <w:vAlign w:val="center"/>
          </w:tcPr>
          <w:p>
            <w:pPr>
              <w:widowControl/>
              <w:spacing w:line="640" w:lineRule="exact"/>
              <w:jc w:val="center"/>
              <w:rPr>
                <w:rFonts w:ascii="仿宋" w:hAnsi="仿宋" w:eastAsia="仿宋" w:cs="宋体"/>
                <w:b/>
                <w:bCs/>
                <w:color w:val="000000"/>
                <w:kern w:val="0"/>
                <w:sz w:val="24"/>
                <w:szCs w:val="24"/>
                <w:highlight w:val="none"/>
              </w:rPr>
            </w:pPr>
            <w:r>
              <w:rPr>
                <w:rFonts w:hint="eastAsia" w:ascii="仿宋" w:hAnsi="仿宋" w:eastAsia="仿宋" w:cs="宋体"/>
                <w:b/>
                <w:bCs/>
                <w:color w:val="000000"/>
                <w:kern w:val="0"/>
                <w:sz w:val="24"/>
                <w:szCs w:val="24"/>
                <w:highlight w:val="none"/>
              </w:rPr>
              <w:t>客户类型</w:t>
            </w:r>
          </w:p>
        </w:tc>
        <w:tc>
          <w:tcPr>
            <w:tcW w:w="2839" w:type="dxa"/>
            <w:tcBorders>
              <w:top w:val="single" w:color="auto" w:sz="8" w:space="0"/>
              <w:left w:val="nil"/>
              <w:bottom w:val="single" w:color="auto" w:sz="8" w:space="0"/>
              <w:right w:val="single" w:color="auto" w:sz="8" w:space="0"/>
            </w:tcBorders>
            <w:shd w:val="clear" w:color="000000" w:fill="D8D8D8" w:themeFill="background1" w:themeFillShade="D9"/>
            <w:noWrap/>
            <w:vAlign w:val="center"/>
          </w:tcPr>
          <w:p>
            <w:pPr>
              <w:widowControl/>
              <w:spacing w:line="640" w:lineRule="exact"/>
              <w:jc w:val="center"/>
              <w:rPr>
                <w:rFonts w:ascii="仿宋" w:hAnsi="仿宋" w:eastAsia="仿宋" w:cs="宋体"/>
                <w:b/>
                <w:bCs/>
                <w:color w:val="000000"/>
                <w:kern w:val="0"/>
                <w:sz w:val="24"/>
                <w:szCs w:val="24"/>
                <w:highlight w:val="none"/>
              </w:rPr>
            </w:pPr>
            <w:r>
              <w:rPr>
                <w:rFonts w:hint="eastAsia" w:ascii="仿宋" w:hAnsi="仿宋" w:eastAsia="仿宋" w:cs="宋体"/>
                <w:b/>
                <w:bCs/>
                <w:color w:val="000000"/>
                <w:kern w:val="0"/>
                <w:sz w:val="24"/>
                <w:szCs w:val="24"/>
                <w:highlight w:val="none"/>
              </w:rPr>
              <w:t>自然人</w:t>
            </w:r>
          </w:p>
        </w:tc>
        <w:tc>
          <w:tcPr>
            <w:tcW w:w="2743" w:type="dxa"/>
            <w:tcBorders>
              <w:top w:val="single" w:color="auto" w:sz="8" w:space="0"/>
              <w:left w:val="nil"/>
              <w:bottom w:val="single" w:color="auto" w:sz="8" w:space="0"/>
              <w:right w:val="single" w:color="auto" w:sz="8" w:space="0"/>
            </w:tcBorders>
            <w:shd w:val="clear" w:color="000000" w:fill="D8D8D8" w:themeFill="background1" w:themeFillShade="D9"/>
            <w:noWrap/>
            <w:vAlign w:val="center"/>
          </w:tcPr>
          <w:p>
            <w:pPr>
              <w:widowControl/>
              <w:spacing w:line="640" w:lineRule="exact"/>
              <w:jc w:val="center"/>
              <w:rPr>
                <w:rFonts w:ascii="仿宋" w:hAnsi="仿宋" w:eastAsia="仿宋" w:cs="宋体"/>
                <w:b/>
                <w:bCs/>
                <w:color w:val="000000"/>
                <w:kern w:val="0"/>
                <w:sz w:val="24"/>
                <w:szCs w:val="24"/>
                <w:highlight w:val="none"/>
              </w:rPr>
            </w:pPr>
            <w:r>
              <w:rPr>
                <w:rFonts w:hint="eastAsia" w:ascii="仿宋" w:hAnsi="仿宋" w:eastAsia="仿宋" w:cs="宋体"/>
                <w:b/>
                <w:bCs/>
                <w:color w:val="000000"/>
                <w:kern w:val="0"/>
                <w:sz w:val="24"/>
                <w:szCs w:val="24"/>
                <w:highlight w:val="none"/>
              </w:rPr>
              <w:t>企业法人</w:t>
            </w:r>
          </w:p>
        </w:tc>
        <w:tc>
          <w:tcPr>
            <w:tcW w:w="2400" w:type="dxa"/>
            <w:tcBorders>
              <w:top w:val="single" w:color="auto" w:sz="8" w:space="0"/>
              <w:left w:val="nil"/>
              <w:bottom w:val="single" w:color="auto" w:sz="8" w:space="0"/>
              <w:right w:val="single" w:color="auto" w:sz="8" w:space="0"/>
            </w:tcBorders>
            <w:shd w:val="clear" w:color="000000" w:fill="D8D8D8" w:themeFill="background1" w:themeFillShade="D9"/>
            <w:noWrap/>
            <w:vAlign w:val="center"/>
          </w:tcPr>
          <w:p>
            <w:pPr>
              <w:widowControl/>
              <w:spacing w:line="640" w:lineRule="exact"/>
              <w:jc w:val="center"/>
              <w:rPr>
                <w:rFonts w:ascii="仿宋" w:hAnsi="仿宋" w:eastAsia="仿宋" w:cs="宋体"/>
                <w:b/>
                <w:bCs/>
                <w:color w:val="000000"/>
                <w:kern w:val="0"/>
                <w:sz w:val="24"/>
                <w:szCs w:val="24"/>
                <w:highlight w:val="none"/>
              </w:rPr>
            </w:pPr>
            <w:r>
              <w:rPr>
                <w:rFonts w:hint="eastAsia" w:ascii="仿宋" w:hAnsi="仿宋" w:eastAsia="仿宋" w:cs="宋体"/>
                <w:b/>
                <w:bCs/>
                <w:color w:val="000000"/>
                <w:kern w:val="0"/>
                <w:sz w:val="24"/>
                <w:szCs w:val="24"/>
                <w:highlight w:val="none"/>
              </w:rPr>
              <w:t>产品户</w:t>
            </w:r>
          </w:p>
        </w:tc>
      </w:tr>
      <w:tr>
        <w:tblPrEx>
          <w:tblCellMar>
            <w:top w:w="0" w:type="dxa"/>
            <w:left w:w="108" w:type="dxa"/>
            <w:bottom w:w="0" w:type="dxa"/>
            <w:right w:w="108" w:type="dxa"/>
          </w:tblCellMar>
        </w:tblPrEx>
        <w:trPr>
          <w:trHeight w:val="910" w:hRule="atLeast"/>
        </w:trPr>
        <w:tc>
          <w:tcPr>
            <w:tcW w:w="1446" w:type="dxa"/>
            <w:tcBorders>
              <w:top w:val="single" w:color="auto" w:sz="8" w:space="0"/>
              <w:left w:val="single" w:color="auto" w:sz="8" w:space="0"/>
              <w:bottom w:val="single" w:color="auto" w:sz="8" w:space="0"/>
              <w:right w:val="single" w:color="auto" w:sz="8" w:space="0"/>
            </w:tcBorders>
            <w:shd w:val="clear" w:color="000000" w:fill="D8D8D8" w:themeFill="background1" w:themeFillShade="D9"/>
            <w:noWrap/>
            <w:vAlign w:val="center"/>
          </w:tcPr>
          <w:p>
            <w:pPr>
              <w:widowControl/>
              <w:spacing w:line="640" w:lineRule="exact"/>
              <w:jc w:val="center"/>
              <w:rPr>
                <w:rFonts w:ascii="仿宋" w:hAnsi="仿宋" w:eastAsia="仿宋" w:cs="宋体"/>
                <w:b/>
                <w:bCs/>
                <w:color w:val="000000"/>
                <w:kern w:val="0"/>
                <w:sz w:val="24"/>
                <w:szCs w:val="24"/>
                <w:highlight w:val="none"/>
              </w:rPr>
            </w:pPr>
            <w:r>
              <w:rPr>
                <w:rFonts w:hint="eastAsia" w:ascii="仿宋" w:hAnsi="仿宋" w:eastAsia="仿宋" w:cs="宋体"/>
                <w:b/>
                <w:bCs/>
                <w:color w:val="000000"/>
                <w:kern w:val="0"/>
                <w:sz w:val="24"/>
                <w:szCs w:val="24"/>
                <w:highlight w:val="none"/>
              </w:rPr>
              <w:t>自然人</w:t>
            </w:r>
          </w:p>
        </w:tc>
        <w:tc>
          <w:tcPr>
            <w:tcW w:w="2839" w:type="dxa"/>
            <w:tcBorders>
              <w:top w:val="nil"/>
              <w:left w:val="nil"/>
              <w:bottom w:val="single" w:color="auto" w:sz="8" w:space="0"/>
              <w:right w:val="single" w:color="auto" w:sz="8" w:space="0"/>
            </w:tcBorders>
            <w:shd w:val="clear" w:color="auto" w:fill="auto"/>
            <w:vAlign w:val="center"/>
          </w:tcPr>
          <w:p>
            <w:pPr>
              <w:widowControl/>
              <w:spacing w:line="640" w:lineRule="exact"/>
              <w:jc w:val="lef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直系亲属（父母、配偶和子女）、法定一致行动关系、实际一致行动关系</w:t>
            </w:r>
          </w:p>
        </w:tc>
        <w:tc>
          <w:tcPr>
            <w:tcW w:w="2743" w:type="dxa"/>
            <w:tcBorders>
              <w:top w:val="nil"/>
              <w:left w:val="nil"/>
              <w:bottom w:val="single" w:color="auto" w:sz="8" w:space="0"/>
              <w:right w:val="single" w:color="auto" w:sz="8" w:space="0"/>
            </w:tcBorders>
            <w:shd w:val="clear" w:color="auto" w:fill="auto"/>
            <w:vAlign w:val="center"/>
          </w:tcPr>
          <w:p>
            <w:pPr>
              <w:widowControl/>
              <w:spacing w:line="640" w:lineRule="exact"/>
              <w:jc w:val="lef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控制、法定关联关系、法定一致行动关系、实际一致行动关系</w:t>
            </w:r>
          </w:p>
        </w:tc>
        <w:tc>
          <w:tcPr>
            <w:tcW w:w="2400" w:type="dxa"/>
            <w:tcBorders>
              <w:top w:val="nil"/>
              <w:left w:val="nil"/>
              <w:bottom w:val="single" w:color="auto" w:sz="8" w:space="0"/>
              <w:right w:val="single" w:color="auto" w:sz="8" w:space="0"/>
            </w:tcBorders>
            <w:shd w:val="clear" w:color="auto" w:fill="auto"/>
            <w:vAlign w:val="center"/>
          </w:tcPr>
          <w:p>
            <w:pPr>
              <w:widowControl/>
              <w:spacing w:line="640" w:lineRule="exact"/>
              <w:jc w:val="lef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实控委托人、实控人，实控融资人</w:t>
            </w:r>
          </w:p>
        </w:tc>
      </w:tr>
      <w:tr>
        <w:tblPrEx>
          <w:tblCellMar>
            <w:top w:w="0" w:type="dxa"/>
            <w:left w:w="108" w:type="dxa"/>
            <w:bottom w:w="0" w:type="dxa"/>
            <w:right w:w="108" w:type="dxa"/>
          </w:tblCellMar>
        </w:tblPrEx>
        <w:trPr>
          <w:trHeight w:val="910" w:hRule="atLeast"/>
        </w:trPr>
        <w:tc>
          <w:tcPr>
            <w:tcW w:w="1446" w:type="dxa"/>
            <w:tcBorders>
              <w:top w:val="single" w:color="auto" w:sz="8" w:space="0"/>
              <w:left w:val="single" w:color="auto" w:sz="8" w:space="0"/>
              <w:bottom w:val="single" w:color="auto" w:sz="8" w:space="0"/>
              <w:right w:val="single" w:color="auto" w:sz="8" w:space="0"/>
            </w:tcBorders>
            <w:shd w:val="clear" w:color="000000" w:fill="D8D8D8" w:themeFill="background1" w:themeFillShade="D9"/>
            <w:noWrap/>
            <w:vAlign w:val="center"/>
          </w:tcPr>
          <w:p>
            <w:pPr>
              <w:widowControl/>
              <w:spacing w:line="640" w:lineRule="exact"/>
              <w:jc w:val="center"/>
              <w:rPr>
                <w:rFonts w:ascii="仿宋" w:hAnsi="仿宋" w:eastAsia="仿宋" w:cs="宋体"/>
                <w:b/>
                <w:bCs/>
                <w:color w:val="000000"/>
                <w:kern w:val="0"/>
                <w:sz w:val="24"/>
                <w:szCs w:val="24"/>
                <w:highlight w:val="none"/>
              </w:rPr>
            </w:pPr>
            <w:r>
              <w:rPr>
                <w:rFonts w:hint="eastAsia" w:ascii="仿宋" w:hAnsi="仿宋" w:eastAsia="仿宋" w:cs="宋体"/>
                <w:b/>
                <w:bCs/>
                <w:color w:val="000000"/>
                <w:kern w:val="0"/>
                <w:sz w:val="24"/>
                <w:szCs w:val="24"/>
                <w:highlight w:val="none"/>
              </w:rPr>
              <w:t>企业法人</w:t>
            </w:r>
          </w:p>
        </w:tc>
        <w:tc>
          <w:tcPr>
            <w:tcW w:w="2839" w:type="dxa"/>
            <w:tcBorders>
              <w:top w:val="nil"/>
              <w:left w:val="nil"/>
              <w:bottom w:val="single" w:color="auto" w:sz="8" w:space="0"/>
              <w:right w:val="single" w:color="auto" w:sz="8" w:space="0"/>
            </w:tcBorders>
            <w:shd w:val="clear" w:color="auto" w:fill="auto"/>
            <w:vAlign w:val="center"/>
          </w:tcPr>
          <w:p>
            <w:pPr>
              <w:widowControl/>
              <w:spacing w:line="640" w:lineRule="exact"/>
              <w:jc w:val="lef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控制、法定关联关系、法定一致行动关系、实际一致行动关系</w:t>
            </w:r>
          </w:p>
        </w:tc>
        <w:tc>
          <w:tcPr>
            <w:tcW w:w="2743" w:type="dxa"/>
            <w:tcBorders>
              <w:top w:val="nil"/>
              <w:left w:val="nil"/>
              <w:bottom w:val="single" w:color="auto" w:sz="8" w:space="0"/>
              <w:right w:val="single" w:color="auto" w:sz="8" w:space="0"/>
            </w:tcBorders>
            <w:shd w:val="clear" w:color="auto" w:fill="auto"/>
            <w:vAlign w:val="center"/>
          </w:tcPr>
          <w:p>
            <w:pPr>
              <w:widowControl/>
              <w:spacing w:line="640" w:lineRule="exact"/>
              <w:jc w:val="lef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控制、经济依赖、法定一致行动关系、实际一致行动关系</w:t>
            </w:r>
          </w:p>
        </w:tc>
        <w:tc>
          <w:tcPr>
            <w:tcW w:w="2400" w:type="dxa"/>
            <w:tcBorders>
              <w:top w:val="nil"/>
              <w:left w:val="nil"/>
              <w:bottom w:val="single" w:color="auto" w:sz="8" w:space="0"/>
              <w:right w:val="single" w:color="auto" w:sz="8" w:space="0"/>
            </w:tcBorders>
            <w:shd w:val="clear" w:color="auto" w:fill="auto"/>
            <w:vAlign w:val="center"/>
          </w:tcPr>
          <w:p>
            <w:pPr>
              <w:widowControl/>
              <w:spacing w:line="640" w:lineRule="exact"/>
              <w:jc w:val="lef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实控委托人、实控人、实控融资人</w:t>
            </w:r>
          </w:p>
        </w:tc>
      </w:tr>
      <w:tr>
        <w:trPr>
          <w:trHeight w:val="910" w:hRule="atLeast"/>
        </w:trPr>
        <w:tc>
          <w:tcPr>
            <w:tcW w:w="1446" w:type="dxa"/>
            <w:tcBorders>
              <w:top w:val="single" w:color="auto" w:sz="8" w:space="0"/>
              <w:left w:val="single" w:color="auto" w:sz="8" w:space="0"/>
              <w:bottom w:val="single" w:color="auto" w:sz="8" w:space="0"/>
              <w:right w:val="single" w:color="auto" w:sz="8" w:space="0"/>
            </w:tcBorders>
            <w:shd w:val="clear" w:color="000000" w:fill="D8D8D8" w:themeFill="background1" w:themeFillShade="D9"/>
            <w:noWrap/>
            <w:vAlign w:val="center"/>
          </w:tcPr>
          <w:p>
            <w:pPr>
              <w:widowControl/>
              <w:spacing w:line="640" w:lineRule="exact"/>
              <w:jc w:val="center"/>
              <w:rPr>
                <w:rFonts w:ascii="仿宋" w:hAnsi="仿宋" w:eastAsia="仿宋" w:cs="宋体"/>
                <w:b/>
                <w:bCs/>
                <w:color w:val="000000"/>
                <w:kern w:val="0"/>
                <w:sz w:val="24"/>
                <w:szCs w:val="24"/>
                <w:highlight w:val="none"/>
              </w:rPr>
            </w:pPr>
            <w:r>
              <w:rPr>
                <w:rFonts w:hint="eastAsia" w:ascii="仿宋" w:hAnsi="仿宋" w:eastAsia="仿宋" w:cs="宋体"/>
                <w:b/>
                <w:bCs/>
                <w:color w:val="000000"/>
                <w:kern w:val="0"/>
                <w:sz w:val="24"/>
                <w:szCs w:val="24"/>
                <w:highlight w:val="none"/>
              </w:rPr>
              <w:t>产品户</w:t>
            </w:r>
          </w:p>
        </w:tc>
        <w:tc>
          <w:tcPr>
            <w:tcW w:w="2839" w:type="dxa"/>
            <w:tcBorders>
              <w:top w:val="nil"/>
              <w:left w:val="nil"/>
              <w:bottom w:val="single" w:color="auto" w:sz="8" w:space="0"/>
              <w:right w:val="single" w:color="auto" w:sz="8" w:space="0"/>
            </w:tcBorders>
            <w:shd w:val="clear" w:color="auto" w:fill="auto"/>
            <w:vAlign w:val="center"/>
          </w:tcPr>
          <w:p>
            <w:pPr>
              <w:widowControl/>
              <w:spacing w:line="640" w:lineRule="exact"/>
              <w:jc w:val="lef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实控委托人、实控人、实控融资人</w:t>
            </w:r>
          </w:p>
        </w:tc>
        <w:tc>
          <w:tcPr>
            <w:tcW w:w="2743" w:type="dxa"/>
            <w:tcBorders>
              <w:top w:val="nil"/>
              <w:left w:val="nil"/>
              <w:bottom w:val="single" w:color="auto" w:sz="8" w:space="0"/>
              <w:right w:val="single" w:color="auto" w:sz="8" w:space="0"/>
            </w:tcBorders>
            <w:shd w:val="clear" w:color="auto" w:fill="auto"/>
            <w:vAlign w:val="center"/>
          </w:tcPr>
          <w:p>
            <w:pPr>
              <w:widowControl/>
              <w:spacing w:line="640" w:lineRule="exact"/>
              <w:jc w:val="lef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实控委托人、实控人、实控融资人</w:t>
            </w:r>
          </w:p>
        </w:tc>
        <w:tc>
          <w:tcPr>
            <w:tcW w:w="2400" w:type="dxa"/>
            <w:tcBorders>
              <w:top w:val="nil"/>
              <w:left w:val="nil"/>
              <w:bottom w:val="single" w:color="auto" w:sz="8" w:space="0"/>
              <w:right w:val="single" w:color="auto" w:sz="8" w:space="0"/>
            </w:tcBorders>
            <w:shd w:val="clear" w:color="auto" w:fill="auto"/>
            <w:vAlign w:val="center"/>
          </w:tcPr>
          <w:p>
            <w:pPr>
              <w:widowControl/>
              <w:spacing w:line="640" w:lineRule="exact"/>
              <w:jc w:val="left"/>
              <w:rPr>
                <w:rFonts w:ascii="仿宋" w:hAnsi="仿宋" w:eastAsia="仿宋" w:cs="宋体"/>
                <w:color w:val="000000"/>
                <w:kern w:val="0"/>
                <w:sz w:val="24"/>
                <w:szCs w:val="24"/>
                <w:highlight w:val="none"/>
              </w:rPr>
            </w:pPr>
            <w:r>
              <w:rPr>
                <w:rFonts w:hint="eastAsia" w:ascii="仿宋" w:hAnsi="仿宋" w:eastAsia="仿宋" w:cs="宋体"/>
                <w:color w:val="000000"/>
                <w:kern w:val="0"/>
                <w:sz w:val="24"/>
                <w:szCs w:val="24"/>
                <w:highlight w:val="none"/>
              </w:rPr>
              <w:t>共同的实控委托人、实控人、实控融资人</w:t>
            </w:r>
          </w:p>
        </w:tc>
      </w:tr>
    </w:tbl>
    <w:p>
      <w:pPr>
        <w:adjustRightInd w:val="0"/>
        <w:snapToGrid w:val="0"/>
        <w:spacing w:line="640" w:lineRule="exact"/>
        <w:ind w:firstLine="640" w:firstLineChars="200"/>
        <w:rPr>
          <w:rFonts w:ascii="仿宋_GB2312" w:hAnsi="宋体" w:eastAsia="仿宋_GB2312" w:cs="Arial"/>
          <w:sz w:val="32"/>
          <w:szCs w:val="32"/>
          <w:highlight w:val="none"/>
        </w:rPr>
      </w:pP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118" w:name="_Toc114140397"/>
      <w:bookmarkStart w:id="119" w:name="_Toc20098"/>
      <w:bookmarkStart w:id="120" w:name="_Toc19947"/>
      <w:bookmarkStart w:id="121" w:name="_Toc10147"/>
      <w:bookmarkStart w:id="122" w:name="_Toc17076"/>
      <w:r>
        <w:rPr>
          <w:rFonts w:hint="eastAsia" w:ascii="仿宋_GB2312" w:hAnsi="宋体" w:eastAsia="仿宋_GB2312" w:cs="Arial"/>
          <w:b/>
          <w:bCs/>
          <w:sz w:val="32"/>
          <w:szCs w:val="32"/>
          <w:highlight w:val="none"/>
        </w:rPr>
        <w:t>（1）企业法人客户同一客户认定</w:t>
      </w:r>
      <w:bookmarkEnd w:id="118"/>
      <w:bookmarkEnd w:id="119"/>
      <w:bookmarkEnd w:id="120"/>
      <w:bookmarkEnd w:id="121"/>
      <w:bookmarkEnd w:id="122"/>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一组企业法人客户是否为同一客户，主要可以通过判断他们之间是否存在控制和经济依赖来认定。在制定企业法人之间的关联关系认定标准时可以参考</w:t>
      </w:r>
      <w:r>
        <w:rPr>
          <w:rFonts w:ascii="仿宋_GB2312" w:eastAsia="仿宋_GB2312"/>
          <w:sz w:val="32"/>
          <w:szCs w:val="32"/>
          <w:highlight w:val="none"/>
        </w:rPr>
        <w:t>银保监会</w:t>
      </w:r>
      <w:r>
        <w:rPr>
          <w:rFonts w:hint="eastAsia" w:ascii="仿宋_GB2312" w:hAnsi="宋体" w:eastAsia="仿宋_GB2312" w:cs="Arial"/>
          <w:sz w:val="32"/>
          <w:szCs w:val="32"/>
          <w:highlight w:val="none"/>
        </w:rPr>
        <w:t>《商业银行集团客户授信业务风险管理指引》。</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控制主要是通过股权、表决权等方面的标准来判断，经济依赖主要是指两个或两个以上企业法人之间的经济命运相互关联，如果其中一方遇到财务问题，特别是资金或还款困难，会导致另一方或所有其他方也可能遇到财务问题或还款困难。经济依赖通常无法通过公开数据直接获得、需要根据经验来进行主观判断。证券公司可以参考图4所列情形制定认定标准。</w:t>
      </w:r>
    </w:p>
    <w:p>
      <w:pPr>
        <w:adjustRightInd w:val="0"/>
        <w:snapToGrid w:val="0"/>
        <w:spacing w:line="640" w:lineRule="exact"/>
        <w:jc w:val="center"/>
        <w:rPr>
          <w:rFonts w:ascii="黑体" w:hAnsi="黑体" w:eastAsia="黑体" w:cs="Arial"/>
          <w:sz w:val="28"/>
          <w:szCs w:val="28"/>
          <w:highlight w:val="none"/>
        </w:rPr>
      </w:pPr>
      <w:bookmarkStart w:id="123" w:name="_Toc27022"/>
      <w:bookmarkStart w:id="124" w:name="_Toc2974"/>
      <w:r>
        <w:rPr>
          <w:rFonts w:hint="eastAsia" w:ascii="黑体" w:hAnsi="黑体" w:eastAsia="黑体" w:cs="Arial"/>
          <w:sz w:val="28"/>
          <w:szCs w:val="28"/>
          <w:highlight w:val="none"/>
        </w:rPr>
        <w:drawing>
          <wp:anchor distT="0" distB="0" distL="114300" distR="114300" simplePos="0" relativeHeight="251664384" behindDoc="0" locked="0" layoutInCell="1" allowOverlap="1">
            <wp:simplePos x="0" y="0"/>
            <wp:positionH relativeFrom="column">
              <wp:posOffset>55245</wp:posOffset>
            </wp:positionH>
            <wp:positionV relativeFrom="paragraph">
              <wp:posOffset>47625</wp:posOffset>
            </wp:positionV>
            <wp:extent cx="5274310" cy="2434590"/>
            <wp:effectExtent l="0" t="0" r="0" b="0"/>
            <wp:wrapTopAndBottom/>
            <wp:docPr id="20" name="图片 20"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true"/>
                    </pic:cNvPicPr>
                  </pic:nvPicPr>
                  <pic:blipFill>
                    <a:blip r:embed="rId12"/>
                    <a:stretch>
                      <a:fillRect/>
                    </a:stretch>
                  </pic:blipFill>
                  <pic:spPr>
                    <a:xfrm>
                      <a:off x="0" y="0"/>
                      <a:ext cx="5274310" cy="2434590"/>
                    </a:xfrm>
                    <a:prstGeom prst="rect">
                      <a:avLst/>
                    </a:prstGeom>
                  </pic:spPr>
                </pic:pic>
              </a:graphicData>
            </a:graphic>
          </wp:anchor>
        </w:drawing>
      </w:r>
      <w:r>
        <w:rPr>
          <w:rFonts w:hint="eastAsia" w:ascii="黑体" w:hAnsi="黑体" w:eastAsia="黑体" w:cs="Arial"/>
          <w:sz w:val="28"/>
          <w:szCs w:val="28"/>
          <w:highlight w:val="none"/>
        </w:rPr>
        <w:t xml:space="preserve">   图4 企业法人客户同一客户认定示例</w:t>
      </w:r>
    </w:p>
    <w:p>
      <w:pPr>
        <w:adjustRightInd w:val="0"/>
        <w:snapToGrid w:val="0"/>
        <w:spacing w:line="640" w:lineRule="exact"/>
        <w:ind w:firstLine="640" w:firstLineChars="200"/>
        <w:rPr>
          <w:rFonts w:ascii="仿宋_GB2312" w:hAnsi="宋体" w:eastAsia="仿宋_GB2312" w:cs="Arial"/>
          <w:sz w:val="32"/>
          <w:szCs w:val="32"/>
          <w:highlight w:val="none"/>
        </w:rPr>
      </w:pPr>
      <w:bookmarkStart w:id="125" w:name="_Toc32031"/>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126" w:name="_Toc114140398"/>
      <w:bookmarkStart w:id="127" w:name="_Toc8407"/>
      <w:r>
        <w:rPr>
          <w:rFonts w:hint="eastAsia" w:ascii="仿宋_GB2312" w:hAnsi="宋体" w:eastAsia="仿宋_GB2312" w:cs="Arial"/>
          <w:b/>
          <w:bCs/>
          <w:sz w:val="32"/>
          <w:szCs w:val="32"/>
          <w:highlight w:val="none"/>
        </w:rPr>
        <w:t>（2）含自然人客户同一客户认定</w:t>
      </w:r>
      <w:bookmarkEnd w:id="123"/>
      <w:bookmarkEnd w:id="124"/>
      <w:bookmarkEnd w:id="125"/>
      <w:bookmarkEnd w:id="126"/>
      <w:bookmarkEnd w:id="127"/>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制定包含自然人客户的同一客户认定标准时可以参考证监会《上市公司信息披露管理办法》、财政部《企业会计准则》等关联方定义以及证监会《上市公司收购管理办法》一致行动人定义。</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含自然人客户同一客户可以分成自然人之间、自然人与企业法人及自然人与产品户三类。</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第一类自然人之间的同一客户主要是通过可获得的信息判断他们之间是否存在直系亲属关系（父母、配偶和子女）、法定一致行动关系以及通过协议或承诺等构成的实际一致行动关系来认定。以融资融券业务为例，如果有多个自然人客户的信用账户实际上是被同一实际控制人控制，这些客户虽然表面上不存在关联关系，但已构成实际一致行动关系，也应当被认定为同一客户。</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第二类自然人与企业法人同一客户主要通过判断他们之间是否存在控制关系、法定关联关系、法定一致行动关系以及通过协议或承诺等构成的实际一致行动关系来认定。</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第三类自然人与产品户同一客户认定标准具体见下文。</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含自然人客户的同一客户认定需要获得自然人身份证等证明文件对其进行唯一识别，但目前行业内自然人的身份识别信息无可靠的数据来源，例如，若上市公司的实控人、一致行动人为自然人，公告仅披露自然人姓名，无身份证号码等信息，若公司存在多个自然人同名客户，则无法进行唯一匹配、将对应的自然人客户纳入上市公司同一客户管理。从实际风险管理出发，证券公司应当对开展承担信用风险业务的自然人客户进行充分尽调，掌握该客户与公司其他客户的关系并视情况建立或者纳入相应的同一客户组。</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128" w:name="_Toc14485"/>
      <w:bookmarkStart w:id="129" w:name="_Toc17689"/>
      <w:bookmarkStart w:id="130" w:name="_Toc25146"/>
      <w:bookmarkStart w:id="131" w:name="_Toc114140399"/>
      <w:bookmarkStart w:id="132" w:name="_Toc7260"/>
      <w:bookmarkStart w:id="133" w:name="_Toc25465"/>
      <w:bookmarkStart w:id="134" w:name="_Toc18892"/>
      <w:bookmarkStart w:id="135" w:name="_Toc14722"/>
      <w:r>
        <w:rPr>
          <w:rFonts w:hint="eastAsia" w:ascii="仿宋_GB2312" w:hAnsi="宋体" w:eastAsia="仿宋_GB2312" w:cs="Arial"/>
          <w:b/>
          <w:bCs/>
          <w:sz w:val="32"/>
          <w:szCs w:val="32"/>
          <w:highlight w:val="none"/>
        </w:rPr>
        <w:t>（3）产品户同一客户认定</w:t>
      </w:r>
      <w:bookmarkEnd w:id="128"/>
      <w:bookmarkEnd w:id="129"/>
      <w:bookmarkEnd w:id="130"/>
      <w:bookmarkEnd w:id="131"/>
      <w:bookmarkEnd w:id="132"/>
      <w:bookmarkEnd w:id="133"/>
      <w:bookmarkEnd w:id="134"/>
      <w:bookmarkEnd w:id="135"/>
    </w:p>
    <w:p>
      <w:pPr>
        <w:spacing w:line="640" w:lineRule="exact"/>
        <w:ind w:firstLine="640"/>
        <w:rPr>
          <w:highlight w:val="none"/>
        </w:rPr>
      </w:pPr>
      <w:r>
        <w:rPr>
          <w:rFonts w:hint="eastAsia" w:ascii="仿宋_GB2312" w:hAnsi="宋体" w:eastAsia="仿宋_GB2312" w:cs="Arial"/>
          <w:sz w:val="32"/>
          <w:szCs w:val="32"/>
          <w:highlight w:val="none"/>
        </w:rPr>
        <w:t>产品户的同一客户关系认定具有一定的特殊性。一方面，虽然产品与管理人、委托人等是风险隔离的，但是产品的运营、风险、收益等均与管理人密不可分。另一方面，虽然资管新规要求管理人承担实际管理责任，但是依然存在部分产品的委托人对产品的投资决策有较大的实际影响。</w:t>
      </w:r>
      <w:r>
        <w:rPr>
          <w:rFonts w:hint="eastAsia" w:ascii="仿宋_GB2312" w:hAnsi="宋体" w:eastAsia="仿宋_GB2312" w:cs="Arial"/>
          <w:b/>
          <w:sz w:val="32"/>
          <w:szCs w:val="32"/>
          <w:highlight w:val="none"/>
        </w:rPr>
        <w:t>证券公司可以参考图5对产品户进行穿透核查</w:t>
      </w:r>
      <w:r>
        <w:rPr>
          <w:rFonts w:hint="eastAsia" w:ascii="仿宋_GB2312" w:hAnsi="宋体" w:eastAsia="仿宋_GB2312" w:cs="Arial"/>
          <w:sz w:val="32"/>
          <w:szCs w:val="32"/>
          <w:highlight w:val="none"/>
        </w:rPr>
        <w:t>，</w:t>
      </w:r>
      <w:r>
        <w:rPr>
          <w:rFonts w:hint="eastAsia" w:ascii="仿宋_GB2312" w:hAnsi="宋体" w:eastAsia="仿宋_GB2312" w:cs="Arial"/>
          <w:b/>
          <w:sz w:val="32"/>
          <w:szCs w:val="32"/>
          <w:highlight w:val="none"/>
        </w:rPr>
        <w:t>识别出实际控制人</w:t>
      </w:r>
      <w:r>
        <w:rPr>
          <w:rFonts w:hint="eastAsia" w:ascii="仿宋_GB2312" w:hAnsi="宋体" w:eastAsia="仿宋_GB2312" w:cs="Arial"/>
          <w:sz w:val="32"/>
          <w:szCs w:val="32"/>
          <w:highlight w:val="none"/>
        </w:rPr>
        <w:t>。穿透核查需要掌握产品户较为详尽的信息，很多只能通过尽职调查来获得。证券公司可以根据业务风险特征等实际情况制定符合自身风险管理要求的穿透要求以及尽调要求。</w:t>
      </w:r>
    </w:p>
    <w:p>
      <w:pPr>
        <w:adjustRightInd w:val="0"/>
        <w:snapToGrid w:val="0"/>
        <w:spacing w:line="640" w:lineRule="exact"/>
        <w:ind w:firstLine="640" w:firstLineChars="200"/>
        <w:rPr>
          <w:rFonts w:ascii="仿宋_GB2312" w:hAnsi="宋体" w:eastAsia="仿宋_GB2312" w:cs="Arial"/>
          <w:sz w:val="32"/>
          <w:szCs w:val="32"/>
          <w:highlight w:val="none"/>
        </w:rPr>
      </w:pPr>
      <w:r>
        <w:rPr>
          <w:rFonts w:ascii="仿宋_GB2312" w:hAnsi="宋体" w:eastAsia="仿宋_GB2312" w:cs="Arial"/>
          <w:sz w:val="32"/>
          <w:szCs w:val="32"/>
          <w:highlight w:val="none"/>
        </w:rPr>
        <w:t>同一</w:t>
      </w:r>
      <w:r>
        <w:rPr>
          <w:rFonts w:hint="eastAsia" w:ascii="仿宋_GB2312" w:hAnsi="宋体" w:eastAsia="仿宋_GB2312" w:cs="Arial"/>
          <w:sz w:val="32"/>
          <w:szCs w:val="32"/>
          <w:highlight w:val="none"/>
        </w:rPr>
        <w:t>实际</w:t>
      </w:r>
      <w:r>
        <w:rPr>
          <w:rFonts w:ascii="仿宋_GB2312" w:hAnsi="宋体" w:eastAsia="仿宋_GB2312" w:cs="Arial"/>
          <w:sz w:val="32"/>
          <w:szCs w:val="32"/>
          <w:highlight w:val="none"/>
        </w:rPr>
        <w:t>控制人控制的多个产品以及</w:t>
      </w:r>
      <w:r>
        <w:rPr>
          <w:rFonts w:hint="eastAsia" w:ascii="仿宋_GB2312" w:hAnsi="宋体" w:eastAsia="仿宋_GB2312" w:cs="Arial"/>
          <w:sz w:val="32"/>
          <w:szCs w:val="32"/>
          <w:highlight w:val="none"/>
        </w:rPr>
        <w:t>该</w:t>
      </w:r>
      <w:r>
        <w:rPr>
          <w:rFonts w:ascii="仿宋_GB2312" w:hAnsi="宋体" w:eastAsia="仿宋_GB2312" w:cs="Arial"/>
          <w:sz w:val="32"/>
          <w:szCs w:val="32"/>
          <w:highlight w:val="none"/>
        </w:rPr>
        <w:t>实际控制人视为同一</w:t>
      </w:r>
      <w:r>
        <w:rPr>
          <w:rFonts w:hint="eastAsia" w:ascii="仿宋_GB2312" w:hAnsi="宋体" w:eastAsia="仿宋_GB2312" w:cs="Arial"/>
          <w:sz w:val="32"/>
          <w:szCs w:val="32"/>
          <w:highlight w:val="none"/>
        </w:rPr>
        <w:t>客户。若实际控制人还存在其他的关联方，则应与其他关联方合并视为同一客户。</w:t>
      </w:r>
    </w:p>
    <w:p>
      <w:pPr>
        <w:adjustRightInd w:val="0"/>
        <w:snapToGrid w:val="0"/>
        <w:spacing w:line="640" w:lineRule="exact"/>
        <w:jc w:val="center"/>
        <w:rPr>
          <w:rFonts w:ascii="黑体" w:hAnsi="黑体" w:eastAsia="黑体" w:cs="Arial"/>
          <w:sz w:val="28"/>
          <w:szCs w:val="28"/>
          <w:highlight w:val="none"/>
        </w:rPr>
      </w:pPr>
      <w:r>
        <w:rPr>
          <w:rFonts w:hint="eastAsia" w:ascii="黑体" w:hAnsi="黑体" w:eastAsia="黑体" w:cs="Arial"/>
          <w:sz w:val="28"/>
          <w:szCs w:val="28"/>
          <w:highlight w:val="none"/>
        </w:rPr>
        <w:drawing>
          <wp:anchor distT="0" distB="0" distL="114300" distR="114300" simplePos="0" relativeHeight="251665408" behindDoc="0" locked="0" layoutInCell="1" allowOverlap="1">
            <wp:simplePos x="0" y="0"/>
            <wp:positionH relativeFrom="margin">
              <wp:align>right</wp:align>
            </wp:positionH>
            <wp:positionV relativeFrom="paragraph">
              <wp:posOffset>32385</wp:posOffset>
            </wp:positionV>
            <wp:extent cx="5276215" cy="2481580"/>
            <wp:effectExtent l="19050" t="0" r="635" b="0"/>
            <wp:wrapTopAndBottom/>
            <wp:docPr id="2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true"/>
                    </pic:cNvPicPr>
                  </pic:nvPicPr>
                  <pic:blipFill>
                    <a:blip r:embed="rId13"/>
                    <a:stretch>
                      <a:fillRect/>
                    </a:stretch>
                  </pic:blipFill>
                  <pic:spPr>
                    <a:xfrm>
                      <a:off x="0" y="0"/>
                      <a:ext cx="5276215" cy="2481580"/>
                    </a:xfrm>
                    <a:prstGeom prst="rect">
                      <a:avLst/>
                    </a:prstGeom>
                    <a:noFill/>
                    <a:ln>
                      <a:noFill/>
                    </a:ln>
                  </pic:spPr>
                </pic:pic>
              </a:graphicData>
            </a:graphic>
          </wp:anchor>
        </w:drawing>
      </w:r>
      <w:r>
        <w:rPr>
          <w:rFonts w:hint="eastAsia" w:ascii="黑体" w:hAnsi="黑体" w:eastAsia="黑体" w:cs="Arial"/>
          <w:sz w:val="28"/>
          <w:szCs w:val="28"/>
          <w:highlight w:val="none"/>
        </w:rPr>
        <w:t>图5 产品户同一客户认定</w:t>
      </w:r>
    </w:p>
    <w:p>
      <w:pPr>
        <w:adjustRightInd w:val="0"/>
        <w:snapToGrid w:val="0"/>
        <w:spacing w:line="640" w:lineRule="exact"/>
        <w:ind w:firstLine="640" w:firstLineChars="200"/>
        <w:rPr>
          <w:rFonts w:ascii="仿宋_GB2312" w:hAnsi="宋体" w:eastAsia="仿宋_GB2312" w:cs="Arial"/>
          <w:sz w:val="32"/>
          <w:szCs w:val="32"/>
          <w:highlight w:val="none"/>
        </w:rPr>
      </w:pP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原则上可以按照以下顺序识别实际控制人：</w:t>
      </w:r>
    </w:p>
    <w:p>
      <w:pPr>
        <w:spacing w:line="640" w:lineRule="exact"/>
        <w:ind w:firstLine="64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①实际融资人。具有融资性质的产品且能穿透到唯一实际融资人的，实际融资人应认定为实际控制人。例如，资产支持证券类产品，可以将穿透后的底层资产对应的最终原始权益人（非通道机构）认定为实际控制人，若存在外部增信，则对增信主体进行分析后，判定是否为实际控制人。</w:t>
      </w:r>
    </w:p>
    <w:p>
      <w:pPr>
        <w:spacing w:line="640" w:lineRule="exact"/>
        <w:ind w:firstLine="64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②实控委托人。如果产品存在单一委托人或者持有份额最大委托人份额占比较大且对投资决策起主导作用，则前述委托人应被识别为实际控制人。其中份额占比可以参考中证协《证券公司场外期权业务管理办法》及《证券公司收益互换业务管理办法》重点识别份额占比2</w:t>
      </w:r>
      <w:r>
        <w:rPr>
          <w:rFonts w:ascii="仿宋_GB2312" w:hAnsi="宋体" w:eastAsia="仿宋_GB2312" w:cs="Arial"/>
          <w:sz w:val="32"/>
          <w:szCs w:val="32"/>
          <w:highlight w:val="none"/>
        </w:rPr>
        <w:t>0%</w:t>
      </w:r>
      <w:r>
        <w:rPr>
          <w:rFonts w:hint="eastAsia" w:ascii="仿宋_GB2312" w:hAnsi="宋体" w:eastAsia="仿宋_GB2312" w:cs="Arial"/>
          <w:sz w:val="32"/>
          <w:szCs w:val="32"/>
          <w:highlight w:val="none"/>
        </w:rPr>
        <w:t>以上的委托人</w:t>
      </w:r>
    </w:p>
    <w:p>
      <w:pPr>
        <w:spacing w:line="640" w:lineRule="exact"/>
        <w:ind w:firstLine="64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③实控第三方。如果产品的委托人以及投向方面均不存在实际控制人，但是有第三方通过提供担保或者其他形式实际上承担产品的风险、收益，可以将这个第三方认定为实际控制人。</w:t>
      </w:r>
    </w:p>
    <w:p>
      <w:pPr>
        <w:spacing w:line="640" w:lineRule="exact"/>
        <w:ind w:firstLine="64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④如果以上三种情形都不存在，建议将产品的管理人认定为实际控制人。</w:t>
      </w:r>
    </w:p>
    <w:p>
      <w:pPr>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针对前三种情形，在将产品户与实际控制人视为同一客户进行管理的同时，可以</w:t>
      </w:r>
      <w:r>
        <w:rPr>
          <w:rFonts w:hint="eastAsia" w:ascii="仿宋_GB2312" w:hAnsi="宋体" w:eastAsia="仿宋_GB2312" w:cs="Arial"/>
          <w:b/>
          <w:sz w:val="32"/>
          <w:szCs w:val="32"/>
          <w:highlight w:val="none"/>
        </w:rPr>
        <w:t>将产品与管理人构建成第二个同一客户组，从两个同一客户维度同时管控集中度风险</w:t>
      </w:r>
      <w:r>
        <w:rPr>
          <w:rFonts w:hint="eastAsia" w:ascii="仿宋_GB2312" w:hAnsi="宋体" w:eastAsia="仿宋_GB2312" w:cs="Arial"/>
          <w:sz w:val="32"/>
          <w:szCs w:val="32"/>
          <w:highlight w:val="none"/>
        </w:rPr>
        <w:t xml:space="preserve">。 </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r>
        <w:rPr>
          <w:rFonts w:hint="eastAsia" w:ascii="仿宋_GB2312" w:hAnsi="宋体" w:eastAsia="仿宋_GB2312" w:cs="Arial"/>
          <w:b/>
          <w:bCs/>
          <w:sz w:val="32"/>
          <w:szCs w:val="32"/>
          <w:highlight w:val="none"/>
        </w:rPr>
        <w:t>（</w:t>
      </w:r>
      <w:r>
        <w:rPr>
          <w:rFonts w:ascii="仿宋_GB2312" w:hAnsi="宋体" w:eastAsia="仿宋_GB2312" w:cs="Arial"/>
          <w:b/>
          <w:bCs/>
          <w:sz w:val="32"/>
          <w:szCs w:val="32"/>
          <w:highlight w:val="none"/>
        </w:rPr>
        <w:t>4</w:t>
      </w:r>
      <w:r>
        <w:rPr>
          <w:rFonts w:hint="eastAsia" w:ascii="仿宋_GB2312" w:hAnsi="宋体" w:eastAsia="仿宋_GB2312" w:cs="Arial"/>
          <w:b/>
          <w:bCs/>
          <w:sz w:val="32"/>
          <w:szCs w:val="32"/>
          <w:highlight w:val="none"/>
        </w:rPr>
        <w:t>）同一客户组管理</w:t>
      </w:r>
    </w:p>
    <w:p>
      <w:pPr>
        <w:spacing w:line="640" w:lineRule="exact"/>
        <w:ind w:firstLine="64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同一客户组可以分成“集团”和“虚拟集团”来管理。例如，将存在可公开获取的、法定的关联关系的客户组作为集团进行管理，主要包括企业法人之间股权控制等法定关联关系、管理人与产品户等。将存在不可公开获取的、或者隐秘的关联关系的客户组</w:t>
      </w:r>
      <w:r>
        <w:rPr>
          <w:rFonts w:hint="eastAsia" w:ascii="仿宋_GB2312" w:hAnsi="宋体" w:eastAsia="仿宋_GB2312" w:cs="Arial"/>
          <w:sz w:val="32"/>
          <w:szCs w:val="32"/>
          <w:highlight w:val="none"/>
          <w:lang w:eastAsia="zh-CN"/>
        </w:rPr>
        <w:t>作为</w:t>
      </w:r>
      <w:r>
        <w:rPr>
          <w:rFonts w:hint="eastAsia" w:ascii="仿宋_GB2312" w:hAnsi="宋体" w:eastAsia="仿宋_GB2312" w:cs="Arial"/>
          <w:sz w:val="32"/>
          <w:szCs w:val="32"/>
          <w:highlight w:val="none"/>
        </w:rPr>
        <w:t>虚拟集团进行管理，主要包括涉及自然人的关联关系、产品户与非管理人的实控人的关联关系等。</w:t>
      </w:r>
    </w:p>
    <w:p>
      <w:pPr>
        <w:spacing w:line="640" w:lineRule="exact"/>
        <w:ind w:firstLine="64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在单一客户与同一客户组的归属关系上，一个单一客户只能属于一个集团；但是一个单一客户可以同时属于一个集团以及一个或者多个虚拟集团。对于后者，从审慎的角度出发，可以从两个或者多个角度同时管控集中度。</w:t>
      </w:r>
    </w:p>
    <w:p>
      <w:pPr>
        <w:adjustRightInd w:val="0"/>
        <w:snapToGrid w:val="0"/>
        <w:spacing w:line="640" w:lineRule="exact"/>
        <w:ind w:firstLine="642" w:firstLineChars="200"/>
        <w:jc w:val="left"/>
        <w:rPr>
          <w:rFonts w:ascii="黑体" w:hAnsi="黑体" w:eastAsia="黑体" w:cs="黑体"/>
          <w:b/>
          <w:sz w:val="32"/>
          <w:szCs w:val="32"/>
          <w:highlight w:val="none"/>
        </w:rPr>
      </w:pPr>
      <w:bookmarkStart w:id="136" w:name="_Toc24450"/>
      <w:bookmarkStart w:id="137" w:name="_Toc10312"/>
      <w:bookmarkStart w:id="138" w:name="_Toc114140400"/>
      <w:bookmarkStart w:id="139" w:name="_Toc10080"/>
      <w:bookmarkStart w:id="140" w:name="_Toc10172"/>
      <w:bookmarkStart w:id="141" w:name="_Toc377568947_WPSOffice_Level1"/>
      <w:r>
        <w:rPr>
          <w:rFonts w:hint="eastAsia" w:ascii="黑体" w:hAnsi="黑体" w:eastAsia="黑体" w:cs="黑体"/>
          <w:b/>
          <w:sz w:val="32"/>
          <w:szCs w:val="32"/>
          <w:highlight w:val="none"/>
        </w:rPr>
        <w:t>二、同一业务、同一客户风险信息收集的范围与标准</w:t>
      </w:r>
      <w:bookmarkEnd w:id="136"/>
      <w:bookmarkEnd w:id="137"/>
      <w:bookmarkEnd w:id="138"/>
      <w:bookmarkEnd w:id="139"/>
      <w:bookmarkEnd w:id="140"/>
      <w:bookmarkEnd w:id="141"/>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证券公司应当明确各种类型、各种来源的同一业务、同一客户风险信息收集的范围与标准。</w:t>
      </w:r>
    </w:p>
    <w:p>
      <w:pPr>
        <w:adjustRightInd w:val="0"/>
        <w:snapToGrid w:val="0"/>
        <w:spacing w:line="640" w:lineRule="exact"/>
        <w:ind w:firstLine="642" w:firstLineChars="200"/>
        <w:outlineLvl w:val="1"/>
        <w:rPr>
          <w:rFonts w:ascii="仿宋_GB2312" w:hAnsi="仿宋_GB2312" w:eastAsia="仿宋_GB2312" w:cs="仿宋_GB2312"/>
          <w:b/>
          <w:bCs/>
          <w:sz w:val="32"/>
          <w:szCs w:val="32"/>
          <w:highlight w:val="none"/>
        </w:rPr>
      </w:pPr>
      <w:bookmarkStart w:id="142" w:name="_Toc18364"/>
      <w:bookmarkStart w:id="143" w:name="_Toc20307"/>
      <w:bookmarkStart w:id="144" w:name="_Toc377568947_WPSOffice_Level2"/>
      <w:bookmarkStart w:id="145" w:name="_Toc114140401"/>
      <w:bookmarkStart w:id="146" w:name="_Toc3958"/>
      <w:bookmarkStart w:id="147" w:name="_Toc20538"/>
      <w:r>
        <w:rPr>
          <w:rFonts w:hint="eastAsia" w:ascii="仿宋_GB2312" w:hAnsi="仿宋_GB2312" w:eastAsia="仿宋_GB2312" w:cs="仿宋_GB2312"/>
          <w:b/>
          <w:bCs/>
          <w:sz w:val="32"/>
          <w:szCs w:val="32"/>
          <w:highlight w:val="none"/>
        </w:rPr>
        <w:t>（一）同一业务风险信息收集的范围</w:t>
      </w:r>
      <w:bookmarkEnd w:id="142"/>
      <w:bookmarkEnd w:id="143"/>
      <w:bookmarkEnd w:id="144"/>
      <w:bookmarkEnd w:id="145"/>
      <w:bookmarkEnd w:id="146"/>
      <w:bookmarkEnd w:id="147"/>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同一业务风险信息的收集范围包括同一业务风险管理需要的所有信息，信息类别可按性质、产生方式两种方式区分。按性质分，可分为基本类及风险类信息。基本类信息是指反映业务基本要素的信息。风险类信息是指市场风险、信用风险、流动性风险、操作风险、声誉风险等风险类型信息。按产生方式分，可分为原始类及加工类信息，原始类信息是指客观存在、无需调整的信息，加工类信息是指对原始类信息进行计算或计量后产生的风险信息。一般来说，基本类信息均为原始类信息，风险类信息则包括原始类与加工类信息。</w:t>
      </w:r>
    </w:p>
    <w:p>
      <w:pPr>
        <w:spacing w:line="640" w:lineRule="exact"/>
        <w:jc w:val="center"/>
        <w:rPr>
          <w:rFonts w:ascii="黑体" w:hAnsi="黑体" w:eastAsia="黑体"/>
          <w:sz w:val="28"/>
          <w:szCs w:val="28"/>
          <w:highlight w:val="none"/>
        </w:rPr>
      </w:pPr>
      <w:r>
        <w:rPr>
          <w:rFonts w:hint="eastAsia" w:ascii="黑体" w:hAnsi="黑体" w:eastAsia="黑体"/>
          <w:sz w:val="28"/>
          <w:szCs w:val="28"/>
          <w:highlight w:val="none"/>
        </w:rPr>
        <w:t>表3 权益类证券投资业务风险类信息示例</w:t>
      </w:r>
    </w:p>
    <w:tbl>
      <w:tblPr>
        <w:tblStyle w:val="18"/>
        <w:tblW w:w="8217" w:type="dxa"/>
        <w:jc w:val="center"/>
        <w:tblLayout w:type="fixed"/>
        <w:tblCellMar>
          <w:top w:w="0" w:type="dxa"/>
          <w:left w:w="28" w:type="dxa"/>
          <w:bottom w:w="0" w:type="dxa"/>
          <w:right w:w="28" w:type="dxa"/>
        </w:tblCellMar>
      </w:tblPr>
      <w:tblGrid>
        <w:gridCol w:w="1413"/>
        <w:gridCol w:w="2306"/>
        <w:gridCol w:w="2372"/>
        <w:gridCol w:w="2126"/>
      </w:tblGrid>
      <w:tr>
        <w:tblPrEx>
          <w:tblCellMar>
            <w:top w:w="0" w:type="dxa"/>
            <w:left w:w="28" w:type="dxa"/>
            <w:bottom w:w="0" w:type="dxa"/>
            <w:right w:w="28" w:type="dxa"/>
          </w:tblCellMar>
        </w:tblPrEx>
        <w:trPr>
          <w:trHeight w:val="699"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spacing w:line="640" w:lineRule="exact"/>
              <w:rPr>
                <w:rFonts w:ascii="仿宋" w:hAnsi="仿宋" w:eastAsia="仿宋" w:cs="PMingLiU"/>
                <w:b/>
                <w:bCs/>
                <w:color w:val="000000"/>
                <w:kern w:val="0"/>
                <w:sz w:val="24"/>
                <w:szCs w:val="24"/>
                <w:highlight w:val="none"/>
              </w:rPr>
            </w:pPr>
          </w:p>
        </w:tc>
        <w:tc>
          <w:tcPr>
            <w:tcW w:w="230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640" w:lineRule="exact"/>
              <w:jc w:val="center"/>
              <w:rPr>
                <w:rFonts w:ascii="仿宋" w:hAnsi="仿宋" w:eastAsia="仿宋" w:cs="PMingLiU"/>
                <w:b/>
                <w:bCs/>
                <w:color w:val="000000"/>
                <w:kern w:val="0"/>
                <w:sz w:val="24"/>
                <w:szCs w:val="24"/>
                <w:highlight w:val="none"/>
                <w:lang w:eastAsia="zh-TW"/>
              </w:rPr>
            </w:pPr>
            <w:r>
              <w:rPr>
                <w:rFonts w:hint="eastAsia" w:ascii="仿宋" w:hAnsi="仿宋" w:eastAsia="仿宋" w:cs="PMingLiU"/>
                <w:b/>
                <w:bCs/>
                <w:color w:val="000000"/>
                <w:kern w:val="0"/>
                <w:sz w:val="24"/>
                <w:szCs w:val="24"/>
                <w:highlight w:val="none"/>
                <w:lang w:eastAsia="zh-TW"/>
              </w:rPr>
              <w:t>市场风险</w:t>
            </w:r>
          </w:p>
        </w:tc>
        <w:tc>
          <w:tcPr>
            <w:tcW w:w="2372"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640" w:lineRule="exact"/>
              <w:jc w:val="center"/>
              <w:rPr>
                <w:rFonts w:ascii="仿宋" w:hAnsi="仿宋" w:eastAsia="仿宋" w:cs="PMingLiU"/>
                <w:b/>
                <w:bCs/>
                <w:color w:val="000000"/>
                <w:kern w:val="0"/>
                <w:sz w:val="24"/>
                <w:szCs w:val="24"/>
                <w:highlight w:val="none"/>
                <w:lang w:eastAsia="zh-TW"/>
              </w:rPr>
            </w:pPr>
            <w:r>
              <w:rPr>
                <w:rFonts w:hint="eastAsia" w:ascii="仿宋" w:hAnsi="仿宋" w:eastAsia="仿宋" w:cs="PMingLiU"/>
                <w:b/>
                <w:bCs/>
                <w:color w:val="000000"/>
                <w:kern w:val="0"/>
                <w:sz w:val="24"/>
                <w:szCs w:val="24"/>
                <w:highlight w:val="none"/>
                <w:lang w:eastAsia="zh-TW"/>
              </w:rPr>
              <w:t>流动性风险</w:t>
            </w:r>
          </w:p>
        </w:tc>
        <w:tc>
          <w:tcPr>
            <w:tcW w:w="212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640" w:lineRule="exact"/>
              <w:jc w:val="center"/>
              <w:rPr>
                <w:rFonts w:ascii="仿宋" w:hAnsi="仿宋" w:eastAsia="仿宋" w:cs="PMingLiU"/>
                <w:b/>
                <w:bCs/>
                <w:color w:val="000000"/>
                <w:kern w:val="0"/>
                <w:sz w:val="24"/>
                <w:szCs w:val="24"/>
                <w:highlight w:val="none"/>
                <w:lang w:eastAsia="zh-TW"/>
              </w:rPr>
            </w:pPr>
            <w:r>
              <w:rPr>
                <w:rFonts w:hint="eastAsia" w:ascii="仿宋" w:hAnsi="仿宋" w:eastAsia="仿宋" w:cs="PMingLiU"/>
                <w:b/>
                <w:bCs/>
                <w:color w:val="000000"/>
                <w:kern w:val="0"/>
                <w:sz w:val="24"/>
                <w:szCs w:val="24"/>
                <w:highlight w:val="none"/>
                <w:lang w:eastAsia="zh-TW"/>
              </w:rPr>
              <w:t>操作风险</w:t>
            </w:r>
          </w:p>
        </w:tc>
      </w:tr>
      <w:tr>
        <w:tblPrEx>
          <w:tblCellMar>
            <w:top w:w="0" w:type="dxa"/>
            <w:left w:w="28" w:type="dxa"/>
            <w:bottom w:w="0" w:type="dxa"/>
            <w:right w:w="28" w:type="dxa"/>
          </w:tblCellMar>
        </w:tblPrEx>
        <w:trPr>
          <w:trHeight w:val="1140"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640" w:lineRule="exact"/>
              <w:jc w:val="center"/>
              <w:rPr>
                <w:rFonts w:ascii="仿宋_GB2312" w:hAnsi="宋体" w:eastAsia="仿宋_GB2312" w:cs="Arial"/>
                <w:b/>
                <w:bCs/>
                <w:sz w:val="24"/>
                <w:szCs w:val="24"/>
                <w:highlight w:val="none"/>
              </w:rPr>
            </w:pPr>
            <w:r>
              <w:rPr>
                <w:rFonts w:ascii="仿宋_GB2312" w:hAnsi="宋体" w:eastAsia="仿宋_GB2312" w:cs="Arial"/>
                <w:b/>
                <w:bCs/>
                <w:sz w:val="24"/>
                <w:szCs w:val="24"/>
                <w:highlight w:val="none"/>
              </w:rPr>
              <w:t>原始类</w:t>
            </w:r>
          </w:p>
        </w:tc>
        <w:tc>
          <w:tcPr>
            <w:tcW w:w="2306" w:type="dxa"/>
            <w:tcBorders>
              <w:top w:val="nil"/>
              <w:left w:val="nil"/>
              <w:bottom w:val="single" w:color="auto" w:sz="4" w:space="0"/>
              <w:right w:val="single" w:color="auto" w:sz="4" w:space="0"/>
            </w:tcBorders>
            <w:shd w:val="clear" w:color="auto" w:fill="auto"/>
            <w:vAlign w:val="center"/>
          </w:tcPr>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投资成本</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市场价格</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持仓数量</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标的负面信息</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w:t>
            </w:r>
          </w:p>
        </w:tc>
        <w:tc>
          <w:tcPr>
            <w:tcW w:w="2372" w:type="dxa"/>
            <w:tcBorders>
              <w:top w:val="nil"/>
              <w:left w:val="nil"/>
              <w:bottom w:val="single" w:color="auto" w:sz="4" w:space="0"/>
              <w:right w:val="single" w:color="auto" w:sz="4" w:space="0"/>
            </w:tcBorders>
            <w:shd w:val="clear" w:color="auto" w:fill="auto"/>
            <w:vAlign w:val="center"/>
          </w:tcPr>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标的上市板块</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受限股</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标的市场成交量</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w:t>
            </w:r>
          </w:p>
        </w:tc>
        <w:tc>
          <w:tcPr>
            <w:tcW w:w="2126" w:type="dxa"/>
            <w:tcBorders>
              <w:top w:val="nil"/>
              <w:left w:val="nil"/>
              <w:bottom w:val="single" w:color="auto" w:sz="4" w:space="0"/>
              <w:right w:val="single" w:color="auto" w:sz="4" w:space="0"/>
            </w:tcBorders>
            <w:shd w:val="clear" w:color="auto" w:fill="auto"/>
            <w:vAlign w:val="center"/>
          </w:tcPr>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操作风险事件</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操作风险损失</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w:t>
            </w:r>
          </w:p>
        </w:tc>
      </w:tr>
      <w:tr>
        <w:tblPrEx>
          <w:tblCellMar>
            <w:top w:w="0" w:type="dxa"/>
            <w:left w:w="28" w:type="dxa"/>
            <w:bottom w:w="0" w:type="dxa"/>
            <w:right w:w="28" w:type="dxa"/>
          </w:tblCellMar>
        </w:tblPrEx>
        <w:trPr>
          <w:trHeight w:val="1140"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640" w:lineRule="exact"/>
              <w:jc w:val="center"/>
              <w:rPr>
                <w:rFonts w:ascii="仿宋_GB2312" w:hAnsi="宋体" w:eastAsia="仿宋_GB2312" w:cs="Arial"/>
                <w:b/>
                <w:bCs/>
                <w:sz w:val="24"/>
                <w:szCs w:val="24"/>
                <w:highlight w:val="none"/>
              </w:rPr>
            </w:pPr>
            <w:r>
              <w:rPr>
                <w:rFonts w:ascii="仿宋_GB2312" w:hAnsi="宋体" w:eastAsia="仿宋_GB2312" w:cs="Arial"/>
                <w:b/>
                <w:bCs/>
                <w:sz w:val="24"/>
                <w:szCs w:val="24"/>
                <w:highlight w:val="none"/>
              </w:rPr>
              <w:t>加工类</w:t>
            </w:r>
          </w:p>
        </w:tc>
        <w:tc>
          <w:tcPr>
            <w:tcW w:w="2306" w:type="dxa"/>
            <w:tcBorders>
              <w:top w:val="nil"/>
              <w:left w:val="nil"/>
              <w:bottom w:val="single" w:color="auto" w:sz="4" w:space="0"/>
              <w:right w:val="single" w:color="auto" w:sz="4" w:space="0"/>
            </w:tcBorders>
            <w:shd w:val="clear" w:color="auto" w:fill="auto"/>
            <w:vAlign w:val="center"/>
          </w:tcPr>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投资损益</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VAR</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压力测试损失</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集中度</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w:t>
            </w:r>
          </w:p>
        </w:tc>
        <w:tc>
          <w:tcPr>
            <w:tcW w:w="2372" w:type="dxa"/>
            <w:tcBorders>
              <w:top w:val="nil"/>
              <w:left w:val="nil"/>
              <w:bottom w:val="single" w:color="auto" w:sz="4" w:space="0"/>
              <w:right w:val="single" w:color="auto" w:sz="4" w:space="0"/>
            </w:tcBorders>
            <w:shd w:val="clear" w:color="auto" w:fill="auto"/>
            <w:vAlign w:val="center"/>
          </w:tcPr>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市场深度指标</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流动性变现风险估算</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w:t>
            </w:r>
          </w:p>
        </w:tc>
        <w:tc>
          <w:tcPr>
            <w:tcW w:w="2126" w:type="dxa"/>
            <w:tcBorders>
              <w:top w:val="nil"/>
              <w:left w:val="nil"/>
              <w:bottom w:val="single" w:color="auto" w:sz="4" w:space="0"/>
              <w:right w:val="single" w:color="auto" w:sz="4" w:space="0"/>
            </w:tcBorders>
            <w:shd w:val="clear" w:color="auto" w:fill="auto"/>
            <w:vAlign w:val="center"/>
          </w:tcPr>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操作风险事件等级</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KRI指标</w:t>
            </w:r>
          </w:p>
          <w:p>
            <w:pPr>
              <w:widowControl/>
              <w:spacing w:line="640" w:lineRule="exact"/>
              <w:rPr>
                <w:rFonts w:ascii="仿宋_GB2312" w:hAnsi="宋体" w:eastAsia="仿宋_GB2312" w:cs="Arial"/>
                <w:sz w:val="24"/>
                <w:szCs w:val="24"/>
                <w:highlight w:val="none"/>
              </w:rPr>
            </w:pPr>
            <w:r>
              <w:rPr>
                <w:rFonts w:hint="eastAsia" w:ascii="仿宋_GB2312" w:hAnsi="宋体" w:eastAsia="仿宋_GB2312" w:cs="Arial"/>
                <w:sz w:val="24"/>
                <w:szCs w:val="24"/>
                <w:highlight w:val="none"/>
              </w:rPr>
              <w:t>……</w:t>
            </w:r>
          </w:p>
        </w:tc>
      </w:tr>
    </w:tbl>
    <w:p>
      <w:pPr>
        <w:spacing w:line="640" w:lineRule="exact"/>
        <w:ind w:firstLine="640" w:firstLineChars="200"/>
        <w:rPr>
          <w:rFonts w:ascii="仿宋" w:hAnsi="仿宋" w:eastAsia="仿宋" w:cs="仿宋"/>
          <w:sz w:val="32"/>
          <w:szCs w:val="32"/>
          <w:highlight w:val="none"/>
        </w:rPr>
      </w:pPr>
      <w:bookmarkStart w:id="148" w:name="_Toc2836"/>
      <w:bookmarkStart w:id="149" w:name="_Toc32077"/>
      <w:bookmarkStart w:id="150" w:name="_Toc13273"/>
    </w:p>
    <w:p>
      <w:pPr>
        <w:adjustRightInd w:val="0"/>
        <w:snapToGrid w:val="0"/>
        <w:spacing w:line="640" w:lineRule="exact"/>
        <w:ind w:firstLine="642" w:firstLineChars="200"/>
        <w:outlineLvl w:val="1"/>
        <w:rPr>
          <w:rFonts w:ascii="仿宋_GB2312" w:hAnsi="仿宋_GB2312" w:eastAsia="仿宋_GB2312" w:cs="仿宋_GB2312"/>
          <w:b/>
          <w:bCs/>
          <w:sz w:val="32"/>
          <w:szCs w:val="32"/>
          <w:highlight w:val="none"/>
        </w:rPr>
      </w:pPr>
      <w:bookmarkStart w:id="151" w:name="_Toc30273"/>
      <w:bookmarkStart w:id="152" w:name="_Toc1495302788_WPSOffice_Level2"/>
      <w:bookmarkStart w:id="153" w:name="_Toc114140402"/>
      <w:r>
        <w:rPr>
          <w:rFonts w:hint="eastAsia" w:ascii="仿宋_GB2312" w:hAnsi="仿宋_GB2312" w:eastAsia="仿宋_GB2312" w:cs="仿宋_GB2312"/>
          <w:b/>
          <w:bCs/>
          <w:sz w:val="32"/>
          <w:szCs w:val="32"/>
          <w:highlight w:val="none"/>
        </w:rPr>
        <w:t>（二）同一客户风险信息收集的范围</w:t>
      </w:r>
      <w:bookmarkEnd w:id="148"/>
      <w:bookmarkEnd w:id="149"/>
      <w:bookmarkEnd w:id="150"/>
      <w:bookmarkEnd w:id="151"/>
      <w:bookmarkEnd w:id="152"/>
      <w:bookmarkEnd w:id="153"/>
    </w:p>
    <w:p>
      <w:pPr>
        <w:spacing w:line="640" w:lineRule="exact"/>
        <w:ind w:firstLine="640" w:firstLineChars="200"/>
        <w:rPr>
          <w:rFonts w:ascii="仿宋_GB2312" w:eastAsia="仿宋_GB2312"/>
          <w:sz w:val="32"/>
          <w:szCs w:val="32"/>
          <w:highlight w:val="none"/>
        </w:rPr>
      </w:pPr>
      <w:r>
        <w:rPr>
          <w:rFonts w:hint="eastAsia" w:ascii="仿宋_GB2312" w:hAnsi="宋体" w:eastAsia="仿宋_GB2312" w:cs="Arial"/>
          <w:sz w:val="32"/>
          <w:szCs w:val="32"/>
          <w:highlight w:val="none"/>
        </w:rPr>
        <w:t>同一客户风险信息的收集范围包括客户身份识别、关联关系、开展业务相关信息以及舆情信息等。</w:t>
      </w:r>
      <w:r>
        <w:rPr>
          <w:rFonts w:hint="eastAsia" w:ascii="仿宋_GB2312" w:eastAsia="仿宋_GB2312"/>
          <w:sz w:val="32"/>
          <w:szCs w:val="32"/>
          <w:highlight w:val="none"/>
        </w:rPr>
        <w:t>客户风险信息可以分为基础类、业务类和舆情类三类。其中基础类和舆情类均为原始类信息，业务类包含原始类与加工类信息。</w:t>
      </w:r>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基础类除了前文所述的身份识别信息以及同一客户关联关系信息，还应当包括其他对判断客户信用资质以及风险情况有帮助的基础信息。证券公司可以根据客户类型不同分别定义。经纪业务线按照《证券经纪业务管理办法》收集的客户信息应纳入同一客户风险信息，在合规管理中收集的反洗钱和恐怖融资风险认定相关的信息如能共享也积极鼓励。表4列示了基础类风险信息供行业参考。</w:t>
      </w:r>
    </w:p>
    <w:p>
      <w:pPr>
        <w:spacing w:line="640" w:lineRule="exact"/>
        <w:jc w:val="center"/>
        <w:rPr>
          <w:rFonts w:ascii="黑体" w:hAnsi="黑体" w:eastAsia="黑体"/>
          <w:sz w:val="28"/>
          <w:szCs w:val="28"/>
          <w:highlight w:val="none"/>
        </w:rPr>
      </w:pPr>
      <w:r>
        <w:rPr>
          <w:rFonts w:hint="eastAsia" w:ascii="黑体" w:hAnsi="黑体" w:eastAsia="黑体"/>
          <w:sz w:val="28"/>
          <w:szCs w:val="28"/>
          <w:highlight w:val="none"/>
        </w:rPr>
        <w:t>表4 同一客户基础类风险信息</w:t>
      </w:r>
    </w:p>
    <w:tbl>
      <w:tblPr>
        <w:tblStyle w:val="18"/>
        <w:tblW w:w="8222" w:type="dxa"/>
        <w:tblInd w:w="-5" w:type="dxa"/>
        <w:tblLayout w:type="fixed"/>
        <w:tblCellMar>
          <w:top w:w="0" w:type="dxa"/>
          <w:left w:w="108" w:type="dxa"/>
          <w:bottom w:w="0" w:type="dxa"/>
          <w:right w:w="108" w:type="dxa"/>
        </w:tblCellMar>
      </w:tblPr>
      <w:tblGrid>
        <w:gridCol w:w="1860"/>
        <w:gridCol w:w="6362"/>
      </w:tblGrid>
      <w:tr>
        <w:tblPrEx>
          <w:tblCellMar>
            <w:top w:w="0" w:type="dxa"/>
            <w:left w:w="108" w:type="dxa"/>
            <w:bottom w:w="0" w:type="dxa"/>
            <w:right w:w="108" w:type="dxa"/>
          </w:tblCellMar>
        </w:tblPrEx>
        <w:trPr>
          <w:trHeight w:val="604" w:hRule="atLeast"/>
        </w:trPr>
        <w:tc>
          <w:tcPr>
            <w:tcW w:w="1860"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widowControl/>
              <w:spacing w:line="640" w:lineRule="exact"/>
              <w:jc w:val="center"/>
              <w:rPr>
                <w:rFonts w:ascii="等线" w:hAnsi="等线" w:eastAsia="等线" w:cs="宋体"/>
                <w:b/>
                <w:color w:val="000000"/>
                <w:kern w:val="0"/>
                <w:sz w:val="22"/>
                <w:highlight w:val="none"/>
              </w:rPr>
            </w:pPr>
            <w:r>
              <w:rPr>
                <w:rFonts w:hint="eastAsia" w:ascii="等线" w:hAnsi="等线" w:eastAsia="等线" w:cs="宋体"/>
                <w:b/>
                <w:color w:val="000000"/>
                <w:kern w:val="0"/>
                <w:sz w:val="22"/>
                <w:highlight w:val="none"/>
              </w:rPr>
              <w:t>客户类型</w:t>
            </w:r>
          </w:p>
        </w:tc>
        <w:tc>
          <w:tcPr>
            <w:tcW w:w="6362"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widowControl/>
              <w:spacing w:line="640" w:lineRule="exact"/>
              <w:jc w:val="center"/>
              <w:rPr>
                <w:rFonts w:ascii="等线" w:hAnsi="等线" w:eastAsia="等线" w:cs="宋体"/>
                <w:b/>
                <w:color w:val="000000"/>
                <w:kern w:val="0"/>
                <w:sz w:val="22"/>
                <w:highlight w:val="none"/>
              </w:rPr>
            </w:pPr>
            <w:r>
              <w:rPr>
                <w:rFonts w:hint="eastAsia" w:ascii="等线" w:hAnsi="等线" w:eastAsia="等线" w:cs="宋体"/>
                <w:b/>
                <w:color w:val="000000"/>
                <w:kern w:val="0"/>
                <w:sz w:val="22"/>
                <w:highlight w:val="none"/>
              </w:rPr>
              <w:t>基础类风险信息示例</w:t>
            </w:r>
          </w:p>
        </w:tc>
      </w:tr>
      <w:tr>
        <w:tblPrEx>
          <w:tblCellMar>
            <w:top w:w="0" w:type="dxa"/>
            <w:left w:w="108" w:type="dxa"/>
            <w:bottom w:w="0" w:type="dxa"/>
            <w:right w:w="108" w:type="dxa"/>
          </w:tblCellMar>
        </w:tblPrEx>
        <w:trPr>
          <w:trHeight w:val="560" w:hRule="atLeast"/>
        </w:trPr>
        <w:tc>
          <w:tcPr>
            <w:tcW w:w="1860" w:type="dxa"/>
            <w:tcBorders>
              <w:top w:val="nil"/>
              <w:left w:val="single" w:color="auto" w:sz="4" w:space="0"/>
              <w:bottom w:val="single" w:color="auto" w:sz="4" w:space="0"/>
              <w:right w:val="single" w:color="auto" w:sz="4" w:space="0"/>
            </w:tcBorders>
            <w:shd w:val="clear" w:color="auto" w:fill="auto"/>
            <w:noWrap/>
            <w:vAlign w:val="center"/>
          </w:tcPr>
          <w:p>
            <w:pPr>
              <w:widowControl/>
              <w:spacing w:line="640" w:lineRule="exact"/>
              <w:jc w:val="center"/>
              <w:rPr>
                <w:rFonts w:ascii="等线" w:hAnsi="等线" w:eastAsia="等线" w:cs="宋体"/>
                <w:color w:val="000000"/>
                <w:kern w:val="0"/>
                <w:sz w:val="22"/>
                <w:highlight w:val="none"/>
              </w:rPr>
            </w:pPr>
            <w:r>
              <w:rPr>
                <w:rFonts w:hint="eastAsia" w:ascii="等线" w:hAnsi="等线" w:eastAsia="等线" w:cs="宋体"/>
                <w:color w:val="000000"/>
                <w:kern w:val="0"/>
                <w:sz w:val="22"/>
                <w:highlight w:val="none"/>
              </w:rPr>
              <w:t>自然人</w:t>
            </w:r>
          </w:p>
        </w:tc>
        <w:tc>
          <w:tcPr>
            <w:tcW w:w="6362" w:type="dxa"/>
            <w:tcBorders>
              <w:top w:val="nil"/>
              <w:left w:val="nil"/>
              <w:bottom w:val="single" w:color="auto" w:sz="4" w:space="0"/>
              <w:right w:val="single" w:color="auto" w:sz="4" w:space="0"/>
            </w:tcBorders>
            <w:shd w:val="clear" w:color="auto" w:fill="auto"/>
            <w:vAlign w:val="center"/>
          </w:tcPr>
          <w:p>
            <w:pPr>
              <w:widowControl/>
              <w:spacing w:line="640" w:lineRule="exact"/>
              <w:jc w:val="left"/>
              <w:rPr>
                <w:rFonts w:ascii="等线" w:hAnsi="等线" w:eastAsia="等线" w:cs="宋体"/>
                <w:color w:val="000000"/>
                <w:kern w:val="0"/>
                <w:sz w:val="22"/>
                <w:highlight w:val="none"/>
              </w:rPr>
            </w:pPr>
            <w:r>
              <w:rPr>
                <w:rFonts w:hint="eastAsia" w:ascii="等线" w:hAnsi="等线" w:eastAsia="等线" w:cs="宋体"/>
                <w:color w:val="000000"/>
                <w:kern w:val="0"/>
                <w:sz w:val="22"/>
                <w:highlight w:val="none"/>
              </w:rPr>
              <w:t>年龄、性别、职业、教育程度、家庭状况、资产、负债、征信数据等</w:t>
            </w:r>
          </w:p>
        </w:tc>
      </w:tr>
      <w:tr>
        <w:tblPrEx>
          <w:tblCellMar>
            <w:top w:w="0" w:type="dxa"/>
            <w:left w:w="108" w:type="dxa"/>
            <w:bottom w:w="0" w:type="dxa"/>
            <w:right w:w="108" w:type="dxa"/>
          </w:tblCellMar>
        </w:tblPrEx>
        <w:trPr>
          <w:trHeight w:val="560" w:hRule="atLeast"/>
        </w:trPr>
        <w:tc>
          <w:tcPr>
            <w:tcW w:w="1860" w:type="dxa"/>
            <w:tcBorders>
              <w:top w:val="nil"/>
              <w:left w:val="single" w:color="auto" w:sz="4" w:space="0"/>
              <w:bottom w:val="single" w:color="auto" w:sz="4" w:space="0"/>
              <w:right w:val="single" w:color="auto" w:sz="4" w:space="0"/>
            </w:tcBorders>
            <w:shd w:val="clear" w:color="auto" w:fill="auto"/>
            <w:noWrap/>
            <w:vAlign w:val="center"/>
          </w:tcPr>
          <w:p>
            <w:pPr>
              <w:widowControl/>
              <w:spacing w:line="640" w:lineRule="exact"/>
              <w:jc w:val="center"/>
              <w:rPr>
                <w:rFonts w:ascii="等线" w:hAnsi="等线" w:eastAsia="等线" w:cs="宋体"/>
                <w:color w:val="000000"/>
                <w:kern w:val="0"/>
                <w:sz w:val="22"/>
                <w:highlight w:val="none"/>
              </w:rPr>
            </w:pPr>
            <w:r>
              <w:rPr>
                <w:rFonts w:hint="eastAsia" w:ascii="等线" w:hAnsi="等线" w:eastAsia="等线" w:cs="宋体"/>
                <w:color w:val="000000"/>
                <w:kern w:val="0"/>
                <w:sz w:val="22"/>
                <w:highlight w:val="none"/>
              </w:rPr>
              <w:t>企业法人</w:t>
            </w:r>
          </w:p>
        </w:tc>
        <w:tc>
          <w:tcPr>
            <w:tcW w:w="6362" w:type="dxa"/>
            <w:tcBorders>
              <w:top w:val="nil"/>
              <w:left w:val="nil"/>
              <w:bottom w:val="single" w:color="auto" w:sz="4" w:space="0"/>
              <w:right w:val="single" w:color="auto" w:sz="4" w:space="0"/>
            </w:tcBorders>
            <w:shd w:val="clear" w:color="auto" w:fill="auto"/>
            <w:vAlign w:val="center"/>
          </w:tcPr>
          <w:p>
            <w:pPr>
              <w:widowControl/>
              <w:spacing w:line="640" w:lineRule="exact"/>
              <w:jc w:val="left"/>
              <w:rPr>
                <w:rFonts w:ascii="等线" w:hAnsi="等线" w:eastAsia="等线" w:cs="宋体"/>
                <w:color w:val="000000"/>
                <w:kern w:val="0"/>
                <w:sz w:val="22"/>
                <w:highlight w:val="none"/>
              </w:rPr>
            </w:pPr>
            <w:r>
              <w:rPr>
                <w:rFonts w:hint="eastAsia" w:ascii="等线" w:hAnsi="等线" w:eastAsia="等线" w:cs="宋体"/>
                <w:color w:val="000000"/>
                <w:kern w:val="0"/>
                <w:sz w:val="22"/>
                <w:highlight w:val="none"/>
              </w:rPr>
              <w:t>行业、区域、资产、负债、经营状况、外部评级、内部评级等</w:t>
            </w:r>
          </w:p>
        </w:tc>
      </w:tr>
      <w:tr>
        <w:trPr>
          <w:trHeight w:val="490" w:hRule="atLeast"/>
        </w:trPr>
        <w:tc>
          <w:tcPr>
            <w:tcW w:w="1860" w:type="dxa"/>
            <w:tcBorders>
              <w:top w:val="nil"/>
              <w:left w:val="single" w:color="auto" w:sz="4" w:space="0"/>
              <w:bottom w:val="single" w:color="auto" w:sz="4" w:space="0"/>
              <w:right w:val="single" w:color="auto" w:sz="4" w:space="0"/>
            </w:tcBorders>
            <w:shd w:val="clear" w:color="auto" w:fill="auto"/>
            <w:noWrap/>
            <w:vAlign w:val="center"/>
          </w:tcPr>
          <w:p>
            <w:pPr>
              <w:widowControl/>
              <w:spacing w:line="640" w:lineRule="exact"/>
              <w:jc w:val="center"/>
              <w:rPr>
                <w:rFonts w:ascii="等线" w:hAnsi="等线" w:eastAsia="等线" w:cs="宋体"/>
                <w:color w:val="000000"/>
                <w:kern w:val="0"/>
                <w:sz w:val="22"/>
                <w:highlight w:val="none"/>
              </w:rPr>
            </w:pPr>
            <w:r>
              <w:rPr>
                <w:rFonts w:hint="eastAsia" w:ascii="等线" w:hAnsi="等线" w:eastAsia="等线" w:cs="宋体"/>
                <w:color w:val="000000"/>
                <w:kern w:val="0"/>
                <w:sz w:val="22"/>
                <w:highlight w:val="none"/>
              </w:rPr>
              <w:t>产品户</w:t>
            </w:r>
          </w:p>
        </w:tc>
        <w:tc>
          <w:tcPr>
            <w:tcW w:w="6362" w:type="dxa"/>
            <w:tcBorders>
              <w:top w:val="nil"/>
              <w:left w:val="nil"/>
              <w:bottom w:val="single" w:color="auto" w:sz="4" w:space="0"/>
              <w:right w:val="single" w:color="auto" w:sz="4" w:space="0"/>
            </w:tcBorders>
            <w:shd w:val="clear" w:color="auto" w:fill="auto"/>
            <w:vAlign w:val="center"/>
          </w:tcPr>
          <w:p>
            <w:pPr>
              <w:widowControl/>
              <w:spacing w:line="640" w:lineRule="exact"/>
              <w:jc w:val="left"/>
              <w:rPr>
                <w:rFonts w:ascii="等线" w:hAnsi="等线" w:eastAsia="等线" w:cs="宋体"/>
                <w:color w:val="000000"/>
                <w:kern w:val="0"/>
                <w:sz w:val="22"/>
                <w:highlight w:val="none"/>
              </w:rPr>
            </w:pPr>
            <w:r>
              <w:rPr>
                <w:rFonts w:hint="eastAsia" w:ascii="等线" w:hAnsi="等线" w:eastAsia="等线" w:cs="宋体"/>
                <w:color w:val="000000"/>
                <w:kern w:val="0"/>
                <w:sz w:val="22"/>
                <w:highlight w:val="none"/>
              </w:rPr>
              <w:t>管理人、成立日期、投资经理、投资策略、产品规模、净值等</w:t>
            </w:r>
          </w:p>
        </w:tc>
      </w:tr>
      <w:tr>
        <w:tblPrEx>
          <w:tblCellMar>
            <w:top w:w="0" w:type="dxa"/>
            <w:left w:w="108" w:type="dxa"/>
            <w:bottom w:w="0" w:type="dxa"/>
            <w:right w:w="108" w:type="dxa"/>
          </w:tblCellMar>
        </w:tblPrEx>
        <w:trPr>
          <w:trHeight w:val="490" w:hRule="atLeast"/>
        </w:trPr>
        <w:tc>
          <w:tcPr>
            <w:tcW w:w="1860" w:type="dxa"/>
            <w:tcBorders>
              <w:top w:val="nil"/>
              <w:left w:val="single" w:color="auto" w:sz="4" w:space="0"/>
              <w:bottom w:val="single" w:color="auto" w:sz="4" w:space="0"/>
              <w:right w:val="single" w:color="auto" w:sz="4" w:space="0"/>
            </w:tcBorders>
            <w:shd w:val="clear" w:color="auto" w:fill="auto"/>
            <w:noWrap/>
            <w:vAlign w:val="center"/>
          </w:tcPr>
          <w:p>
            <w:pPr>
              <w:widowControl/>
              <w:spacing w:line="640" w:lineRule="exact"/>
              <w:jc w:val="center"/>
              <w:rPr>
                <w:rFonts w:ascii="等线" w:hAnsi="等线" w:eastAsia="等线" w:cs="宋体"/>
                <w:color w:val="000000"/>
                <w:kern w:val="0"/>
                <w:sz w:val="22"/>
                <w:highlight w:val="none"/>
              </w:rPr>
            </w:pPr>
            <w:r>
              <w:rPr>
                <w:rFonts w:hint="eastAsia" w:ascii="等线" w:hAnsi="等线" w:eastAsia="等线" w:cs="宋体"/>
                <w:color w:val="000000"/>
                <w:kern w:val="0"/>
                <w:sz w:val="22"/>
                <w:highlight w:val="none"/>
              </w:rPr>
              <w:t>全部客户类型</w:t>
            </w:r>
          </w:p>
        </w:tc>
        <w:tc>
          <w:tcPr>
            <w:tcW w:w="6362" w:type="dxa"/>
            <w:tcBorders>
              <w:top w:val="nil"/>
              <w:left w:val="nil"/>
              <w:bottom w:val="single" w:color="auto" w:sz="4" w:space="0"/>
              <w:right w:val="single" w:color="auto" w:sz="4" w:space="0"/>
            </w:tcBorders>
            <w:shd w:val="clear" w:color="auto" w:fill="auto"/>
            <w:vAlign w:val="center"/>
          </w:tcPr>
          <w:p>
            <w:pPr>
              <w:widowControl/>
              <w:spacing w:line="640" w:lineRule="exact"/>
              <w:jc w:val="left"/>
              <w:rPr>
                <w:rFonts w:ascii="等线" w:hAnsi="等线" w:eastAsia="等线" w:cs="宋体"/>
                <w:color w:val="000000"/>
                <w:kern w:val="0"/>
                <w:sz w:val="22"/>
                <w:highlight w:val="none"/>
              </w:rPr>
            </w:pPr>
            <w:r>
              <w:rPr>
                <w:rFonts w:hint="eastAsia" w:ascii="等线" w:hAnsi="等线" w:eastAsia="等线" w:cs="宋体"/>
                <w:color w:val="000000"/>
                <w:kern w:val="0"/>
                <w:sz w:val="22"/>
                <w:highlight w:val="none"/>
              </w:rPr>
              <w:t>身份识别信息、同一客户关联关系信息</w:t>
            </w:r>
          </w:p>
        </w:tc>
      </w:tr>
    </w:tbl>
    <w:p>
      <w:pPr>
        <w:spacing w:line="640" w:lineRule="exact"/>
        <w:ind w:firstLine="640" w:firstLineChars="200"/>
        <w:rPr>
          <w:rFonts w:ascii="仿宋_GB2312" w:eastAsia="仿宋_GB2312"/>
          <w:sz w:val="32"/>
          <w:szCs w:val="32"/>
          <w:highlight w:val="none"/>
        </w:rPr>
      </w:pPr>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业务类风险信息收集的范围原则上与同一业务风险信息收集的范围相同，即所有与客户以及其所在同一客户相关的业务信息，并从单一及同一客户两个层面进行汇总。从客户视角出发，业务信息还要包括完整的交易行为信息，</w:t>
      </w:r>
      <w:r>
        <w:rPr>
          <w:rFonts w:hint="eastAsia" w:ascii="仿宋_GB2312" w:hAnsi="宋体" w:eastAsia="仿宋_GB2312" w:cs="Arial"/>
          <w:sz w:val="32"/>
          <w:szCs w:val="32"/>
          <w:highlight w:val="none"/>
        </w:rPr>
        <w:t>例如是否按照协议及时足额追保、做到事前约定的风控措施、遵守协议约定等。</w:t>
      </w:r>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舆情类风险信息是指客户、担保方、担保物等相关的负面信息，按照来源可以分成外部和内部，按照严重程度可以分成多个等级。外部负面信息是指从公开信息获取的负面信息，内部负面信息是指在开展业务过程中发生的负面信息。</w:t>
      </w:r>
      <w:r>
        <w:rPr>
          <w:rFonts w:hint="eastAsia" w:ascii="仿宋_GB2312" w:hAnsi="仿宋" w:eastAsia="仿宋_GB2312" w:cs="Times New Roman"/>
          <w:snapToGrid w:val="0"/>
          <w:kern w:val="0"/>
          <w:sz w:val="32"/>
          <w:szCs w:val="32"/>
          <w:highlight w:val="none"/>
        </w:rPr>
        <w:t>根据严重程度和</w:t>
      </w:r>
      <w:r>
        <w:rPr>
          <w:rFonts w:hint="eastAsia" w:ascii="仿宋_GB2312" w:hAnsi="Calibri" w:eastAsia="仿宋_GB2312" w:cs="Times New Roman"/>
          <w:color w:val="000000" w:themeColor="text1"/>
          <w:sz w:val="32"/>
          <w:szCs w:val="32"/>
          <w:highlight w:val="none"/>
          <w14:textFill>
            <w14:solidFill>
              <w14:schemeClr w14:val="tx1"/>
            </w14:solidFill>
          </w14:textFill>
        </w:rPr>
        <w:t>对证券公司资产安全的影响程度，舆情类风险信息可以分为不同等级，例如</w:t>
      </w:r>
      <w:r>
        <w:rPr>
          <w:rFonts w:hint="eastAsia" w:ascii="仿宋_GB2312" w:hAnsi="仿宋" w:eastAsia="仿宋_GB2312" w:cs="Times New Roman"/>
          <w:snapToGrid w:val="0"/>
          <w:kern w:val="0"/>
          <w:sz w:val="32"/>
          <w:szCs w:val="32"/>
          <w:highlight w:val="none"/>
        </w:rPr>
        <w:t>分为绿、黄、红三个等级。</w:t>
      </w:r>
    </w:p>
    <w:p>
      <w:pPr>
        <w:adjustRightInd w:val="0"/>
        <w:snapToGrid w:val="0"/>
        <w:spacing w:line="640" w:lineRule="exact"/>
        <w:ind w:firstLine="642" w:firstLineChars="200"/>
        <w:outlineLvl w:val="1"/>
        <w:rPr>
          <w:rFonts w:ascii="仿宋_GB2312" w:hAnsi="仿宋_GB2312" w:eastAsia="仿宋_GB2312" w:cs="仿宋_GB2312"/>
          <w:b/>
          <w:bCs/>
          <w:sz w:val="32"/>
          <w:szCs w:val="32"/>
          <w:highlight w:val="none"/>
        </w:rPr>
      </w:pPr>
      <w:bookmarkStart w:id="154" w:name="_Toc903984869_WPSOffice_Level2"/>
      <w:bookmarkStart w:id="155" w:name="_Toc23305"/>
      <w:bookmarkStart w:id="156" w:name="_Toc30058"/>
      <w:bookmarkStart w:id="157" w:name="_Toc1299"/>
      <w:bookmarkStart w:id="158" w:name="_Toc3301"/>
      <w:bookmarkStart w:id="159" w:name="_Toc114140403"/>
      <w:r>
        <w:rPr>
          <w:rFonts w:hint="eastAsia" w:ascii="仿宋_GB2312" w:hAnsi="仿宋_GB2312" w:eastAsia="仿宋_GB2312" w:cs="仿宋_GB2312"/>
          <w:b/>
          <w:bCs/>
          <w:sz w:val="32"/>
          <w:szCs w:val="32"/>
          <w:highlight w:val="none"/>
        </w:rPr>
        <w:t>（三）同一业务、同一客户风险信息收集标准</w:t>
      </w:r>
      <w:bookmarkEnd w:id="154"/>
      <w:bookmarkEnd w:id="155"/>
      <w:bookmarkEnd w:id="156"/>
      <w:bookmarkEnd w:id="157"/>
      <w:bookmarkEnd w:id="158"/>
      <w:bookmarkEnd w:id="159"/>
    </w:p>
    <w:p>
      <w:pPr>
        <w:adjustRightInd w:val="0"/>
        <w:snapToGrid w:val="0"/>
        <w:spacing w:line="640" w:lineRule="exact"/>
        <w:ind w:firstLine="642" w:firstLineChars="200"/>
        <w:outlineLvl w:val="2"/>
        <w:rPr>
          <w:rFonts w:ascii="仿宋_GB2312" w:eastAsia="仿宋_GB2312"/>
          <w:b/>
          <w:bCs/>
          <w:sz w:val="32"/>
          <w:szCs w:val="32"/>
          <w:highlight w:val="none"/>
        </w:rPr>
      </w:pPr>
      <w:bookmarkStart w:id="160" w:name="_Toc114140404"/>
      <w:bookmarkStart w:id="161" w:name="_Toc27457"/>
      <w:bookmarkStart w:id="162" w:name="_Toc8947"/>
      <w:bookmarkStart w:id="163" w:name="_Toc20736"/>
      <w:bookmarkStart w:id="164" w:name="_Toc11001"/>
      <w:r>
        <w:rPr>
          <w:rFonts w:hint="eastAsia" w:ascii="仿宋_GB2312" w:eastAsia="仿宋_GB2312"/>
          <w:b/>
          <w:bCs/>
          <w:sz w:val="32"/>
          <w:szCs w:val="32"/>
          <w:highlight w:val="none"/>
        </w:rPr>
        <w:t>1.明确风险信息收集门槛</w:t>
      </w:r>
      <w:bookmarkEnd w:id="160"/>
      <w:bookmarkEnd w:id="161"/>
      <w:bookmarkEnd w:id="162"/>
      <w:bookmarkEnd w:id="163"/>
      <w:bookmarkEnd w:id="164"/>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同一业务相关风险信息原则上不设置准入门槛，应做到业务全覆盖、分支机构全覆盖、子公司全覆盖。</w:t>
      </w:r>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同一客户相关风险信息中，针对基础类风险信息证券公司可以根据与客户开展的主要业务确定收集门槛。原则上，对每一类客户都要收集适当性相关的信息，在此基础上根据业务的风险特征确定需要收集的主要信息。例如，对融资类业务客户，证券公司需要获取用于判断客户的信用资质的信息。针对舆情类风险信息证券公司应尽量制定可量化的标准，如超过一定金额的监管处罚、司法冻结，超过一定幅度的财务恶化等，无法量化的可以辅以人工判断。</w:t>
      </w:r>
    </w:p>
    <w:p>
      <w:pPr>
        <w:adjustRightInd w:val="0"/>
        <w:snapToGrid w:val="0"/>
        <w:spacing w:line="640" w:lineRule="exact"/>
        <w:ind w:firstLine="642" w:firstLineChars="200"/>
        <w:outlineLvl w:val="2"/>
        <w:rPr>
          <w:rFonts w:ascii="仿宋_GB2312" w:eastAsia="仿宋_GB2312"/>
          <w:b/>
          <w:bCs/>
          <w:sz w:val="32"/>
          <w:szCs w:val="32"/>
          <w:highlight w:val="none"/>
        </w:rPr>
      </w:pPr>
      <w:bookmarkStart w:id="165" w:name="_Toc17915"/>
      <w:bookmarkStart w:id="166" w:name="_Toc10964"/>
      <w:bookmarkStart w:id="167" w:name="_Toc114140405"/>
      <w:bookmarkStart w:id="168" w:name="_Toc4715"/>
      <w:bookmarkStart w:id="169" w:name="_Toc17907"/>
      <w:r>
        <w:rPr>
          <w:rFonts w:hint="eastAsia" w:ascii="仿宋_GB2312" w:eastAsia="仿宋_GB2312"/>
          <w:b/>
          <w:bCs/>
          <w:sz w:val="32"/>
          <w:szCs w:val="32"/>
          <w:highlight w:val="none"/>
        </w:rPr>
        <w:t>2.风险信息需要真实可靠</w:t>
      </w:r>
      <w:bookmarkEnd w:id="165"/>
      <w:bookmarkEnd w:id="166"/>
      <w:bookmarkEnd w:id="167"/>
      <w:bookmarkEnd w:id="168"/>
      <w:bookmarkEnd w:id="169"/>
    </w:p>
    <w:p>
      <w:pPr>
        <w:adjustRightInd w:val="0"/>
        <w:snapToGrid w:val="0"/>
        <w:spacing w:line="640"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证券公司应收集来源真实可靠的风险信息，例如政府机构、行业监管组织、交易所、自律组织等发布的信息，或者其他行业内共同认可的信息来源，避免使用个人公众号、没有明确出处的网络文章等。</w:t>
      </w:r>
    </w:p>
    <w:p>
      <w:pPr>
        <w:adjustRightInd w:val="0"/>
        <w:snapToGrid w:val="0"/>
        <w:spacing w:line="640" w:lineRule="exact"/>
        <w:ind w:firstLine="642" w:firstLineChars="200"/>
        <w:outlineLvl w:val="2"/>
        <w:rPr>
          <w:rFonts w:ascii="仿宋_GB2312" w:eastAsia="仿宋_GB2312"/>
          <w:b/>
          <w:bCs/>
          <w:sz w:val="32"/>
          <w:szCs w:val="32"/>
          <w:highlight w:val="none"/>
        </w:rPr>
      </w:pPr>
      <w:bookmarkStart w:id="170" w:name="_Toc2432"/>
      <w:bookmarkStart w:id="171" w:name="_Toc32379"/>
      <w:bookmarkStart w:id="172" w:name="_Toc24131"/>
      <w:bookmarkStart w:id="173" w:name="_Toc114140406"/>
      <w:bookmarkStart w:id="174" w:name="_Toc27679"/>
      <w:r>
        <w:rPr>
          <w:rFonts w:hint="eastAsia" w:ascii="仿宋_GB2312" w:eastAsia="仿宋_GB2312"/>
          <w:b/>
          <w:bCs/>
          <w:sz w:val="32"/>
          <w:szCs w:val="32"/>
          <w:highlight w:val="none"/>
        </w:rPr>
        <w:t>3.要考虑风险信息</w:t>
      </w:r>
      <w:bookmarkEnd w:id="170"/>
      <w:bookmarkEnd w:id="171"/>
      <w:bookmarkEnd w:id="172"/>
      <w:bookmarkEnd w:id="173"/>
      <w:bookmarkEnd w:id="174"/>
      <w:r>
        <w:rPr>
          <w:rFonts w:hint="eastAsia" w:ascii="仿宋_GB2312" w:eastAsia="仿宋_GB2312"/>
          <w:b/>
          <w:bCs/>
          <w:sz w:val="32"/>
          <w:szCs w:val="32"/>
          <w:highlight w:val="none"/>
        </w:rPr>
        <w:t>的时效性</w:t>
      </w:r>
    </w:p>
    <w:p>
      <w:pPr>
        <w:adjustRightInd w:val="0"/>
        <w:snapToGrid w:val="0"/>
        <w:spacing w:line="640" w:lineRule="exact"/>
        <w:ind w:firstLine="640" w:firstLineChars="200"/>
        <w:rPr>
          <w:rFonts w:ascii="仿宋_GB2312" w:eastAsia="仿宋_GB2312"/>
          <w:sz w:val="32"/>
          <w:szCs w:val="32"/>
          <w:highlight w:val="none"/>
        </w:rPr>
      </w:pPr>
      <w:r>
        <w:rPr>
          <w:rFonts w:hint="eastAsia" w:ascii="仿宋" w:hAnsi="仿宋" w:eastAsia="仿宋"/>
          <w:sz w:val="32"/>
          <w:szCs w:val="32"/>
          <w:highlight w:val="none"/>
        </w:rPr>
        <w:t>证券公司采集风险信息应注意信息的时效性，</w:t>
      </w:r>
      <w:r>
        <w:rPr>
          <w:rFonts w:hint="eastAsia" w:ascii="仿宋_GB2312" w:eastAsia="仿宋_GB2312"/>
          <w:sz w:val="32"/>
          <w:szCs w:val="32"/>
          <w:highlight w:val="none"/>
        </w:rPr>
        <w:t>根据信息的重要程度确定差异化的风险信息时间标准。例如，企业法人的财务信息一般收集最近3年又一期的，客户逾期信息收集5年内的。</w:t>
      </w:r>
    </w:p>
    <w:p>
      <w:pPr>
        <w:adjustRightInd w:val="0"/>
        <w:snapToGrid w:val="0"/>
        <w:spacing w:line="640" w:lineRule="exact"/>
        <w:ind w:firstLine="642" w:firstLineChars="200"/>
        <w:outlineLvl w:val="0"/>
        <w:rPr>
          <w:rFonts w:ascii="黑体" w:hAnsi="黑体" w:eastAsia="黑体" w:cs="黑体"/>
          <w:b/>
          <w:sz w:val="32"/>
          <w:szCs w:val="32"/>
          <w:highlight w:val="none"/>
        </w:rPr>
      </w:pPr>
      <w:bookmarkStart w:id="175" w:name="_Toc114140407"/>
      <w:bookmarkStart w:id="176" w:name="_Toc7268"/>
      <w:bookmarkStart w:id="177" w:name="_Toc25884"/>
      <w:bookmarkStart w:id="178" w:name="_Toc17057"/>
      <w:bookmarkStart w:id="179" w:name="_Toc27459"/>
      <w:bookmarkStart w:id="180" w:name="_Toc22149"/>
      <w:bookmarkStart w:id="181" w:name="_Toc16893"/>
      <w:bookmarkStart w:id="182" w:name="_Toc1495302788_WPSOffice_Level1"/>
      <w:bookmarkStart w:id="183" w:name="_Toc25893"/>
      <w:r>
        <w:rPr>
          <w:rFonts w:hint="eastAsia" w:ascii="黑体" w:hAnsi="黑体" w:eastAsia="黑体" w:cs="黑体"/>
          <w:b/>
          <w:sz w:val="32"/>
          <w:szCs w:val="32"/>
          <w:highlight w:val="none"/>
        </w:rPr>
        <w:t>三、在风险管理上的应用</w:t>
      </w:r>
      <w:bookmarkEnd w:id="175"/>
      <w:bookmarkEnd w:id="176"/>
      <w:bookmarkEnd w:id="177"/>
      <w:bookmarkEnd w:id="178"/>
      <w:bookmarkEnd w:id="179"/>
      <w:bookmarkEnd w:id="180"/>
      <w:bookmarkEnd w:id="181"/>
      <w:bookmarkEnd w:id="182"/>
      <w:bookmarkEnd w:id="183"/>
    </w:p>
    <w:p>
      <w:pPr>
        <w:pStyle w:val="26"/>
        <w:spacing w:line="640" w:lineRule="exact"/>
        <w:ind w:firstLine="642" w:firstLineChars="200"/>
        <w:jc w:val="both"/>
        <w:rPr>
          <w:rFonts w:hint="default" w:ascii="仿宋_GB2312" w:hAnsi="华文仿宋" w:eastAsia="仿宋_GB2312" w:cs="华文仿宋"/>
          <w:b/>
          <w:bCs/>
          <w:color w:val="auto"/>
          <w:kern w:val="2"/>
          <w:sz w:val="32"/>
          <w:szCs w:val="32"/>
          <w:highlight w:val="none"/>
        </w:rPr>
      </w:pPr>
      <w:bookmarkStart w:id="184" w:name="_Toc114140408"/>
      <w:bookmarkStart w:id="185" w:name="_Toc707455135_WPSOffice_Level2"/>
      <w:bookmarkStart w:id="186" w:name="_Toc11347"/>
      <w:bookmarkStart w:id="187" w:name="_Toc5679"/>
      <w:bookmarkStart w:id="188" w:name="_Toc15185"/>
      <w:bookmarkStart w:id="189" w:name="_Toc3758"/>
      <w:bookmarkStart w:id="190" w:name="_Toc4049"/>
      <w:bookmarkStart w:id="191" w:name="_Toc9585"/>
      <w:bookmarkStart w:id="192" w:name="_Toc30511"/>
      <w:r>
        <w:rPr>
          <w:rFonts w:ascii="仿宋_GB2312" w:hAnsi="华文仿宋" w:eastAsia="仿宋_GB2312" w:cs="华文仿宋"/>
          <w:b/>
          <w:bCs/>
          <w:color w:val="auto"/>
          <w:kern w:val="2"/>
          <w:sz w:val="32"/>
          <w:szCs w:val="32"/>
          <w:highlight w:val="none"/>
        </w:rPr>
        <w:t>（一）同一业务</w:t>
      </w:r>
      <w:bookmarkEnd w:id="184"/>
      <w:bookmarkEnd w:id="185"/>
      <w:bookmarkEnd w:id="186"/>
      <w:bookmarkEnd w:id="187"/>
      <w:bookmarkEnd w:id="188"/>
      <w:bookmarkEnd w:id="189"/>
      <w:bookmarkEnd w:id="190"/>
      <w:bookmarkEnd w:id="191"/>
      <w:bookmarkEnd w:id="192"/>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证券公司在对同一业务进行定义、分类分层、收集汇总风险信息后，可以实现对同一业务使用基本一致的风控措施、控制同一业务的集中度风险，并且按照同一业务的各类各层进行风险监测、分析及预警等。</w:t>
      </w:r>
    </w:p>
    <w:p>
      <w:pPr>
        <w:numPr>
          <w:ilvl w:val="255"/>
          <w:numId w:val="0"/>
        </w:numPr>
        <w:adjustRightInd w:val="0"/>
        <w:snapToGrid w:val="0"/>
        <w:spacing w:line="640" w:lineRule="exact"/>
        <w:ind w:firstLine="640" w:firstLineChars="200"/>
        <w:rPr>
          <w:rFonts w:ascii="黑体" w:hAnsi="黑体" w:eastAsia="黑体" w:cs="Arial"/>
          <w:sz w:val="32"/>
          <w:szCs w:val="32"/>
          <w:highlight w:val="none"/>
        </w:rPr>
      </w:pPr>
      <w:r>
        <w:rPr>
          <w:rFonts w:hint="eastAsia" w:ascii="仿宋_GB2312" w:hAnsi="宋体" w:eastAsia="仿宋_GB2312" w:cs="Arial"/>
          <w:sz w:val="32"/>
          <w:szCs w:val="32"/>
          <w:highlight w:val="none"/>
        </w:rPr>
        <w:drawing>
          <wp:anchor distT="0" distB="0" distL="114300" distR="114300" simplePos="0" relativeHeight="251670528" behindDoc="0" locked="0" layoutInCell="1" allowOverlap="1">
            <wp:simplePos x="0" y="0"/>
            <wp:positionH relativeFrom="column">
              <wp:posOffset>591820</wp:posOffset>
            </wp:positionH>
            <wp:positionV relativeFrom="paragraph">
              <wp:posOffset>85090</wp:posOffset>
            </wp:positionV>
            <wp:extent cx="4327525" cy="2275840"/>
            <wp:effectExtent l="0" t="0" r="15875" b="10160"/>
            <wp:wrapTopAndBottom/>
            <wp:docPr id="14" name="图片 14"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true"/>
                    </pic:cNvPicPr>
                  </pic:nvPicPr>
                  <pic:blipFill>
                    <a:blip r:embed="rId14"/>
                    <a:stretch>
                      <a:fillRect/>
                    </a:stretch>
                  </pic:blipFill>
                  <pic:spPr>
                    <a:xfrm>
                      <a:off x="0" y="0"/>
                      <a:ext cx="4327525" cy="2275840"/>
                    </a:xfrm>
                    <a:prstGeom prst="rect">
                      <a:avLst/>
                    </a:prstGeom>
                  </pic:spPr>
                </pic:pic>
              </a:graphicData>
            </a:graphic>
          </wp:anchor>
        </w:drawing>
      </w:r>
      <w:r>
        <w:rPr>
          <w:rFonts w:hint="eastAsia" w:ascii="仿宋_GB2312" w:hAnsi="宋体" w:eastAsia="仿宋_GB2312" w:cs="Arial"/>
          <w:sz w:val="32"/>
          <w:szCs w:val="32"/>
          <w:highlight w:val="none"/>
        </w:rPr>
        <w:t xml:space="preserve">           </w:t>
      </w:r>
      <w:r>
        <w:rPr>
          <w:rFonts w:hint="eastAsia" w:ascii="黑体" w:hAnsi="黑体" w:eastAsia="黑体" w:cs="Arial"/>
          <w:sz w:val="28"/>
          <w:szCs w:val="28"/>
          <w:highlight w:val="none"/>
        </w:rPr>
        <w:t>图6 同一业务在风险管理上的应用</w:t>
      </w:r>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193" w:name="_Toc27579"/>
      <w:bookmarkStart w:id="194" w:name="_Toc17720"/>
      <w:bookmarkStart w:id="195" w:name="_Toc16567"/>
      <w:bookmarkStart w:id="196" w:name="_Toc114140409"/>
      <w:bookmarkStart w:id="197" w:name="_Toc19242"/>
      <w:r>
        <w:rPr>
          <w:rFonts w:ascii="仿宋_GB2312" w:hAnsi="宋体" w:eastAsia="仿宋_GB2312" w:cs="Arial"/>
          <w:b/>
          <w:bCs/>
          <w:sz w:val="32"/>
          <w:szCs w:val="32"/>
          <w:highlight w:val="none"/>
        </w:rPr>
        <w:t>1</w:t>
      </w:r>
      <w:r>
        <w:rPr>
          <w:rFonts w:hint="eastAsia" w:ascii="仿宋_GB2312" w:hAnsi="宋体" w:eastAsia="仿宋_GB2312" w:cs="Arial"/>
          <w:b/>
          <w:bCs/>
          <w:sz w:val="32"/>
          <w:szCs w:val="32"/>
          <w:highlight w:val="none"/>
        </w:rPr>
        <w:t>.可使用基本一致的风控措施</w:t>
      </w:r>
      <w:bookmarkEnd w:id="193"/>
      <w:bookmarkEnd w:id="194"/>
      <w:bookmarkEnd w:id="195"/>
      <w:bookmarkEnd w:id="196"/>
      <w:bookmarkEnd w:id="197"/>
    </w:p>
    <w:p>
      <w:pPr>
        <w:numPr>
          <w:ilvl w:val="255"/>
          <w:numId w:val="0"/>
        </w:numPr>
        <w:adjustRightInd w:val="0"/>
        <w:snapToGrid w:val="0"/>
        <w:spacing w:line="640" w:lineRule="exact"/>
        <w:ind w:firstLine="642" w:firstLineChars="200"/>
        <w:rPr>
          <w:rFonts w:ascii="仿宋_GB2312" w:hAnsi="宋体" w:eastAsia="仿宋_GB2312" w:cs="Arial"/>
          <w:sz w:val="32"/>
          <w:szCs w:val="32"/>
          <w:highlight w:val="none"/>
        </w:rPr>
      </w:pPr>
      <w:r>
        <w:rPr>
          <w:rFonts w:hint="eastAsia" w:ascii="仿宋_GB2312" w:hAnsi="宋体" w:eastAsia="仿宋_GB2312" w:cs="Arial"/>
          <w:b/>
          <w:sz w:val="32"/>
          <w:szCs w:val="32"/>
          <w:highlight w:val="none"/>
        </w:rPr>
        <w:t>基于各类业务的梳理归类，证券公司应对不同部门开展的同一业务实施基本一致的风控措施</w:t>
      </w:r>
      <w:r>
        <w:rPr>
          <w:rFonts w:hint="eastAsia" w:ascii="仿宋_GB2312" w:hAnsi="宋体" w:eastAsia="仿宋_GB2312" w:cs="Arial"/>
          <w:sz w:val="32"/>
          <w:szCs w:val="32"/>
          <w:highlight w:val="none"/>
        </w:rPr>
        <w:t>，有利于公司对相同的业务在业务准入、客户准入、主要风险点的把握、关键控制措施等方面保持一致。例如，证券公司不同部门在开展证券自营-固定收益类证券自营-信用债</w:t>
      </w:r>
      <w:r>
        <w:rPr>
          <w:rFonts w:ascii="仿宋_GB2312" w:hAnsi="宋体" w:eastAsia="仿宋_GB2312" w:cs="Arial"/>
          <w:sz w:val="32"/>
          <w:szCs w:val="32"/>
          <w:highlight w:val="none"/>
        </w:rPr>
        <w:t>投资</w:t>
      </w:r>
      <w:r>
        <w:rPr>
          <w:rFonts w:hint="eastAsia" w:ascii="仿宋_GB2312" w:hAnsi="宋体" w:eastAsia="仿宋_GB2312" w:cs="Arial"/>
          <w:sz w:val="32"/>
          <w:szCs w:val="32"/>
          <w:highlight w:val="none"/>
        </w:rPr>
        <w:t>时，可执行基本一致的投前、投中、投后风控措施，包括但不限于使用统一的尽调要求、债券准入范围与标准、决策审批流程、集中度控制等措施。</w:t>
      </w: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198" w:name="_Toc24486"/>
      <w:bookmarkStart w:id="199" w:name="_Toc1488"/>
      <w:bookmarkStart w:id="200" w:name="_Toc114140410"/>
      <w:bookmarkStart w:id="201" w:name="_Toc505"/>
      <w:bookmarkStart w:id="202" w:name="_Toc22649"/>
      <w:r>
        <w:rPr>
          <w:rFonts w:ascii="仿宋_GB2312" w:hAnsi="宋体" w:eastAsia="仿宋_GB2312" w:cs="Arial"/>
          <w:b/>
          <w:bCs/>
          <w:sz w:val="32"/>
          <w:szCs w:val="32"/>
          <w:highlight w:val="none"/>
        </w:rPr>
        <w:t>2</w:t>
      </w:r>
      <w:r>
        <w:rPr>
          <w:rFonts w:hint="eastAsia" w:ascii="仿宋_GB2312" w:hAnsi="宋体" w:eastAsia="仿宋_GB2312" w:cs="Arial"/>
          <w:b/>
          <w:bCs/>
          <w:sz w:val="32"/>
          <w:szCs w:val="32"/>
          <w:highlight w:val="none"/>
        </w:rPr>
        <w:t>.可用于集中度风险</w:t>
      </w:r>
      <w:bookmarkEnd w:id="198"/>
      <w:bookmarkEnd w:id="199"/>
      <w:bookmarkEnd w:id="200"/>
      <w:bookmarkEnd w:id="201"/>
      <w:bookmarkEnd w:id="202"/>
      <w:r>
        <w:rPr>
          <w:rFonts w:hint="eastAsia" w:ascii="仿宋_GB2312" w:hAnsi="宋体" w:eastAsia="仿宋_GB2312" w:cs="Arial"/>
          <w:b/>
          <w:bCs/>
          <w:sz w:val="32"/>
          <w:szCs w:val="32"/>
          <w:highlight w:val="none"/>
        </w:rPr>
        <w:t>控制</w:t>
      </w:r>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证券公司可通过在同一业务由大到小的各个层级设置集中度指标或将集中度指标分解到各业务部门等方式，实现各层级、各维度的集中度风险管理，如单一标的占发行量集中度、单一标的占投资组合集中度、行业集中度、地区集中度等。</w:t>
      </w: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203" w:name="_Toc22928"/>
      <w:bookmarkStart w:id="204" w:name="_Toc29879"/>
      <w:bookmarkStart w:id="205" w:name="_Toc25736"/>
      <w:bookmarkStart w:id="206" w:name="_Toc114140411"/>
      <w:bookmarkStart w:id="207" w:name="_Toc29327"/>
      <w:bookmarkStart w:id="208" w:name="_Toc8451"/>
      <w:bookmarkStart w:id="209" w:name="_Toc10833"/>
      <w:bookmarkStart w:id="210" w:name="_Toc4026"/>
      <w:r>
        <w:rPr>
          <w:rFonts w:ascii="仿宋_GB2312" w:hAnsi="宋体" w:eastAsia="仿宋_GB2312" w:cs="Arial"/>
          <w:b/>
          <w:bCs/>
          <w:sz w:val="32"/>
          <w:szCs w:val="32"/>
          <w:highlight w:val="none"/>
        </w:rPr>
        <w:t>3</w:t>
      </w:r>
      <w:bookmarkEnd w:id="203"/>
      <w:bookmarkEnd w:id="204"/>
      <w:bookmarkEnd w:id="205"/>
      <w:r>
        <w:rPr>
          <w:rFonts w:hint="eastAsia" w:ascii="仿宋_GB2312" w:hAnsi="宋体" w:eastAsia="仿宋_GB2312" w:cs="Arial"/>
          <w:b/>
          <w:bCs/>
          <w:sz w:val="32"/>
          <w:szCs w:val="32"/>
          <w:highlight w:val="none"/>
        </w:rPr>
        <w:t>.可支持每日（T+1）风险监测</w:t>
      </w:r>
      <w:bookmarkEnd w:id="206"/>
      <w:bookmarkEnd w:id="207"/>
      <w:bookmarkEnd w:id="208"/>
      <w:bookmarkEnd w:id="209"/>
      <w:bookmarkEnd w:id="210"/>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通过实施同一业务管理，证券公司可以开发针对同一业务的风险计量模型并嵌入风险管理系统，以实现对各类业务各层级、各维度风险指标的每日（T+1）计量及风险监测。</w:t>
      </w: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211" w:name="_Toc3016"/>
      <w:bookmarkStart w:id="212" w:name="_Toc13656"/>
      <w:bookmarkStart w:id="213" w:name="_Toc8421"/>
      <w:bookmarkStart w:id="214" w:name="_Toc114140412"/>
      <w:bookmarkStart w:id="215" w:name="_Toc21746"/>
      <w:r>
        <w:rPr>
          <w:rFonts w:ascii="仿宋_GB2312" w:hAnsi="宋体" w:eastAsia="仿宋_GB2312" w:cs="Arial"/>
          <w:b/>
          <w:bCs/>
          <w:sz w:val="32"/>
          <w:szCs w:val="32"/>
          <w:highlight w:val="none"/>
        </w:rPr>
        <w:t>4</w:t>
      </w:r>
      <w:r>
        <w:rPr>
          <w:rFonts w:hint="eastAsia" w:ascii="仿宋_GB2312" w:hAnsi="宋体" w:eastAsia="仿宋_GB2312" w:cs="Arial"/>
          <w:b/>
          <w:bCs/>
          <w:sz w:val="32"/>
          <w:szCs w:val="32"/>
          <w:highlight w:val="none"/>
        </w:rPr>
        <w:t>.可用于风险分析及预警</w:t>
      </w:r>
      <w:bookmarkEnd w:id="211"/>
      <w:bookmarkEnd w:id="212"/>
      <w:bookmarkEnd w:id="213"/>
      <w:bookmarkEnd w:id="214"/>
      <w:bookmarkEnd w:id="215"/>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通过掌握各类业务的风险总量及分析其业务风险的构成，可找出各层级、各维度风险来源的贡献度，进行风险归因分析；可比较各类业务的风险收益水平，可将同类业务各层级、各维度的风险和收益水平进行评估；可对每类业务设计预警信号、预警指标，进行风险预警。</w:t>
      </w:r>
    </w:p>
    <w:p>
      <w:pPr>
        <w:adjustRightInd w:val="0"/>
        <w:snapToGrid w:val="0"/>
        <w:spacing w:line="640" w:lineRule="exact"/>
        <w:ind w:firstLine="642" w:firstLineChars="200"/>
        <w:outlineLvl w:val="1"/>
        <w:rPr>
          <w:rFonts w:ascii="仿宋_GB2312" w:hAnsi="宋体" w:eastAsia="仿宋_GB2312" w:cs="Arial"/>
          <w:b/>
          <w:bCs/>
          <w:sz w:val="32"/>
          <w:szCs w:val="32"/>
          <w:highlight w:val="none"/>
        </w:rPr>
      </w:pPr>
      <w:bookmarkStart w:id="216" w:name="_Toc30678"/>
      <w:bookmarkStart w:id="217" w:name="_Toc9859"/>
      <w:bookmarkStart w:id="218" w:name="_Toc18203"/>
      <w:bookmarkStart w:id="219" w:name="_Toc27712"/>
      <w:bookmarkStart w:id="220" w:name="_Toc17348"/>
      <w:bookmarkStart w:id="221" w:name="_Toc114140413"/>
      <w:bookmarkStart w:id="222" w:name="_Toc895523393_WPSOffice_Level2"/>
      <w:bookmarkStart w:id="223" w:name="_Toc22270"/>
      <w:bookmarkStart w:id="224" w:name="_Toc4742"/>
      <w:r>
        <w:rPr>
          <w:rFonts w:hint="eastAsia" w:ascii="仿宋_GB2312" w:hAnsi="宋体" w:eastAsia="仿宋_GB2312" w:cs="Arial"/>
          <w:b/>
          <w:bCs/>
          <w:sz w:val="32"/>
          <w:szCs w:val="32"/>
          <w:highlight w:val="none"/>
        </w:rPr>
        <w:t>（二）同一客户</w:t>
      </w:r>
      <w:bookmarkEnd w:id="216"/>
      <w:bookmarkEnd w:id="217"/>
      <w:bookmarkEnd w:id="218"/>
      <w:bookmarkEnd w:id="219"/>
      <w:bookmarkEnd w:id="220"/>
      <w:bookmarkEnd w:id="221"/>
      <w:bookmarkEnd w:id="222"/>
      <w:bookmarkEnd w:id="223"/>
      <w:bookmarkEnd w:id="224"/>
    </w:p>
    <w:p>
      <w:pPr>
        <w:numPr>
          <w:ilvl w:val="255"/>
          <w:numId w:val="0"/>
        </w:num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证券公司在对客户进行身份识别、关联关系认定、收集汇总风险信息后，可以将同一客户应用于事前、事中、事后全流程风险管理。</w:t>
      </w:r>
    </w:p>
    <w:p>
      <w:pPr>
        <w:adjustRightInd w:val="0"/>
        <w:snapToGrid w:val="0"/>
        <w:spacing w:line="200" w:lineRule="exact"/>
        <w:jc w:val="center"/>
        <w:rPr>
          <w:rFonts w:ascii="黑体" w:hAnsi="黑体" w:eastAsia="黑体" w:cs="Arial"/>
          <w:sz w:val="28"/>
          <w:szCs w:val="28"/>
          <w:highlight w:val="none"/>
        </w:rPr>
      </w:pPr>
      <w:r>
        <w:rPr>
          <w:rFonts w:hint="eastAsia" w:ascii="黑体" w:hAnsi="黑体" w:eastAsia="黑体" w:cs="Arial"/>
          <w:sz w:val="28"/>
          <w:szCs w:val="28"/>
          <w:highlight w:val="none"/>
        </w:rPr>
        <w:drawing>
          <wp:anchor distT="0" distB="0" distL="114300" distR="114300" simplePos="0" relativeHeight="251667456" behindDoc="0" locked="0" layoutInCell="1" allowOverlap="1">
            <wp:simplePos x="0" y="0"/>
            <wp:positionH relativeFrom="column">
              <wp:posOffset>40005</wp:posOffset>
            </wp:positionH>
            <wp:positionV relativeFrom="paragraph">
              <wp:posOffset>444500</wp:posOffset>
            </wp:positionV>
            <wp:extent cx="5279390" cy="2590800"/>
            <wp:effectExtent l="0" t="0" r="0" b="0"/>
            <wp:wrapTopAndBottom/>
            <wp:docPr id="17" name="图片 16" descr="图片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6" descr="图片4.png"/>
                    <pic:cNvPicPr>
                      <a:picLocks noChangeAspect="true"/>
                    </pic:cNvPicPr>
                  </pic:nvPicPr>
                  <pic:blipFill>
                    <a:blip r:embed="rId15"/>
                    <a:stretch>
                      <a:fillRect/>
                    </a:stretch>
                  </pic:blipFill>
                  <pic:spPr>
                    <a:xfrm>
                      <a:off x="0" y="0"/>
                      <a:ext cx="5279390" cy="2590800"/>
                    </a:xfrm>
                    <a:prstGeom prst="rect">
                      <a:avLst/>
                    </a:prstGeom>
                  </pic:spPr>
                </pic:pic>
              </a:graphicData>
            </a:graphic>
          </wp:anchor>
        </w:drawing>
      </w:r>
    </w:p>
    <w:p>
      <w:pPr>
        <w:adjustRightInd w:val="0"/>
        <w:snapToGrid w:val="0"/>
        <w:spacing w:line="640" w:lineRule="exact"/>
        <w:ind w:firstLine="560" w:firstLineChars="200"/>
        <w:jc w:val="center"/>
        <w:rPr>
          <w:rFonts w:ascii="黑体" w:hAnsi="黑体" w:eastAsia="黑体" w:cs="Arial"/>
          <w:sz w:val="28"/>
          <w:szCs w:val="28"/>
          <w:highlight w:val="none"/>
        </w:rPr>
      </w:pPr>
      <w:r>
        <w:rPr>
          <w:rFonts w:hint="eastAsia" w:ascii="黑体" w:hAnsi="黑体" w:eastAsia="黑体" w:cs="Arial"/>
          <w:sz w:val="28"/>
          <w:szCs w:val="28"/>
          <w:highlight w:val="none"/>
        </w:rPr>
        <w:t>图7 同一客户风险管控全流程应用</w:t>
      </w:r>
    </w:p>
    <w:p>
      <w:pPr>
        <w:adjustRightInd w:val="0"/>
        <w:snapToGrid w:val="0"/>
        <w:spacing w:line="640" w:lineRule="exact"/>
        <w:ind w:firstLine="640" w:firstLineChars="200"/>
        <w:jc w:val="center"/>
        <w:rPr>
          <w:rFonts w:ascii="仿宋_GB2312" w:hAnsi="宋体" w:eastAsia="仿宋_GB2312" w:cs="Arial"/>
          <w:sz w:val="32"/>
          <w:szCs w:val="32"/>
          <w:highlight w:val="none"/>
        </w:rPr>
      </w:pP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225" w:name="_Toc24134"/>
      <w:bookmarkStart w:id="226" w:name="_Toc29581"/>
      <w:bookmarkStart w:id="227" w:name="_Toc3623"/>
      <w:bookmarkStart w:id="228" w:name="_Toc9516"/>
      <w:bookmarkStart w:id="229" w:name="_Toc23913"/>
      <w:r>
        <w:rPr>
          <w:rFonts w:hint="eastAsia" w:ascii="仿宋_GB2312" w:hAnsi="宋体" w:eastAsia="仿宋_GB2312" w:cs="Arial"/>
          <w:b/>
          <w:bCs/>
          <w:sz w:val="32"/>
          <w:szCs w:val="32"/>
          <w:highlight w:val="none"/>
        </w:rPr>
        <w:t>1</w:t>
      </w:r>
      <w:bookmarkEnd w:id="225"/>
      <w:bookmarkEnd w:id="226"/>
      <w:bookmarkEnd w:id="227"/>
      <w:r>
        <w:rPr>
          <w:rFonts w:hint="eastAsia" w:ascii="仿宋_GB2312" w:hAnsi="宋体" w:eastAsia="仿宋_GB2312" w:cs="Arial"/>
          <w:b/>
          <w:bCs/>
          <w:sz w:val="32"/>
          <w:szCs w:val="32"/>
          <w:highlight w:val="none"/>
        </w:rPr>
        <w:t>.事前风险管理中对客户评级、授信时的应用</w:t>
      </w:r>
      <w:bookmarkEnd w:id="228"/>
      <w:bookmarkEnd w:id="229"/>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230" w:name="_Toc114140414"/>
      <w:bookmarkStart w:id="231" w:name="_Toc24239"/>
      <w:bookmarkStart w:id="232" w:name="_Toc16020"/>
      <w:bookmarkStart w:id="233" w:name="_Toc4343"/>
      <w:bookmarkStart w:id="234" w:name="_Toc32111"/>
      <w:r>
        <w:rPr>
          <w:rFonts w:hint="eastAsia" w:ascii="仿宋_GB2312" w:hAnsi="宋体" w:eastAsia="仿宋_GB2312" w:cs="Arial"/>
          <w:b/>
          <w:bCs/>
          <w:sz w:val="32"/>
          <w:szCs w:val="32"/>
          <w:highlight w:val="none"/>
        </w:rPr>
        <w:t>（</w:t>
      </w:r>
      <w:r>
        <w:rPr>
          <w:rFonts w:ascii="仿宋_GB2312" w:hAnsi="宋体" w:eastAsia="仿宋_GB2312" w:cs="Arial"/>
          <w:b/>
          <w:bCs/>
          <w:sz w:val="32"/>
          <w:szCs w:val="32"/>
          <w:highlight w:val="none"/>
        </w:rPr>
        <w:t>1</w:t>
      </w:r>
      <w:r>
        <w:rPr>
          <w:rFonts w:hint="eastAsia" w:ascii="仿宋_GB2312" w:hAnsi="宋体" w:eastAsia="仿宋_GB2312" w:cs="Arial"/>
          <w:b/>
          <w:bCs/>
          <w:sz w:val="32"/>
          <w:szCs w:val="32"/>
          <w:highlight w:val="none"/>
        </w:rPr>
        <w:t>）在客户评级方面的应用</w:t>
      </w:r>
      <w:bookmarkEnd w:id="230"/>
      <w:bookmarkEnd w:id="231"/>
      <w:bookmarkEnd w:id="232"/>
      <w:bookmarkEnd w:id="233"/>
      <w:bookmarkEnd w:id="234"/>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将客户内部唯一编码用于客户内部评级时的身份标识，可以实现客户在证券公司风险管理系统、业务系统等关联客户内部评级，实现</w:t>
      </w:r>
      <w:r>
        <w:rPr>
          <w:rFonts w:hint="eastAsia" w:ascii="仿宋_GB2312" w:hAnsi="宋体" w:eastAsia="仿宋_GB2312" w:cs="Arial"/>
          <w:b/>
          <w:sz w:val="32"/>
          <w:szCs w:val="32"/>
          <w:highlight w:val="none"/>
        </w:rPr>
        <w:t>客户内部评级的唯一性</w:t>
      </w:r>
      <w:r>
        <w:rPr>
          <w:rFonts w:hint="eastAsia" w:ascii="仿宋_GB2312" w:hAnsi="宋体" w:eastAsia="仿宋_GB2312" w:cs="Arial"/>
          <w:sz w:val="32"/>
          <w:szCs w:val="32"/>
          <w:highlight w:val="none"/>
        </w:rPr>
        <w:t>。</w:t>
      </w:r>
    </w:p>
    <w:p>
      <w:pPr>
        <w:adjustRightInd w:val="0"/>
        <w:snapToGrid w:val="0"/>
        <w:spacing w:line="640" w:lineRule="exact"/>
        <w:ind w:firstLine="642" w:firstLineChars="200"/>
        <w:rPr>
          <w:rFonts w:ascii="仿宋_GB2312" w:hAnsi="宋体" w:eastAsia="仿宋_GB2312" w:cs="Arial"/>
          <w:color w:val="FF0000"/>
          <w:sz w:val="32"/>
          <w:szCs w:val="32"/>
          <w:highlight w:val="none"/>
        </w:rPr>
      </w:pPr>
      <w:r>
        <w:rPr>
          <w:rFonts w:hint="eastAsia" w:ascii="仿宋_GB2312" w:hAnsi="宋体" w:eastAsia="仿宋_GB2312" w:cs="Arial"/>
          <w:b/>
          <w:sz w:val="32"/>
          <w:szCs w:val="32"/>
          <w:highlight w:val="none"/>
        </w:rPr>
        <w:t>初次评级时考虑同一客户信用一致性</w:t>
      </w:r>
      <w:r>
        <w:rPr>
          <w:rFonts w:hint="eastAsia" w:ascii="仿宋_GB2312" w:hAnsi="宋体" w:eastAsia="仿宋_GB2312" w:cs="Arial"/>
          <w:sz w:val="32"/>
          <w:szCs w:val="32"/>
          <w:highlight w:val="none"/>
        </w:rPr>
        <w:t>。以集团客户为例，初次评级时应考虑集团关系、统一集团内子公司和集团的信用一致性。在评估子公司和集团关系时可考虑多个维度，包括但不限于相对规模和重要性、股权和控制关系、业务协同性、是否共享品牌、内部资金拆借和支持记录以及出现风险事件对集团的影响等。</w:t>
      </w:r>
    </w:p>
    <w:p>
      <w:pPr>
        <w:adjustRightInd w:val="0"/>
        <w:snapToGrid w:val="0"/>
        <w:spacing w:line="640" w:lineRule="exact"/>
        <w:ind w:firstLine="642" w:firstLineChars="200"/>
        <w:rPr>
          <w:rFonts w:ascii="仿宋_GB2312" w:hAnsi="宋体" w:eastAsia="仿宋_GB2312" w:cs="Arial"/>
          <w:sz w:val="32"/>
          <w:szCs w:val="32"/>
          <w:highlight w:val="none"/>
        </w:rPr>
      </w:pPr>
      <w:r>
        <w:rPr>
          <w:rFonts w:hint="eastAsia" w:ascii="仿宋_GB2312" w:hAnsi="宋体" w:eastAsia="仿宋_GB2312" w:cs="Arial"/>
          <w:b/>
          <w:sz w:val="32"/>
          <w:szCs w:val="32"/>
          <w:highlight w:val="none"/>
        </w:rPr>
        <w:t>跟踪评级时同一客户关联关系可以按需应用于评级联动调整</w:t>
      </w:r>
      <w:r>
        <w:rPr>
          <w:rFonts w:hint="eastAsia" w:ascii="仿宋_GB2312" w:hAnsi="宋体" w:eastAsia="仿宋_GB2312" w:cs="Arial"/>
          <w:sz w:val="32"/>
          <w:szCs w:val="32"/>
          <w:highlight w:val="none"/>
        </w:rPr>
        <w:t>。仍然以集团客户为例，在对客户开展跟踪评级时，不仅应评估客户自身财务状况和经营状况变化，也应关注客户所属集团整体状况以及客户和所属集团的关系是否变化。特别是集团内核心主体出现负面舆情时，应关注三个方面，首先需及时评估负面舆情对核心主体的影响，其次应评估同一客户的其他主体和核心主体的关系是否受负面舆情的影响发生变化，最后需评估在当前的关联关系下核心主体的负面舆情对其他主体信用资质边际变化的影响。核心主体认定标准可以根据总资产或主营业务收入在集团中占比、资源倾斜力度、高管委派情况、是否集团重点发展方向、业务关联度等进行灵活判断。</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235" w:name="_Toc25471"/>
      <w:bookmarkStart w:id="236" w:name="_Toc114140415"/>
      <w:bookmarkStart w:id="237" w:name="_Toc24916"/>
      <w:bookmarkStart w:id="238" w:name="_Toc10568"/>
      <w:bookmarkStart w:id="239" w:name="_Toc9169"/>
      <w:r>
        <w:rPr>
          <w:rFonts w:hint="eastAsia" w:ascii="仿宋_GB2312" w:hAnsi="宋体" w:eastAsia="仿宋_GB2312" w:cs="Arial"/>
          <w:b/>
          <w:bCs/>
          <w:sz w:val="32"/>
          <w:szCs w:val="32"/>
          <w:highlight w:val="none"/>
        </w:rPr>
        <w:t>（</w:t>
      </w:r>
      <w:r>
        <w:rPr>
          <w:rFonts w:ascii="仿宋_GB2312" w:hAnsi="宋体" w:eastAsia="仿宋_GB2312" w:cs="Arial"/>
          <w:b/>
          <w:bCs/>
          <w:sz w:val="32"/>
          <w:szCs w:val="32"/>
          <w:highlight w:val="none"/>
        </w:rPr>
        <w:t>2</w:t>
      </w:r>
      <w:r>
        <w:rPr>
          <w:rFonts w:hint="eastAsia" w:ascii="仿宋_GB2312" w:hAnsi="宋体" w:eastAsia="仿宋_GB2312" w:cs="Arial"/>
          <w:b/>
          <w:bCs/>
          <w:sz w:val="32"/>
          <w:szCs w:val="32"/>
          <w:highlight w:val="none"/>
        </w:rPr>
        <w:t>）可以用于双维授信以及授信矩阵</w:t>
      </w:r>
      <w:bookmarkEnd w:id="235"/>
      <w:bookmarkEnd w:id="236"/>
      <w:bookmarkEnd w:id="237"/>
      <w:bookmarkEnd w:id="238"/>
      <w:bookmarkEnd w:id="239"/>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证券公司在制订信用风险政策时，可以</w:t>
      </w:r>
      <w:r>
        <w:rPr>
          <w:rFonts w:hint="eastAsia" w:ascii="仿宋_GB2312" w:hAnsi="宋体" w:eastAsia="仿宋_GB2312" w:cs="Arial"/>
          <w:b/>
          <w:sz w:val="32"/>
          <w:szCs w:val="32"/>
          <w:highlight w:val="none"/>
        </w:rPr>
        <w:t>从单一客户、同一客户两个维度来制定与其信用评级挂钩的授信额度上限</w:t>
      </w:r>
      <w:r>
        <w:rPr>
          <w:rFonts w:hint="eastAsia" w:ascii="仿宋_GB2312" w:hAnsi="宋体" w:eastAsia="仿宋_GB2312" w:cs="Arial"/>
          <w:sz w:val="32"/>
          <w:szCs w:val="32"/>
          <w:highlight w:val="none"/>
        </w:rPr>
        <w:t>。</w:t>
      </w:r>
      <w:r>
        <w:rPr>
          <w:rFonts w:hint="eastAsia" w:ascii="仿宋_GB2312" w:hAnsi="宋体" w:eastAsia="仿宋_GB2312" w:cs="Arial"/>
          <w:b/>
          <w:sz w:val="32"/>
          <w:szCs w:val="32"/>
          <w:highlight w:val="none"/>
        </w:rPr>
        <w:t>在授信使用时，同一客户内所有单一客户实际授信使用加总不得超过同一客户授信</w:t>
      </w:r>
      <w:r>
        <w:rPr>
          <w:rFonts w:hint="eastAsia" w:ascii="仿宋_GB2312" w:hAnsi="宋体" w:eastAsia="仿宋_GB2312" w:cs="Arial"/>
          <w:sz w:val="32"/>
          <w:szCs w:val="32"/>
          <w:highlight w:val="none"/>
        </w:rPr>
        <w:t>。有条件的证券公司可以在同一客户范围内考虑单一客户之间的控制关系，形成“子单元”，对单一客户进行授信的时候考虑客户本身及其子、孙公司情况并进行合并授信，每一“子单元”均遵循“子单元”内所有单一客户实际授信占用加总不得超过“子单元”母公司级客户授信，做到层层管控。</w:t>
      </w:r>
    </w:p>
    <w:p>
      <w:pPr>
        <w:adjustRightInd w:val="0"/>
        <w:snapToGrid w:val="0"/>
        <w:spacing w:line="640" w:lineRule="exact"/>
        <w:ind w:firstLine="642" w:firstLineChars="200"/>
        <w:rPr>
          <w:rFonts w:ascii="仿宋_GB2312" w:hAnsi="宋体" w:eastAsia="仿宋_GB2312" w:cs="Arial"/>
          <w:sz w:val="32"/>
          <w:szCs w:val="32"/>
          <w:highlight w:val="none"/>
        </w:rPr>
      </w:pPr>
      <w:r>
        <w:rPr>
          <w:rFonts w:hint="eastAsia" w:ascii="仿宋_GB2312" w:hAnsi="宋体" w:eastAsia="仿宋_GB2312" w:cs="Arial"/>
          <w:b/>
          <w:sz w:val="32"/>
          <w:szCs w:val="32"/>
          <w:highlight w:val="none"/>
        </w:rPr>
        <w:t>双维授信可以在全业务口径的整体授信层面以及业务品种层面实施</w:t>
      </w:r>
      <w:r>
        <w:rPr>
          <w:rFonts w:hint="eastAsia" w:ascii="仿宋_GB2312" w:hAnsi="宋体" w:eastAsia="仿宋_GB2312" w:cs="Arial"/>
          <w:sz w:val="32"/>
          <w:szCs w:val="32"/>
          <w:highlight w:val="none"/>
        </w:rPr>
        <w:t>。结合同一业务，业务品种层面的客户授信可以具体到同一业务的各层级，建立矩阵式授信体系。</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240" w:name="_Toc2939"/>
      <w:bookmarkStart w:id="241" w:name="_Toc114140416"/>
      <w:bookmarkStart w:id="242" w:name="_Toc31777"/>
      <w:bookmarkStart w:id="243" w:name="_Toc21013"/>
      <w:bookmarkStart w:id="244" w:name="_Toc24241"/>
      <w:r>
        <w:rPr>
          <w:rFonts w:hint="eastAsia" w:ascii="仿宋_GB2312" w:hAnsi="宋体" w:eastAsia="仿宋_GB2312" w:cs="Arial"/>
          <w:b/>
          <w:bCs/>
          <w:sz w:val="32"/>
          <w:szCs w:val="32"/>
          <w:highlight w:val="none"/>
        </w:rPr>
        <w:t>（3）可将隐秘关联关系应用到授信中</w:t>
      </w:r>
      <w:bookmarkEnd w:id="240"/>
      <w:bookmarkEnd w:id="241"/>
      <w:bookmarkEnd w:id="242"/>
      <w:bookmarkEnd w:id="243"/>
      <w:bookmarkEnd w:id="244"/>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在同一客户管理中，如果能将隐秘的关联关系识别出来并将有隐秘关联关系的客户认定为同一客户，可以在授信时将这些客户汇总考虑，能够更准确的管控这些隐秘关联客户的集中度风险。</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245" w:name="_Toc2672"/>
      <w:bookmarkStart w:id="246" w:name="_Toc31552"/>
      <w:bookmarkStart w:id="247" w:name="_Toc12666"/>
      <w:bookmarkStart w:id="248" w:name="_Toc114140417"/>
      <w:bookmarkStart w:id="249" w:name="_Toc26587"/>
      <w:r>
        <w:rPr>
          <w:rFonts w:hint="eastAsia" w:ascii="仿宋_GB2312" w:hAnsi="宋体" w:eastAsia="仿宋_GB2312" w:cs="Arial"/>
          <w:b/>
          <w:bCs/>
          <w:sz w:val="32"/>
          <w:szCs w:val="32"/>
          <w:highlight w:val="none"/>
        </w:rPr>
        <w:t>（4）在客户黑白名单管理中的应用</w:t>
      </w:r>
      <w:bookmarkEnd w:id="245"/>
      <w:bookmarkEnd w:id="246"/>
      <w:bookmarkEnd w:id="247"/>
      <w:bookmarkEnd w:id="248"/>
      <w:bookmarkEnd w:id="249"/>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证券公司在将单一客户纳入黑名单时考虑其同一客户关联关系，视情况将其关联方纳入黑名单；在制定白名单时考虑其关联方资质，更审慎把控白名单准入。</w:t>
      </w: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250" w:name="_Toc32273"/>
      <w:bookmarkStart w:id="251" w:name="_Toc3900"/>
      <w:bookmarkStart w:id="252" w:name="_Toc2008"/>
      <w:bookmarkStart w:id="253" w:name="_Toc25021"/>
      <w:bookmarkStart w:id="254" w:name="_Toc114140418"/>
      <w:bookmarkStart w:id="255" w:name="_Toc12035"/>
      <w:bookmarkStart w:id="256" w:name="_Toc30141"/>
      <w:bookmarkStart w:id="257" w:name="_Toc9552"/>
      <w:r>
        <w:rPr>
          <w:rFonts w:hint="eastAsia" w:ascii="仿宋_GB2312" w:hAnsi="宋体" w:eastAsia="仿宋_GB2312" w:cs="Arial"/>
          <w:b/>
          <w:bCs/>
          <w:sz w:val="32"/>
          <w:szCs w:val="32"/>
          <w:highlight w:val="none"/>
        </w:rPr>
        <w:t>2</w:t>
      </w:r>
      <w:bookmarkEnd w:id="250"/>
      <w:bookmarkEnd w:id="251"/>
      <w:bookmarkEnd w:id="252"/>
      <w:r>
        <w:rPr>
          <w:rFonts w:hint="eastAsia" w:ascii="仿宋_GB2312" w:hAnsi="宋体" w:eastAsia="仿宋_GB2312" w:cs="Arial"/>
          <w:b/>
          <w:bCs/>
          <w:sz w:val="32"/>
          <w:szCs w:val="32"/>
          <w:highlight w:val="none"/>
        </w:rPr>
        <w:t>.事中风险管理中在同一客户监控及预警方面的应用</w:t>
      </w:r>
      <w:bookmarkEnd w:id="253"/>
      <w:bookmarkEnd w:id="254"/>
      <w:bookmarkEnd w:id="255"/>
      <w:bookmarkEnd w:id="256"/>
      <w:bookmarkEnd w:id="257"/>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258" w:name="_Toc21791"/>
      <w:bookmarkStart w:id="259" w:name="_Toc25072"/>
      <w:bookmarkStart w:id="260" w:name="_Toc114140419"/>
      <w:bookmarkStart w:id="261" w:name="_Toc11108"/>
      <w:bookmarkStart w:id="262" w:name="_Toc29867"/>
      <w:r>
        <w:rPr>
          <w:rFonts w:hint="eastAsia" w:ascii="仿宋_GB2312" w:hAnsi="宋体" w:eastAsia="仿宋_GB2312" w:cs="Arial"/>
          <w:b/>
          <w:bCs/>
          <w:sz w:val="32"/>
          <w:szCs w:val="32"/>
          <w:highlight w:val="none"/>
        </w:rPr>
        <w:t>（1）应用于双维度信用风险监测、计量及加总</w:t>
      </w:r>
      <w:bookmarkEnd w:id="258"/>
      <w:bookmarkEnd w:id="259"/>
      <w:bookmarkEnd w:id="260"/>
      <w:bookmarkEnd w:id="261"/>
      <w:bookmarkEnd w:id="262"/>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借助于完善的系统，证券公司可以准确、及时地对</w:t>
      </w:r>
      <w:r>
        <w:rPr>
          <w:rFonts w:ascii="仿宋_GB2312" w:hAnsi="宋体" w:eastAsia="仿宋_GB2312" w:cs="Arial"/>
          <w:sz w:val="32"/>
          <w:szCs w:val="32"/>
          <w:highlight w:val="none"/>
        </w:rPr>
        <w:t>同一客户相关风险信息</w:t>
      </w:r>
      <w:r>
        <w:rPr>
          <w:rFonts w:hint="eastAsia" w:ascii="仿宋_GB2312" w:hAnsi="宋体" w:eastAsia="仿宋_GB2312" w:cs="Arial"/>
          <w:sz w:val="32"/>
          <w:szCs w:val="32"/>
          <w:highlight w:val="none"/>
        </w:rPr>
        <w:t>进行计量、汇总，建立完善的监测指标体系，对同一客户进行每日（T+1）监控。</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无论在个体与组合层面都涉及到单一客户及同一客户信用风险计量与监测。在个体层面，计量、监测单一及同一客户集中度风险以及信用风险敞口。在组合层面，证券公司对业务，特别是以信用风险为主要风险的业务，可以从单一客户、同一客户两个维度对客户集中度进行分析、评估、监测。</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无论在个体还是组合层面，都涉及到信用风险指标跨业务线的加总，证券公司可实施多指标各自加总，有条件的也可在此基础之上实施单一指标加总。多指标各自加总指从规模、当前敞口、潜在敞口等各类指标层面跨业务线加总，实现对单一客户、同一客户的多指标风险计量和监测。单一指标加总指从敞口的角度出发，针对例如场外衍生品等潜在和当前敞口计量结果可能差异极大的业务，通过对敞口指标合并转化，形成新的敞口指标，使之可与信用债等当前和潜在敞口计量结果基本一致的业务的敞口计量指标进行直接加总，实现对单一客户、同一客户在单一指标上的整体信用风险计量和监测。</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263" w:name="_Toc3482"/>
      <w:bookmarkStart w:id="264" w:name="_Toc25486"/>
      <w:bookmarkStart w:id="265" w:name="_Toc13574"/>
      <w:bookmarkStart w:id="266" w:name="_Toc114140420"/>
      <w:bookmarkStart w:id="267" w:name="_Toc32448"/>
      <w:r>
        <w:rPr>
          <w:rFonts w:hint="eastAsia" w:ascii="仿宋_GB2312" w:hAnsi="宋体" w:eastAsia="仿宋_GB2312" w:cs="Arial"/>
          <w:b/>
          <w:bCs/>
          <w:sz w:val="32"/>
          <w:szCs w:val="32"/>
          <w:highlight w:val="none"/>
        </w:rPr>
        <w:t>（</w:t>
      </w:r>
      <w:r>
        <w:rPr>
          <w:rFonts w:ascii="仿宋_GB2312" w:hAnsi="宋体" w:eastAsia="仿宋_GB2312" w:cs="Arial"/>
          <w:b/>
          <w:bCs/>
          <w:sz w:val="32"/>
          <w:szCs w:val="32"/>
          <w:highlight w:val="none"/>
        </w:rPr>
        <w:t>2</w:t>
      </w:r>
      <w:r>
        <w:rPr>
          <w:rFonts w:hint="eastAsia" w:ascii="仿宋_GB2312" w:hAnsi="宋体" w:eastAsia="仿宋_GB2312" w:cs="Arial"/>
          <w:b/>
          <w:bCs/>
          <w:sz w:val="32"/>
          <w:szCs w:val="32"/>
          <w:highlight w:val="none"/>
        </w:rPr>
        <w:t>）市场风险与信用风险预警的应用</w:t>
      </w:r>
      <w:bookmarkEnd w:id="263"/>
      <w:bookmarkEnd w:id="264"/>
      <w:bookmarkEnd w:id="265"/>
      <w:bookmarkEnd w:id="266"/>
      <w:bookmarkEnd w:id="267"/>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基于完善的同一客户管理基础，当单一客户出现市场风险因素或者信用风险因素方面的预警信号时，例如公开市场舆情、一级或者二级市场异常价格波动、与证券公司的业务出现违约或其他风险事件时，通过系统化的关联关系管理，可以迅速汇集证券公司与该客户及与其为同一客户的关联方开展的所有业务品种、业务规模、风险敞口等，进而迅速地采取相应的措施。</w:t>
      </w: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268" w:name="_Toc20956"/>
      <w:bookmarkStart w:id="269" w:name="_Toc8360"/>
      <w:bookmarkStart w:id="270" w:name="_Toc16523"/>
      <w:bookmarkStart w:id="271" w:name="_Toc10285"/>
      <w:bookmarkStart w:id="272" w:name="_Toc114140421"/>
      <w:bookmarkStart w:id="273" w:name="_Toc2702"/>
      <w:bookmarkStart w:id="274" w:name="_Toc16879"/>
      <w:bookmarkStart w:id="275" w:name="_Toc2385"/>
      <w:r>
        <w:rPr>
          <w:rFonts w:hint="eastAsia" w:ascii="仿宋_GB2312" w:hAnsi="宋体" w:eastAsia="仿宋_GB2312" w:cs="Arial"/>
          <w:b/>
          <w:bCs/>
          <w:sz w:val="32"/>
          <w:szCs w:val="32"/>
          <w:highlight w:val="none"/>
        </w:rPr>
        <w:t>3</w:t>
      </w:r>
      <w:bookmarkEnd w:id="268"/>
      <w:bookmarkEnd w:id="269"/>
      <w:bookmarkEnd w:id="270"/>
      <w:r>
        <w:rPr>
          <w:rFonts w:hint="eastAsia" w:ascii="仿宋_GB2312" w:hAnsi="宋体" w:eastAsia="仿宋_GB2312" w:cs="Arial"/>
          <w:b/>
          <w:bCs/>
          <w:sz w:val="32"/>
          <w:szCs w:val="32"/>
          <w:highlight w:val="none"/>
        </w:rPr>
        <w:t>.事后风险管理中在后续管理及风险处置方面的应用</w:t>
      </w:r>
      <w:bookmarkEnd w:id="271"/>
      <w:bookmarkEnd w:id="272"/>
      <w:bookmarkEnd w:id="273"/>
      <w:bookmarkEnd w:id="274"/>
      <w:bookmarkEnd w:id="275"/>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276" w:name="_Toc17521"/>
      <w:bookmarkStart w:id="277" w:name="_Toc114140422"/>
      <w:bookmarkStart w:id="278" w:name="_Toc15449"/>
      <w:bookmarkStart w:id="279" w:name="_Toc7202"/>
      <w:bookmarkStart w:id="280" w:name="_Toc31029"/>
      <w:r>
        <w:rPr>
          <w:rFonts w:hint="eastAsia" w:ascii="仿宋_GB2312" w:hAnsi="宋体" w:eastAsia="仿宋_GB2312" w:cs="Arial"/>
          <w:b/>
          <w:bCs/>
          <w:sz w:val="32"/>
          <w:szCs w:val="32"/>
          <w:highlight w:val="none"/>
        </w:rPr>
        <w:t>（1）同一客户可以应用于后续管理</w:t>
      </w:r>
      <w:bookmarkEnd w:id="276"/>
      <w:bookmarkEnd w:id="277"/>
      <w:bookmarkEnd w:id="278"/>
      <w:bookmarkEnd w:id="279"/>
      <w:bookmarkEnd w:id="280"/>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同一客户在证券承销、信用产品投资、场外衍生品、融资类等业务进行后续管理时的应用有两个方面。一方面可以从单一客户、同一客户两个维度进行后续管理。以关注池管理为例，可以分别建立单一客户关注池、同一客户关注池。另一方面，在后续管理中充分考虑客户的无业务关联方可以更好地掌握客户风险。</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281" w:name="_Toc30601"/>
      <w:bookmarkStart w:id="282" w:name="_Toc114140423"/>
      <w:bookmarkStart w:id="283" w:name="_Toc13482"/>
      <w:bookmarkStart w:id="284" w:name="_Toc17094"/>
      <w:bookmarkStart w:id="285" w:name="_Toc13455"/>
      <w:r>
        <w:rPr>
          <w:rFonts w:hint="eastAsia" w:ascii="仿宋_GB2312" w:hAnsi="宋体" w:eastAsia="仿宋_GB2312" w:cs="Arial"/>
          <w:b/>
          <w:bCs/>
          <w:sz w:val="32"/>
          <w:szCs w:val="32"/>
          <w:highlight w:val="none"/>
        </w:rPr>
        <w:t>（2）掌握关联关系有助于风险处置</w:t>
      </w:r>
      <w:bookmarkEnd w:id="281"/>
      <w:bookmarkEnd w:id="282"/>
      <w:bookmarkEnd w:id="283"/>
      <w:bookmarkEnd w:id="284"/>
      <w:bookmarkEnd w:id="285"/>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基于对同一客户关联关系、特别是隐秘的关联关系的掌握，当某一客户因出现违约等导致公司须向客户追索时，可以提高找到其关联方的效率进而提高风险处置的效率。</w:t>
      </w:r>
    </w:p>
    <w:p>
      <w:pPr>
        <w:adjustRightInd w:val="0"/>
        <w:snapToGrid w:val="0"/>
        <w:spacing w:line="640" w:lineRule="exact"/>
        <w:ind w:firstLine="640" w:firstLineChars="200"/>
        <w:outlineLvl w:val="0"/>
        <w:rPr>
          <w:rFonts w:ascii="黑体" w:hAnsi="黑体" w:eastAsia="黑体" w:cs="黑体"/>
          <w:bCs/>
          <w:sz w:val="32"/>
          <w:szCs w:val="32"/>
          <w:highlight w:val="none"/>
        </w:rPr>
      </w:pPr>
      <w:bookmarkStart w:id="286" w:name="_Toc29877"/>
      <w:bookmarkStart w:id="287" w:name="_Toc5163"/>
      <w:bookmarkStart w:id="288" w:name="_Toc3768"/>
      <w:bookmarkStart w:id="289" w:name="_Toc16787"/>
      <w:bookmarkStart w:id="290" w:name="_Toc8059"/>
      <w:bookmarkStart w:id="291" w:name="_Toc27959"/>
      <w:bookmarkStart w:id="292" w:name="_Toc111138396"/>
      <w:bookmarkStart w:id="293" w:name="_Toc14526"/>
      <w:bookmarkStart w:id="294" w:name="_Toc903984869_WPSOffice_Level1"/>
      <w:bookmarkStart w:id="295" w:name="_Toc114140424"/>
      <w:bookmarkStart w:id="296" w:name="_Toc15036"/>
      <w:bookmarkStart w:id="297" w:name="_Toc22996"/>
      <w:bookmarkStart w:id="298" w:name="_Toc22069"/>
      <w:bookmarkStart w:id="299" w:name="_Toc817"/>
      <w:bookmarkStart w:id="300" w:name="_Toc13239"/>
      <w:r>
        <w:rPr>
          <w:rFonts w:hint="eastAsia" w:ascii="黑体" w:hAnsi="黑体" w:eastAsia="黑体" w:cs="黑体"/>
          <w:bCs/>
          <w:sz w:val="32"/>
          <w:szCs w:val="32"/>
          <w:highlight w:val="none"/>
        </w:rPr>
        <w:t>四、</w:t>
      </w:r>
      <w:bookmarkEnd w:id="286"/>
      <w:bookmarkEnd w:id="287"/>
      <w:bookmarkEnd w:id="288"/>
      <w:bookmarkEnd w:id="289"/>
      <w:bookmarkEnd w:id="290"/>
      <w:r>
        <w:rPr>
          <w:rFonts w:hint="eastAsia" w:ascii="黑体" w:hAnsi="黑体" w:eastAsia="黑体" w:cs="黑体"/>
          <w:bCs/>
          <w:sz w:val="32"/>
          <w:szCs w:val="32"/>
          <w:highlight w:val="none"/>
        </w:rPr>
        <w:t>系统实现</w:t>
      </w:r>
      <w:bookmarkEnd w:id="291"/>
      <w:bookmarkEnd w:id="292"/>
      <w:bookmarkEnd w:id="293"/>
      <w:bookmarkEnd w:id="294"/>
      <w:bookmarkEnd w:id="295"/>
      <w:bookmarkEnd w:id="296"/>
      <w:bookmarkEnd w:id="297"/>
    </w:p>
    <w:p>
      <w:pPr>
        <w:adjustRightInd w:val="0"/>
        <w:snapToGrid w:val="0"/>
        <w:spacing w:line="640" w:lineRule="exact"/>
        <w:ind w:firstLine="642" w:firstLineChars="200"/>
        <w:outlineLvl w:val="1"/>
        <w:rPr>
          <w:rFonts w:ascii="仿宋_GB2312" w:hAnsi="宋体" w:eastAsia="仿宋_GB2312" w:cs="Arial"/>
          <w:b/>
          <w:bCs/>
          <w:sz w:val="32"/>
          <w:szCs w:val="32"/>
          <w:highlight w:val="none"/>
        </w:rPr>
      </w:pPr>
      <w:bookmarkStart w:id="301" w:name="_Toc2029819205_WPSOffice_Level2"/>
      <w:bookmarkStart w:id="302" w:name="_Toc11101"/>
      <w:bookmarkStart w:id="303" w:name="_Toc15095"/>
      <w:bookmarkStart w:id="304" w:name="_Toc114140425"/>
      <w:bookmarkStart w:id="305" w:name="_Toc25852"/>
      <w:bookmarkStart w:id="306" w:name="_Toc111138397"/>
      <w:bookmarkStart w:id="307" w:name="_Toc10850"/>
      <w:r>
        <w:rPr>
          <w:rFonts w:hint="eastAsia" w:ascii="仿宋_GB2312" w:hAnsi="宋体" w:eastAsia="仿宋_GB2312" w:cs="Arial"/>
          <w:b/>
          <w:bCs/>
          <w:sz w:val="32"/>
          <w:szCs w:val="32"/>
          <w:highlight w:val="none"/>
        </w:rPr>
        <w:t>（一）系统基础简介</w:t>
      </w:r>
      <w:bookmarkEnd w:id="301"/>
      <w:bookmarkEnd w:id="302"/>
      <w:bookmarkEnd w:id="303"/>
      <w:bookmarkEnd w:id="304"/>
      <w:bookmarkEnd w:id="305"/>
      <w:bookmarkEnd w:id="306"/>
      <w:bookmarkEnd w:id="307"/>
      <w:r>
        <w:rPr>
          <w:rFonts w:ascii="仿宋_GB2312" w:hAnsi="宋体" w:eastAsia="仿宋_GB2312" w:cs="Arial"/>
          <w:b/>
          <w:bCs/>
          <w:sz w:val="32"/>
          <w:szCs w:val="32"/>
          <w:highlight w:val="none"/>
        </w:rPr>
        <w:tab/>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同一业务、同一客户在系统方面需要实现的内容包括</w:t>
      </w:r>
      <w:r>
        <w:rPr>
          <w:rFonts w:hint="eastAsia" w:ascii="仿宋_GB2312" w:hAnsi="宋体" w:eastAsia="仿宋_GB2312" w:cs="Arial"/>
          <w:b/>
          <w:sz w:val="32"/>
          <w:szCs w:val="32"/>
          <w:highlight w:val="none"/>
        </w:rPr>
        <w:t>数据集市</w:t>
      </w:r>
      <w:r>
        <w:rPr>
          <w:rFonts w:hint="eastAsia" w:ascii="仿宋_GB2312" w:hAnsi="宋体" w:eastAsia="仿宋_GB2312" w:cs="Arial"/>
          <w:sz w:val="32"/>
          <w:szCs w:val="32"/>
          <w:highlight w:val="none"/>
        </w:rPr>
        <w:t>和</w:t>
      </w:r>
      <w:r>
        <w:rPr>
          <w:rFonts w:hint="eastAsia" w:ascii="仿宋_GB2312" w:hAnsi="宋体" w:eastAsia="仿宋_GB2312" w:cs="Arial"/>
          <w:b/>
          <w:sz w:val="32"/>
          <w:szCs w:val="32"/>
          <w:highlight w:val="none"/>
        </w:rPr>
        <w:t>系统服务</w:t>
      </w:r>
      <w:r>
        <w:rPr>
          <w:rFonts w:hint="eastAsia" w:ascii="仿宋_GB2312" w:hAnsi="宋体" w:eastAsia="仿宋_GB2312" w:cs="Arial"/>
          <w:sz w:val="32"/>
          <w:szCs w:val="32"/>
          <w:highlight w:val="none"/>
        </w:rPr>
        <w:t>两部分。</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同一业务、同一客户数据集市是指用于存储与同一业务、同一客户相关的各类风险信息的数据集，通常是风险数据集市的子集。通过建立数据模型，按照模型要求采集、加工并存储风险信息形成数据集市，实现全部风险信息的集中管理，为风险管理应用提供有效支撑。</w:t>
      </w:r>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系统服务分为若干模块，至少包括</w:t>
      </w:r>
      <w:r>
        <w:rPr>
          <w:rFonts w:hint="eastAsia" w:ascii="仿宋_GB2312" w:hAnsi="宋体" w:eastAsia="仿宋_GB2312" w:cs="Arial"/>
          <w:b/>
          <w:sz w:val="32"/>
          <w:szCs w:val="32"/>
          <w:highlight w:val="none"/>
        </w:rPr>
        <w:t>认定、定义、归集和</w:t>
      </w:r>
      <w:r>
        <w:rPr>
          <w:rFonts w:hint="eastAsia" w:ascii="仿宋_GB2312" w:hAnsi="宋体" w:eastAsia="仿宋_GB2312" w:cs="Arial"/>
          <w:b/>
          <w:bCs/>
          <w:sz w:val="32"/>
          <w:szCs w:val="32"/>
          <w:highlight w:val="none"/>
        </w:rPr>
        <w:t>各类</w:t>
      </w:r>
      <w:r>
        <w:rPr>
          <w:rFonts w:ascii="仿宋_GB2312" w:hAnsi="宋体" w:eastAsia="仿宋_GB2312" w:cs="Arial"/>
          <w:b/>
          <w:bCs/>
          <w:sz w:val="32"/>
          <w:szCs w:val="32"/>
          <w:highlight w:val="none"/>
        </w:rPr>
        <w:t>应用</w:t>
      </w:r>
      <w:r>
        <w:rPr>
          <w:rFonts w:hint="eastAsia" w:ascii="仿宋_GB2312" w:hAnsi="宋体" w:eastAsia="仿宋_GB2312" w:cs="Arial"/>
          <w:sz w:val="32"/>
          <w:szCs w:val="32"/>
          <w:highlight w:val="none"/>
        </w:rPr>
        <w:t>等模块。同一业务系统服务部分主要有同一业务定义、新业务新产品的同一业务归集、基本一致风控措施、集中度风险控制、每日（T+1）风险监测、风险分析预警等功能；同一客户系统服务部分主要有单一客户身份识别、同一客户认定、客户评级应用、授信管控、客户黑白名单、同一客户信用风险计量与监测、市场风险与信用风险预警、后续管理等功能。</w:t>
      </w:r>
    </w:p>
    <w:p>
      <w:pPr>
        <w:adjustRightInd w:val="0"/>
        <w:snapToGrid w:val="0"/>
        <w:spacing w:line="640" w:lineRule="exact"/>
        <w:jc w:val="center"/>
        <w:rPr>
          <w:rFonts w:ascii="黑体" w:hAnsi="黑体" w:eastAsia="黑体" w:cs="Arial"/>
          <w:sz w:val="28"/>
          <w:szCs w:val="28"/>
          <w:highlight w:val="none"/>
        </w:rPr>
      </w:pPr>
      <w:bookmarkStart w:id="308" w:name="_Toc10511"/>
      <w:bookmarkStart w:id="309" w:name="_Toc20317"/>
      <w:bookmarkStart w:id="310" w:name="_Toc32713"/>
      <w:bookmarkStart w:id="311" w:name="_Toc111138398"/>
      <w:r>
        <w:rPr>
          <w:rFonts w:hint="eastAsia" w:ascii="仿宋_GB2312" w:hAnsi="宋体" w:eastAsia="仿宋_GB2312" w:cs="Arial"/>
          <w:sz w:val="32"/>
          <w:szCs w:val="32"/>
          <w:highlight w:val="none"/>
        </w:rPr>
        <w:drawing>
          <wp:anchor distT="0" distB="0" distL="114300" distR="114300" simplePos="0" relativeHeight="251666432" behindDoc="0" locked="0" layoutInCell="1" allowOverlap="1">
            <wp:simplePos x="0" y="0"/>
            <wp:positionH relativeFrom="column">
              <wp:posOffset>67945</wp:posOffset>
            </wp:positionH>
            <wp:positionV relativeFrom="paragraph">
              <wp:posOffset>88900</wp:posOffset>
            </wp:positionV>
            <wp:extent cx="5276850" cy="2650490"/>
            <wp:effectExtent l="0" t="0" r="0" b="0"/>
            <wp:wrapTopAndBottom/>
            <wp:docPr id="16" name="图片 15" descr="图片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5" descr="图片3.png"/>
                    <pic:cNvPicPr>
                      <a:picLocks noChangeAspect="true"/>
                    </pic:cNvPicPr>
                  </pic:nvPicPr>
                  <pic:blipFill>
                    <a:blip r:embed="rId16"/>
                    <a:stretch>
                      <a:fillRect/>
                    </a:stretch>
                  </pic:blipFill>
                  <pic:spPr>
                    <a:xfrm>
                      <a:off x="0" y="0"/>
                      <a:ext cx="5276850" cy="2650490"/>
                    </a:xfrm>
                    <a:prstGeom prst="rect">
                      <a:avLst/>
                    </a:prstGeom>
                  </pic:spPr>
                </pic:pic>
              </a:graphicData>
            </a:graphic>
          </wp:anchor>
        </w:drawing>
      </w:r>
      <w:r>
        <w:rPr>
          <w:rFonts w:hint="eastAsia" w:ascii="仿宋_GB2312" w:hAnsi="宋体" w:eastAsia="仿宋_GB2312" w:cs="Arial"/>
          <w:sz w:val="32"/>
          <w:szCs w:val="32"/>
          <w:highlight w:val="none"/>
        </w:rPr>
        <w:t xml:space="preserve">   </w:t>
      </w:r>
      <w:r>
        <w:rPr>
          <w:rFonts w:hint="eastAsia" w:ascii="黑体" w:hAnsi="黑体" w:eastAsia="黑体" w:cs="Arial"/>
          <w:sz w:val="28"/>
          <w:szCs w:val="28"/>
          <w:highlight w:val="none"/>
        </w:rPr>
        <w:t>图8 同一业务、同一客户风险管理的系统实现</w:t>
      </w:r>
    </w:p>
    <w:p>
      <w:pPr>
        <w:spacing w:line="640" w:lineRule="exact"/>
        <w:ind w:firstLine="640" w:firstLineChars="200"/>
        <w:rPr>
          <w:rFonts w:ascii="仿宋_GB2312" w:hAnsi="宋体" w:eastAsia="仿宋_GB2312" w:cs="Arial"/>
          <w:sz w:val="32"/>
          <w:szCs w:val="32"/>
          <w:highlight w:val="none"/>
        </w:rPr>
      </w:pPr>
    </w:p>
    <w:p>
      <w:pPr>
        <w:adjustRightInd w:val="0"/>
        <w:snapToGrid w:val="0"/>
        <w:spacing w:line="640" w:lineRule="exact"/>
        <w:ind w:firstLine="642" w:firstLineChars="200"/>
        <w:outlineLvl w:val="1"/>
        <w:rPr>
          <w:rFonts w:ascii="仿宋_GB2312" w:hAnsi="宋体" w:eastAsia="仿宋_GB2312" w:cs="Arial"/>
          <w:b/>
          <w:bCs/>
          <w:sz w:val="32"/>
          <w:szCs w:val="32"/>
          <w:highlight w:val="none"/>
        </w:rPr>
      </w:pPr>
      <w:bookmarkStart w:id="312" w:name="_Toc895599955_WPSOffice_Level2"/>
      <w:bookmarkStart w:id="313" w:name="_Toc114140426"/>
      <w:bookmarkStart w:id="314" w:name="_Toc4687"/>
      <w:r>
        <w:rPr>
          <w:rFonts w:hint="eastAsia" w:ascii="仿宋_GB2312" w:hAnsi="宋体" w:eastAsia="仿宋_GB2312" w:cs="Arial"/>
          <w:b/>
          <w:bCs/>
          <w:sz w:val="32"/>
          <w:szCs w:val="32"/>
          <w:highlight w:val="none"/>
        </w:rPr>
        <w:t>（二）同一业务、同一客户数据集市</w:t>
      </w:r>
      <w:bookmarkEnd w:id="308"/>
      <w:bookmarkEnd w:id="309"/>
      <w:bookmarkEnd w:id="310"/>
      <w:bookmarkEnd w:id="311"/>
      <w:bookmarkEnd w:id="312"/>
      <w:bookmarkEnd w:id="313"/>
      <w:bookmarkEnd w:id="314"/>
    </w:p>
    <w:p>
      <w:pPr>
        <w:spacing w:line="640" w:lineRule="exact"/>
        <w:ind w:firstLine="642" w:firstLineChars="200"/>
        <w:rPr>
          <w:rFonts w:ascii="仿宋_GB2312" w:eastAsia="仿宋_GB2312"/>
          <w:sz w:val="32"/>
          <w:szCs w:val="32"/>
          <w:highlight w:val="none"/>
        </w:rPr>
      </w:pPr>
      <w:r>
        <w:rPr>
          <w:rFonts w:hint="eastAsia" w:ascii="仿宋_GB2312" w:eastAsia="仿宋_GB2312"/>
          <w:b/>
          <w:sz w:val="32"/>
          <w:szCs w:val="32"/>
          <w:highlight w:val="none"/>
        </w:rPr>
        <w:t>同一业务、同一客户数据集市的建立包括以下三个关键步骤：采集原始类风险数据，建立数据模型，按照模型要求存储原始类和加工类风险数据</w:t>
      </w:r>
      <w:r>
        <w:rPr>
          <w:rFonts w:hint="eastAsia" w:ascii="仿宋_GB2312" w:eastAsia="仿宋_GB2312"/>
          <w:sz w:val="32"/>
          <w:szCs w:val="32"/>
          <w:highlight w:val="none"/>
        </w:rPr>
        <w:t>。</w:t>
      </w: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315" w:name="_Toc6076"/>
      <w:bookmarkStart w:id="316" w:name="_Toc111138399"/>
      <w:bookmarkStart w:id="317" w:name="_Toc106796587"/>
      <w:bookmarkStart w:id="318" w:name="_Toc31542"/>
      <w:bookmarkStart w:id="319" w:name="_Toc7909"/>
      <w:bookmarkStart w:id="320" w:name="_Toc10923"/>
      <w:bookmarkStart w:id="321" w:name="_Toc114140427"/>
      <w:bookmarkStart w:id="322" w:name="_Toc2714"/>
      <w:bookmarkStart w:id="323" w:name="_Toc20633"/>
      <w:r>
        <w:rPr>
          <w:rFonts w:hint="eastAsia" w:ascii="仿宋_GB2312" w:hAnsi="宋体" w:eastAsia="仿宋_GB2312" w:cs="Arial"/>
          <w:b/>
          <w:bCs/>
          <w:sz w:val="32"/>
          <w:szCs w:val="32"/>
          <w:highlight w:val="none"/>
        </w:rPr>
        <w:t>1.采集原始类风险</w:t>
      </w:r>
      <w:bookmarkEnd w:id="315"/>
      <w:bookmarkEnd w:id="316"/>
      <w:bookmarkEnd w:id="317"/>
      <w:bookmarkEnd w:id="318"/>
      <w:r>
        <w:rPr>
          <w:rFonts w:hint="eastAsia" w:ascii="仿宋_GB2312" w:hAnsi="宋体" w:eastAsia="仿宋_GB2312" w:cs="Arial"/>
          <w:b/>
          <w:bCs/>
          <w:sz w:val="32"/>
          <w:szCs w:val="32"/>
          <w:highlight w:val="none"/>
        </w:rPr>
        <w:t>数据</w:t>
      </w:r>
      <w:bookmarkEnd w:id="319"/>
      <w:bookmarkEnd w:id="320"/>
      <w:bookmarkEnd w:id="321"/>
      <w:bookmarkEnd w:id="322"/>
      <w:bookmarkEnd w:id="323"/>
    </w:p>
    <w:p>
      <w:pPr>
        <w:adjustRightInd w:val="0"/>
        <w:snapToGrid w:val="0"/>
        <w:spacing w:line="640" w:lineRule="exact"/>
        <w:ind w:firstLine="642" w:firstLineChars="200"/>
        <w:outlineLvl w:val="3"/>
        <w:rPr>
          <w:rFonts w:ascii="仿宋_GB2312" w:eastAsia="仿宋_GB2312"/>
          <w:b/>
          <w:bCs/>
          <w:sz w:val="32"/>
          <w:szCs w:val="32"/>
          <w:highlight w:val="none"/>
        </w:rPr>
      </w:pPr>
      <w:bookmarkStart w:id="324" w:name="_Toc9992"/>
      <w:bookmarkStart w:id="325" w:name="_Toc111138400"/>
      <w:bookmarkStart w:id="326" w:name="_Toc14832"/>
      <w:bookmarkStart w:id="327" w:name="_Toc17374"/>
      <w:bookmarkStart w:id="328" w:name="_Toc20330"/>
      <w:bookmarkStart w:id="329" w:name="_Toc31589"/>
      <w:bookmarkStart w:id="330" w:name="_Toc114140428"/>
      <w:bookmarkStart w:id="331" w:name="_Toc16414"/>
      <w:bookmarkStart w:id="332" w:name="_Toc16368"/>
      <w:bookmarkStart w:id="333" w:name="_Toc2233"/>
      <w:bookmarkStart w:id="334" w:name="_Toc12486"/>
      <w:r>
        <w:rPr>
          <w:rFonts w:hint="eastAsia" w:ascii="仿宋_GB2312" w:eastAsia="仿宋_GB2312"/>
          <w:b/>
          <w:bCs/>
          <w:sz w:val="32"/>
          <w:szCs w:val="32"/>
          <w:highlight w:val="none"/>
        </w:rPr>
        <w:t>（1）</w:t>
      </w:r>
      <w:bookmarkEnd w:id="324"/>
      <w:r>
        <w:rPr>
          <w:rFonts w:hint="eastAsia" w:ascii="仿宋_GB2312" w:eastAsia="仿宋_GB2312"/>
          <w:b/>
          <w:bCs/>
          <w:sz w:val="32"/>
          <w:szCs w:val="32"/>
          <w:highlight w:val="none"/>
        </w:rPr>
        <w:t>明确数据分布</w:t>
      </w:r>
      <w:bookmarkEnd w:id="325"/>
      <w:r>
        <w:rPr>
          <w:rFonts w:hint="eastAsia" w:ascii="仿宋_GB2312" w:eastAsia="仿宋_GB2312"/>
          <w:b/>
          <w:bCs/>
          <w:sz w:val="32"/>
          <w:szCs w:val="32"/>
          <w:highlight w:val="none"/>
        </w:rPr>
        <w:t>和范围</w:t>
      </w:r>
      <w:bookmarkEnd w:id="326"/>
      <w:bookmarkEnd w:id="327"/>
      <w:bookmarkEnd w:id="328"/>
      <w:bookmarkEnd w:id="329"/>
      <w:bookmarkEnd w:id="330"/>
    </w:p>
    <w:bookmarkEnd w:id="331"/>
    <w:bookmarkEnd w:id="332"/>
    <w:bookmarkEnd w:id="333"/>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根据同一业务、同一客户风险信息收集的范围，明确风险信息的来源系统或渠道，细化每个风险信息对应的源系统数据表和字段，确定每个数据表的数据同步方式以及数据筛选条件。</w:t>
      </w:r>
    </w:p>
    <w:bookmarkEnd w:id="334"/>
    <w:p>
      <w:pPr>
        <w:adjustRightInd w:val="0"/>
        <w:snapToGrid w:val="0"/>
        <w:spacing w:line="640" w:lineRule="exact"/>
        <w:ind w:firstLine="642" w:firstLineChars="200"/>
        <w:outlineLvl w:val="3"/>
        <w:rPr>
          <w:rFonts w:ascii="仿宋_GB2312" w:eastAsia="仿宋_GB2312"/>
          <w:b/>
          <w:bCs/>
          <w:sz w:val="32"/>
          <w:szCs w:val="32"/>
          <w:highlight w:val="none"/>
        </w:rPr>
      </w:pPr>
      <w:bookmarkStart w:id="335" w:name="_Toc32145"/>
      <w:bookmarkStart w:id="336" w:name="_Toc2840"/>
      <w:bookmarkStart w:id="337" w:name="_Toc30570"/>
      <w:bookmarkStart w:id="338" w:name="_Toc24399"/>
      <w:bookmarkStart w:id="339" w:name="_Toc114140429"/>
      <w:bookmarkStart w:id="340" w:name="_Toc111138401"/>
      <w:bookmarkStart w:id="341" w:name="_Toc31906"/>
      <w:bookmarkStart w:id="342" w:name="_Toc2333"/>
      <w:bookmarkStart w:id="343" w:name="_Toc10749"/>
      <w:bookmarkStart w:id="344" w:name="_Toc29221"/>
      <w:bookmarkStart w:id="345" w:name="_Toc29710"/>
      <w:r>
        <w:rPr>
          <w:rFonts w:hint="eastAsia" w:ascii="仿宋_GB2312" w:eastAsia="仿宋_GB2312"/>
          <w:b/>
          <w:bCs/>
          <w:sz w:val="32"/>
          <w:szCs w:val="32"/>
          <w:highlight w:val="none"/>
        </w:rPr>
        <w:t>（2）</w:t>
      </w:r>
      <w:bookmarkEnd w:id="335"/>
      <w:bookmarkEnd w:id="336"/>
      <w:bookmarkEnd w:id="337"/>
      <w:r>
        <w:rPr>
          <w:rFonts w:hint="eastAsia" w:ascii="仿宋_GB2312" w:eastAsia="仿宋_GB2312"/>
          <w:b/>
          <w:bCs/>
          <w:sz w:val="32"/>
          <w:szCs w:val="32"/>
          <w:highlight w:val="none"/>
        </w:rPr>
        <w:t>确定采集控制规则</w:t>
      </w:r>
      <w:bookmarkEnd w:id="338"/>
      <w:bookmarkEnd w:id="339"/>
      <w:bookmarkEnd w:id="340"/>
      <w:bookmarkEnd w:id="341"/>
      <w:bookmarkEnd w:id="342"/>
      <w:bookmarkEnd w:id="343"/>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同一业务、同一客户风险信息采集控制规则包括数据采集时效设置、采集任务调度、数据质量控制三个方面。数据采集时效一般设置为T+1日采集或实时采集。采集任务调度是指在调度平台配置各采集任务的执行时间和先后顺序。数据质量控制包括采集过程检查和事后定期回溯两项工作。采集过程检查是指在采集过程中对数据的准确性、及时性、完整性进行前置校验；事后定期回溯是指在采集完成后定期比对采集数据与源数据是否一致。</w:t>
      </w:r>
    </w:p>
    <w:p>
      <w:pPr>
        <w:adjustRightInd w:val="0"/>
        <w:snapToGrid w:val="0"/>
        <w:spacing w:line="640" w:lineRule="exact"/>
        <w:ind w:firstLine="642" w:firstLineChars="200"/>
        <w:outlineLvl w:val="3"/>
        <w:rPr>
          <w:rFonts w:ascii="仿宋_GB2312" w:eastAsia="仿宋_GB2312"/>
          <w:b/>
          <w:bCs/>
          <w:sz w:val="32"/>
          <w:szCs w:val="32"/>
          <w:highlight w:val="none"/>
        </w:rPr>
      </w:pPr>
      <w:bookmarkStart w:id="346" w:name="_Toc14760"/>
      <w:bookmarkStart w:id="347" w:name="_Toc14199"/>
      <w:bookmarkStart w:id="348" w:name="_Toc8793"/>
      <w:bookmarkStart w:id="349" w:name="_Toc12760"/>
      <w:bookmarkStart w:id="350" w:name="_Toc9294"/>
      <w:bookmarkStart w:id="351" w:name="_Toc114140430"/>
      <w:bookmarkStart w:id="352" w:name="_Toc1733"/>
      <w:bookmarkStart w:id="353" w:name="_Toc111138402"/>
      <w:bookmarkStart w:id="354" w:name="_Toc11177"/>
      <w:r>
        <w:rPr>
          <w:rFonts w:hint="eastAsia" w:ascii="仿宋_GB2312" w:eastAsia="仿宋_GB2312"/>
          <w:b/>
          <w:bCs/>
          <w:sz w:val="32"/>
          <w:szCs w:val="32"/>
          <w:highlight w:val="none"/>
        </w:rPr>
        <w:t>（3）</w:t>
      </w:r>
      <w:bookmarkEnd w:id="344"/>
      <w:bookmarkEnd w:id="345"/>
      <w:bookmarkEnd w:id="346"/>
      <w:bookmarkEnd w:id="347"/>
      <w:bookmarkEnd w:id="348"/>
      <w:r>
        <w:rPr>
          <w:rFonts w:hint="eastAsia" w:ascii="仿宋_GB2312" w:eastAsia="仿宋_GB2312"/>
          <w:b/>
          <w:bCs/>
          <w:sz w:val="32"/>
          <w:szCs w:val="32"/>
          <w:highlight w:val="none"/>
        </w:rPr>
        <w:t>利用不同的方式进行采集</w:t>
      </w:r>
      <w:bookmarkEnd w:id="349"/>
      <w:bookmarkEnd w:id="350"/>
      <w:bookmarkEnd w:id="351"/>
      <w:bookmarkEnd w:id="352"/>
      <w:bookmarkEnd w:id="353"/>
      <w:bookmarkEnd w:id="354"/>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数据采集一般有推送和主动获取两种方式。目前通用的推送方式包括数据交换平台和源系统推送两种，其中数据交换平台方式可实现对交换的统一管理并利于追根溯源，能较好的保证数据的及时性和准确性，建议优先使用此方式采集数据。主动获取的方式一般包括数据库直连、文件读取、接口、手工数据补录等。</w:t>
      </w:r>
    </w:p>
    <w:p>
      <w:pPr>
        <w:adjustRightInd w:val="0"/>
        <w:snapToGrid w:val="0"/>
        <w:spacing w:line="640" w:lineRule="exact"/>
        <w:jc w:val="center"/>
        <w:rPr>
          <w:rFonts w:ascii="黑体" w:hAnsi="黑体" w:eastAsia="黑体" w:cs="Arial"/>
          <w:sz w:val="28"/>
          <w:szCs w:val="28"/>
          <w:highlight w:val="none"/>
        </w:rPr>
      </w:pPr>
      <w:r>
        <w:rPr>
          <w:rFonts w:hint="eastAsia" w:ascii="仿宋_GB2312" w:hAnsi="宋体" w:eastAsia="仿宋_GB2312" w:cs="Arial"/>
          <w:sz w:val="32"/>
          <w:szCs w:val="32"/>
          <w:highlight w:val="none"/>
        </w:rPr>
        <w:drawing>
          <wp:anchor distT="0" distB="0" distL="114300" distR="114300" simplePos="0" relativeHeight="251661312" behindDoc="0" locked="0" layoutInCell="1" allowOverlap="1">
            <wp:simplePos x="0" y="0"/>
            <wp:positionH relativeFrom="column">
              <wp:posOffset>53975</wp:posOffset>
            </wp:positionH>
            <wp:positionV relativeFrom="paragraph">
              <wp:posOffset>185420</wp:posOffset>
            </wp:positionV>
            <wp:extent cx="5276850" cy="2425700"/>
            <wp:effectExtent l="0" t="0" r="0" b="12700"/>
            <wp:wrapTopAndBottom/>
            <wp:docPr id="9" name="图片 8" descr="图片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descr="图片2.png"/>
                    <pic:cNvPicPr>
                      <a:picLocks noChangeAspect="true"/>
                    </pic:cNvPicPr>
                  </pic:nvPicPr>
                  <pic:blipFill>
                    <a:blip r:embed="rId17"/>
                    <a:stretch>
                      <a:fillRect/>
                    </a:stretch>
                  </pic:blipFill>
                  <pic:spPr>
                    <a:xfrm>
                      <a:off x="0" y="0"/>
                      <a:ext cx="5276850" cy="2425700"/>
                    </a:xfrm>
                    <a:prstGeom prst="rect">
                      <a:avLst/>
                    </a:prstGeom>
                  </pic:spPr>
                </pic:pic>
              </a:graphicData>
            </a:graphic>
          </wp:anchor>
        </w:drawing>
      </w:r>
      <w:r>
        <w:rPr>
          <w:rFonts w:hint="eastAsia" w:ascii="黑体" w:hAnsi="黑体" w:eastAsia="黑体" w:cs="Arial"/>
          <w:sz w:val="28"/>
          <w:szCs w:val="28"/>
          <w:highlight w:val="none"/>
        </w:rPr>
        <w:t>图9 风险信息采集</w:t>
      </w:r>
    </w:p>
    <w:p>
      <w:pPr>
        <w:adjustRightInd w:val="0"/>
        <w:snapToGrid w:val="0"/>
        <w:spacing w:line="640" w:lineRule="exact"/>
        <w:ind w:firstLine="640" w:firstLineChars="200"/>
        <w:rPr>
          <w:rFonts w:ascii="仿宋_GB2312" w:hAnsi="宋体" w:eastAsia="仿宋_GB2312" w:cs="Arial"/>
          <w:sz w:val="32"/>
          <w:szCs w:val="32"/>
          <w:highlight w:val="none"/>
        </w:rPr>
      </w:pP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355" w:name="_Toc114140431"/>
      <w:bookmarkStart w:id="356" w:name="_Toc23469"/>
      <w:bookmarkStart w:id="357" w:name="_Toc6260"/>
      <w:bookmarkStart w:id="358" w:name="_Toc106796588"/>
      <w:bookmarkStart w:id="359" w:name="_Toc23108"/>
      <w:bookmarkStart w:id="360" w:name="_Toc16090"/>
      <w:bookmarkStart w:id="361" w:name="_Toc2699"/>
      <w:bookmarkStart w:id="362" w:name="_Toc7950"/>
      <w:bookmarkStart w:id="363" w:name="_Toc111138403"/>
      <w:r>
        <w:rPr>
          <w:rFonts w:hint="eastAsia" w:ascii="仿宋_GB2312" w:hAnsi="宋体" w:eastAsia="仿宋_GB2312" w:cs="Arial"/>
          <w:b/>
          <w:bCs/>
          <w:sz w:val="32"/>
          <w:szCs w:val="32"/>
          <w:highlight w:val="none"/>
        </w:rPr>
        <w:t>2.建立数据模型</w:t>
      </w:r>
      <w:bookmarkEnd w:id="355"/>
      <w:bookmarkEnd w:id="356"/>
      <w:bookmarkEnd w:id="357"/>
      <w:bookmarkEnd w:id="358"/>
      <w:bookmarkEnd w:id="359"/>
      <w:bookmarkEnd w:id="360"/>
      <w:bookmarkEnd w:id="361"/>
      <w:bookmarkEnd w:id="362"/>
      <w:bookmarkEnd w:id="363"/>
    </w:p>
    <w:p>
      <w:pPr>
        <w:adjustRightInd w:val="0"/>
        <w:snapToGrid w:val="0"/>
        <w:spacing w:line="640" w:lineRule="exact"/>
        <w:ind w:firstLine="642" w:firstLineChars="200"/>
        <w:outlineLvl w:val="3"/>
        <w:rPr>
          <w:rFonts w:ascii="仿宋_GB2312" w:hAnsi="宋体" w:eastAsia="仿宋_GB2312" w:cs="Arial"/>
          <w:b/>
          <w:bCs/>
          <w:highlight w:val="none"/>
        </w:rPr>
      </w:pPr>
      <w:bookmarkStart w:id="364" w:name="_Toc24502"/>
      <w:bookmarkStart w:id="365" w:name="_Toc1570"/>
      <w:bookmarkStart w:id="366" w:name="_Toc16548"/>
      <w:bookmarkStart w:id="367" w:name="_Toc111138404"/>
      <w:bookmarkStart w:id="368" w:name="_Toc114140432"/>
      <w:bookmarkStart w:id="369" w:name="_Toc32176"/>
      <w:r>
        <w:rPr>
          <w:rFonts w:hint="eastAsia" w:ascii="仿宋_GB2312" w:hAnsi="宋体" w:eastAsia="仿宋_GB2312" w:cs="Arial"/>
          <w:b/>
          <w:bCs/>
          <w:sz w:val="32"/>
          <w:szCs w:val="32"/>
          <w:highlight w:val="none"/>
        </w:rPr>
        <w:t>（1）建立同一业务数据模型</w:t>
      </w:r>
      <w:bookmarkEnd w:id="364"/>
      <w:bookmarkEnd w:id="365"/>
      <w:bookmarkEnd w:id="366"/>
      <w:bookmarkEnd w:id="367"/>
      <w:bookmarkEnd w:id="368"/>
      <w:bookmarkEnd w:id="369"/>
    </w:p>
    <w:p>
      <w:pPr>
        <w:spacing w:line="640" w:lineRule="exact"/>
        <w:ind w:firstLine="642" w:firstLineChars="200"/>
        <w:rPr>
          <w:rFonts w:ascii="仿宋_GB2312" w:hAnsi="宋体" w:eastAsia="仿宋_GB2312" w:cs="Arial"/>
          <w:sz w:val="32"/>
          <w:szCs w:val="32"/>
          <w:highlight w:val="none"/>
        </w:rPr>
      </w:pPr>
      <w:r>
        <w:rPr>
          <w:rFonts w:hint="eastAsia" w:ascii="仿宋_GB2312" w:hAnsi="宋体" w:eastAsia="仿宋_GB2312" w:cs="Arial"/>
          <w:b/>
          <w:sz w:val="32"/>
          <w:szCs w:val="32"/>
          <w:highlight w:val="none"/>
        </w:rPr>
        <w:t>建立同一业务数据模型主要包括需求调研、概念模型设计、逻辑模型设计、物理模型设计和模型迭代五个步骤</w:t>
      </w:r>
      <w:r>
        <w:rPr>
          <w:rFonts w:hint="eastAsia" w:ascii="仿宋_GB2312" w:hAnsi="宋体" w:eastAsia="仿宋_GB2312" w:cs="Arial"/>
          <w:sz w:val="32"/>
          <w:szCs w:val="32"/>
          <w:highlight w:val="none"/>
        </w:rPr>
        <w:t>。在需求调研阶段评估业务数据能否满足同一业务的需求。概念模型设计是根据调研情况抽取关键业务概念并将之抽象化，确定领域内的业务实体以及实体间的关系，例如同一业务概念模型包括持仓、基本信息、行情、估值、账户和部门定义等实体。逻辑模型设计是在概念模型的基础上添加各个实体的属性信息并细化实体间关系形成逻辑模型，其中实体间关系主要是主外键关系、一对一、一对多或者多对多关系等。物理模型设计是根据逻辑模型生成执行脚本，在数据库中建立物理模型。模型迭代是指随着业务的深入或者变动，需要持续优化完善已有模型。</w:t>
      </w:r>
    </w:p>
    <w:p>
      <w:pPr>
        <w:adjustRightInd w:val="0"/>
        <w:snapToGrid w:val="0"/>
        <w:spacing w:line="640" w:lineRule="exact"/>
        <w:jc w:val="center"/>
        <w:rPr>
          <w:rFonts w:ascii="黑体" w:hAnsi="黑体" w:eastAsia="黑体" w:cs="Arial"/>
          <w:sz w:val="28"/>
          <w:szCs w:val="28"/>
          <w:highlight w:val="none"/>
        </w:rPr>
      </w:pPr>
      <w:bookmarkStart w:id="370" w:name="_Toc114140433"/>
      <w:bookmarkStart w:id="371" w:name="_Toc25624"/>
      <w:r>
        <w:rPr>
          <w:rFonts w:hint="eastAsia" w:ascii="仿宋_GB2312" w:hAnsi="宋体" w:eastAsia="仿宋_GB2312" w:cs="Arial"/>
          <w:sz w:val="32"/>
          <w:szCs w:val="32"/>
          <w:highlight w:val="none"/>
        </w:rPr>
        <w:drawing>
          <wp:anchor distT="0" distB="0" distL="114300" distR="114300" simplePos="0" relativeHeight="251671552" behindDoc="0" locked="0" layoutInCell="1" allowOverlap="1">
            <wp:simplePos x="0" y="0"/>
            <wp:positionH relativeFrom="column">
              <wp:posOffset>497205</wp:posOffset>
            </wp:positionH>
            <wp:positionV relativeFrom="paragraph">
              <wp:posOffset>52070</wp:posOffset>
            </wp:positionV>
            <wp:extent cx="4138295" cy="4132580"/>
            <wp:effectExtent l="0" t="0" r="14605" b="1270"/>
            <wp:wrapTopAndBottom/>
            <wp:docPr id="18" name="图片 17" descr="图片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7" descr="图片5.png"/>
                    <pic:cNvPicPr>
                      <a:picLocks noChangeAspect="true"/>
                    </pic:cNvPicPr>
                  </pic:nvPicPr>
                  <pic:blipFill>
                    <a:blip r:embed="rId18"/>
                    <a:stretch>
                      <a:fillRect/>
                    </a:stretch>
                  </pic:blipFill>
                  <pic:spPr>
                    <a:xfrm>
                      <a:off x="0" y="0"/>
                      <a:ext cx="4138295" cy="4132580"/>
                    </a:xfrm>
                    <a:prstGeom prst="rect">
                      <a:avLst/>
                    </a:prstGeom>
                  </pic:spPr>
                </pic:pic>
              </a:graphicData>
            </a:graphic>
          </wp:anchor>
        </w:drawing>
      </w:r>
      <w:r>
        <w:rPr>
          <w:rFonts w:hint="eastAsia" w:ascii="仿宋_GB2312" w:hAnsi="宋体" w:eastAsia="仿宋_GB2312" w:cs="Arial"/>
          <w:sz w:val="32"/>
          <w:szCs w:val="32"/>
          <w:highlight w:val="none"/>
        </w:rPr>
        <w:t xml:space="preserve">     </w:t>
      </w:r>
      <w:r>
        <w:rPr>
          <w:rFonts w:hint="eastAsia" w:ascii="黑体" w:hAnsi="黑体" w:eastAsia="黑体" w:cs="Arial"/>
          <w:sz w:val="28"/>
          <w:szCs w:val="28"/>
          <w:highlight w:val="none"/>
        </w:rPr>
        <w:t>图10 逻辑模型示例（债券）</w:t>
      </w:r>
      <w:bookmarkEnd w:id="370"/>
      <w:bookmarkEnd w:id="371"/>
    </w:p>
    <w:p>
      <w:pPr>
        <w:spacing w:line="640" w:lineRule="exact"/>
        <w:ind w:firstLine="640" w:firstLineChars="200"/>
        <w:rPr>
          <w:rFonts w:ascii="仿宋_GB2312" w:hAnsi="宋体" w:eastAsia="仿宋_GB2312" w:cs="Arial"/>
          <w:sz w:val="32"/>
          <w:szCs w:val="32"/>
          <w:highlight w:val="none"/>
        </w:rPr>
      </w:pP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372" w:name="_Toc19721"/>
      <w:bookmarkStart w:id="373" w:name="_Toc19990"/>
      <w:bookmarkStart w:id="374" w:name="_Toc26530"/>
      <w:bookmarkStart w:id="375" w:name="_Toc114140434"/>
      <w:bookmarkStart w:id="376" w:name="_Toc1839"/>
      <w:bookmarkStart w:id="377" w:name="_Toc111138405"/>
      <w:r>
        <w:rPr>
          <w:rFonts w:hint="eastAsia" w:ascii="仿宋_GB2312" w:hAnsi="宋体" w:eastAsia="仿宋_GB2312" w:cs="Arial"/>
          <w:b/>
          <w:bCs/>
          <w:sz w:val="32"/>
          <w:szCs w:val="32"/>
          <w:highlight w:val="none"/>
        </w:rPr>
        <w:t>（2）建立同一客户数据模型</w:t>
      </w:r>
      <w:bookmarkEnd w:id="372"/>
      <w:bookmarkEnd w:id="373"/>
      <w:bookmarkEnd w:id="374"/>
      <w:bookmarkEnd w:id="375"/>
      <w:bookmarkEnd w:id="376"/>
      <w:bookmarkEnd w:id="377"/>
    </w:p>
    <w:p>
      <w:pPr>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同一客户建模步骤与同一业务相同，但模型实体及实体间的关系与同一业务有所区别。同一客户概念模型增加了客户、同一客户关联关系等实体，且实体间的关系需要重新定义。</w:t>
      </w: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378" w:name="_Toc15048"/>
      <w:bookmarkStart w:id="379" w:name="_Toc106796589"/>
      <w:bookmarkStart w:id="380" w:name="_Toc20286"/>
      <w:bookmarkStart w:id="381" w:name="_Toc14286"/>
      <w:bookmarkStart w:id="382" w:name="_Toc114140435"/>
      <w:bookmarkStart w:id="383" w:name="_Toc111138407"/>
      <w:bookmarkStart w:id="384" w:name="_Toc8990"/>
      <w:bookmarkStart w:id="385" w:name="_Toc3446"/>
      <w:bookmarkStart w:id="386" w:name="_Toc32567"/>
      <w:r>
        <w:rPr>
          <w:rFonts w:hint="eastAsia" w:ascii="仿宋_GB2312" w:hAnsi="宋体" w:eastAsia="仿宋_GB2312" w:cs="Arial"/>
          <w:b/>
          <w:bCs/>
          <w:sz w:val="32"/>
          <w:szCs w:val="32"/>
          <w:highlight w:val="none"/>
        </w:rPr>
        <w:t>3.存储风险数据</w:t>
      </w:r>
      <w:bookmarkEnd w:id="378"/>
      <w:bookmarkEnd w:id="379"/>
      <w:bookmarkEnd w:id="380"/>
      <w:bookmarkEnd w:id="381"/>
      <w:bookmarkEnd w:id="382"/>
      <w:bookmarkEnd w:id="383"/>
      <w:bookmarkEnd w:id="384"/>
      <w:bookmarkEnd w:id="385"/>
      <w:bookmarkEnd w:id="386"/>
    </w:p>
    <w:p>
      <w:pPr>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通过数据集市存储同一业务、同一客户的原始类和加工类风险数据，实现全部风险数据的集中管理。首先，将采集到的风险数据按照数据模型的规则进行转换后存储进数据集市中，在存储过程中对于转换错误的数据进行记录，及时协调源系统进行修正。其次，将调用计量引擎计算后得到的加工类风险数据存储进数据集市中，存储内容包含日期、维度标签和指标值等要素。</w:t>
      </w:r>
    </w:p>
    <w:p>
      <w:pPr>
        <w:adjustRightInd w:val="0"/>
        <w:snapToGrid w:val="0"/>
        <w:spacing w:line="640" w:lineRule="exact"/>
        <w:ind w:firstLine="642" w:firstLineChars="200"/>
        <w:outlineLvl w:val="1"/>
        <w:rPr>
          <w:rFonts w:ascii="仿宋_GB2312" w:hAnsi="宋体" w:eastAsia="仿宋_GB2312" w:cs="Arial"/>
          <w:b/>
          <w:bCs/>
          <w:sz w:val="32"/>
          <w:szCs w:val="32"/>
          <w:highlight w:val="none"/>
        </w:rPr>
      </w:pPr>
      <w:bookmarkStart w:id="387" w:name="_Toc4162"/>
      <w:bookmarkStart w:id="388" w:name="_Toc4628"/>
      <w:bookmarkStart w:id="389" w:name="_Toc111138409"/>
      <w:bookmarkStart w:id="390" w:name="_Toc106796591"/>
      <w:bookmarkStart w:id="391" w:name="_Toc20361"/>
      <w:bookmarkStart w:id="392" w:name="_Toc7804"/>
      <w:bookmarkStart w:id="393" w:name="_Toc6004"/>
      <w:bookmarkStart w:id="394" w:name="_Toc114140436"/>
      <w:bookmarkStart w:id="395" w:name="_Toc14322"/>
      <w:bookmarkStart w:id="396" w:name="_Toc18927"/>
      <w:bookmarkStart w:id="397" w:name="_Toc1498516618_WPSOffice_Level2"/>
      <w:bookmarkStart w:id="398" w:name="_Toc12439"/>
      <w:bookmarkStart w:id="399" w:name="_Toc2268"/>
      <w:bookmarkStart w:id="400" w:name="_Toc4796"/>
      <w:bookmarkStart w:id="401" w:name="_Toc5086"/>
      <w:r>
        <w:rPr>
          <w:rFonts w:hint="eastAsia" w:ascii="仿宋_GB2312" w:hAnsi="宋体" w:eastAsia="仿宋_GB2312" w:cs="Arial"/>
          <w:b/>
          <w:bCs/>
          <w:sz w:val="32"/>
          <w:szCs w:val="32"/>
          <w:highlight w:val="none"/>
        </w:rPr>
        <w:t>（三）</w:t>
      </w:r>
      <w:bookmarkEnd w:id="387"/>
      <w:bookmarkEnd w:id="388"/>
      <w:r>
        <w:rPr>
          <w:rFonts w:hint="eastAsia" w:ascii="仿宋_GB2312" w:hAnsi="宋体" w:eastAsia="仿宋_GB2312" w:cs="Arial"/>
          <w:b/>
          <w:bCs/>
          <w:sz w:val="32"/>
          <w:szCs w:val="32"/>
          <w:highlight w:val="none"/>
        </w:rPr>
        <w:t>同一业务</w:t>
      </w:r>
      <w:bookmarkEnd w:id="389"/>
      <w:bookmarkEnd w:id="390"/>
      <w:bookmarkEnd w:id="391"/>
      <w:bookmarkEnd w:id="392"/>
      <w:r>
        <w:rPr>
          <w:rFonts w:hint="eastAsia" w:ascii="仿宋_GB2312" w:hAnsi="宋体" w:eastAsia="仿宋_GB2312" w:cs="Arial"/>
          <w:b/>
          <w:bCs/>
          <w:sz w:val="32"/>
          <w:szCs w:val="32"/>
          <w:highlight w:val="none"/>
        </w:rPr>
        <w:t>的系统服务</w:t>
      </w:r>
      <w:bookmarkEnd w:id="393"/>
      <w:bookmarkEnd w:id="394"/>
      <w:bookmarkEnd w:id="395"/>
      <w:bookmarkEnd w:id="396"/>
      <w:bookmarkEnd w:id="397"/>
      <w:bookmarkEnd w:id="398"/>
    </w:p>
    <w:bookmarkEnd w:id="399"/>
    <w:bookmarkEnd w:id="400"/>
    <w:bookmarkEnd w:id="401"/>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402" w:name="_Toc21607"/>
      <w:bookmarkStart w:id="403" w:name="_Toc111138410"/>
      <w:bookmarkStart w:id="404" w:name="_Toc106796592"/>
      <w:bookmarkStart w:id="405" w:name="_Toc114140437"/>
      <w:bookmarkStart w:id="406" w:name="_Toc12144"/>
      <w:bookmarkStart w:id="407" w:name="_Toc22409"/>
      <w:bookmarkStart w:id="408" w:name="_Toc11289"/>
      <w:bookmarkStart w:id="409" w:name="_Toc9174"/>
      <w:bookmarkStart w:id="410" w:name="_Toc25993"/>
      <w:r>
        <w:rPr>
          <w:rFonts w:hint="eastAsia" w:ascii="仿宋_GB2312" w:hAnsi="宋体" w:eastAsia="仿宋_GB2312" w:cs="Arial"/>
          <w:b/>
          <w:bCs/>
          <w:sz w:val="32"/>
          <w:szCs w:val="32"/>
          <w:highlight w:val="none"/>
        </w:rPr>
        <w:t>1.同一业务定义的系统实现</w:t>
      </w:r>
      <w:bookmarkEnd w:id="402"/>
      <w:bookmarkEnd w:id="403"/>
      <w:bookmarkEnd w:id="404"/>
      <w:bookmarkEnd w:id="405"/>
      <w:bookmarkEnd w:id="406"/>
      <w:bookmarkEnd w:id="407"/>
      <w:bookmarkEnd w:id="408"/>
      <w:bookmarkEnd w:id="409"/>
      <w:bookmarkEnd w:id="410"/>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根据同一业务不同视角的分类分层方法</w:t>
      </w:r>
      <w:r>
        <w:rPr>
          <w:rFonts w:ascii="仿宋_GB2312" w:hAnsi="宋体" w:eastAsia="仿宋_GB2312" w:cs="Arial"/>
          <w:sz w:val="32"/>
          <w:szCs w:val="32"/>
          <w:highlight w:val="none"/>
        </w:rPr>
        <w:t>，</w:t>
      </w:r>
      <w:r>
        <w:rPr>
          <w:rFonts w:hint="eastAsia" w:ascii="仿宋_GB2312" w:hAnsi="宋体" w:eastAsia="仿宋_GB2312" w:cs="Arial"/>
          <w:sz w:val="32"/>
          <w:szCs w:val="32"/>
          <w:highlight w:val="none"/>
        </w:rPr>
        <w:t>首先确定业务数据在该分类方法下的唯一标识，然后针对各视角的分类分层方法建立配置表并设置</w:t>
      </w:r>
      <w:r>
        <w:rPr>
          <w:rFonts w:ascii="仿宋_GB2312" w:hAnsi="宋体" w:eastAsia="仿宋_GB2312" w:cs="Arial"/>
          <w:sz w:val="32"/>
          <w:szCs w:val="32"/>
          <w:highlight w:val="none"/>
        </w:rPr>
        <w:t>多层级的标签</w:t>
      </w:r>
      <w:r>
        <w:rPr>
          <w:rFonts w:hint="eastAsia" w:ascii="仿宋_GB2312" w:hAnsi="宋体" w:eastAsia="仿宋_GB2312" w:cs="Arial"/>
          <w:sz w:val="32"/>
          <w:szCs w:val="32"/>
          <w:highlight w:val="none"/>
        </w:rPr>
        <w:t>，通过这些标签可实现同一业务的分类分层。</w:t>
      </w: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411" w:name="_Toc106796593"/>
      <w:bookmarkStart w:id="412" w:name="_Toc1823"/>
      <w:bookmarkStart w:id="413" w:name="_Toc14188"/>
      <w:bookmarkStart w:id="414" w:name="_Toc114140438"/>
      <w:bookmarkStart w:id="415" w:name="_Toc14667"/>
      <w:bookmarkStart w:id="416" w:name="_Toc21402"/>
      <w:bookmarkStart w:id="417" w:name="_Toc4126"/>
      <w:bookmarkStart w:id="418" w:name="_Toc111138411"/>
      <w:bookmarkStart w:id="419" w:name="_Toc22998"/>
      <w:r>
        <w:rPr>
          <w:rFonts w:hint="eastAsia" w:ascii="仿宋_GB2312" w:hAnsi="宋体" w:eastAsia="仿宋_GB2312" w:cs="Arial"/>
          <w:b/>
          <w:bCs/>
          <w:sz w:val="32"/>
          <w:szCs w:val="32"/>
          <w:highlight w:val="none"/>
        </w:rPr>
        <w:t>2.新业务新产品同一业务归集的系统实现</w:t>
      </w:r>
      <w:bookmarkEnd w:id="411"/>
      <w:bookmarkEnd w:id="412"/>
      <w:bookmarkEnd w:id="413"/>
      <w:bookmarkEnd w:id="414"/>
      <w:bookmarkEnd w:id="415"/>
      <w:bookmarkEnd w:id="416"/>
      <w:bookmarkEnd w:id="417"/>
      <w:bookmarkEnd w:id="418"/>
      <w:bookmarkEnd w:id="419"/>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根据新业务新产品归属的同一业务类别评估现有标签体系能否满足需要，如无法满足，则需要修改或新增标签，以实现新业务新产品的同一业务归集。</w:t>
      </w: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420" w:name="_Toc114140439"/>
      <w:bookmarkStart w:id="421" w:name="_Toc2064"/>
      <w:bookmarkStart w:id="422" w:name="_Toc19144"/>
      <w:bookmarkStart w:id="423" w:name="_Toc111138412"/>
      <w:bookmarkStart w:id="424" w:name="_Toc6232"/>
      <w:bookmarkStart w:id="425" w:name="_Toc20802"/>
      <w:bookmarkStart w:id="426" w:name="_Toc12971"/>
      <w:bookmarkStart w:id="427" w:name="_Toc106796594"/>
      <w:bookmarkStart w:id="428" w:name="_Toc10442"/>
      <w:r>
        <w:rPr>
          <w:rFonts w:hint="eastAsia" w:ascii="仿宋_GB2312" w:hAnsi="宋体" w:eastAsia="仿宋_GB2312" w:cs="Arial"/>
          <w:b/>
          <w:bCs/>
          <w:sz w:val="32"/>
          <w:szCs w:val="32"/>
          <w:highlight w:val="none"/>
        </w:rPr>
        <w:t>3.同一业务风险管理应用的系统实现</w:t>
      </w:r>
      <w:bookmarkEnd w:id="420"/>
      <w:bookmarkEnd w:id="421"/>
      <w:bookmarkEnd w:id="422"/>
      <w:bookmarkEnd w:id="423"/>
      <w:bookmarkEnd w:id="424"/>
      <w:bookmarkEnd w:id="425"/>
      <w:bookmarkEnd w:id="426"/>
      <w:bookmarkEnd w:id="427"/>
      <w:bookmarkEnd w:id="428"/>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429" w:name="_Toc114140440"/>
      <w:bookmarkStart w:id="430" w:name="_Toc111138413"/>
      <w:bookmarkStart w:id="431" w:name="_Toc2428"/>
      <w:bookmarkStart w:id="432" w:name="_Toc17386"/>
      <w:bookmarkStart w:id="433" w:name="_Toc25895"/>
      <w:bookmarkStart w:id="434" w:name="_Toc15962"/>
      <w:r>
        <w:rPr>
          <w:rFonts w:hint="eastAsia" w:ascii="仿宋_GB2312" w:hAnsi="宋体" w:eastAsia="仿宋_GB2312" w:cs="Arial"/>
          <w:b/>
          <w:bCs/>
          <w:sz w:val="32"/>
          <w:szCs w:val="32"/>
          <w:highlight w:val="none"/>
        </w:rPr>
        <w:t>（1）基本一致风控措施的系统实现</w:t>
      </w:r>
      <w:bookmarkEnd w:id="429"/>
      <w:bookmarkEnd w:id="430"/>
      <w:bookmarkEnd w:id="431"/>
      <w:bookmarkEnd w:id="432"/>
      <w:bookmarkEnd w:id="433"/>
      <w:bookmarkEnd w:id="434"/>
    </w:p>
    <w:p>
      <w:pPr>
        <w:adjustRightInd w:val="0"/>
        <w:snapToGrid w:val="0"/>
        <w:spacing w:line="640" w:lineRule="exact"/>
        <w:ind w:firstLine="640" w:firstLineChars="200"/>
        <w:rPr>
          <w:rFonts w:ascii="仿宋_GB2312" w:hAnsi="宋体" w:eastAsia="仿宋_GB2312" w:cs="Arial"/>
          <w:sz w:val="32"/>
          <w:szCs w:val="32"/>
          <w:highlight w:val="none"/>
        </w:rPr>
      </w:pPr>
      <w:r>
        <w:rPr>
          <w:rFonts w:ascii="仿宋_GB2312" w:hAnsi="宋体" w:eastAsia="仿宋_GB2312" w:cs="Arial"/>
          <w:sz w:val="32"/>
          <w:szCs w:val="32"/>
          <w:highlight w:val="none"/>
        </w:rPr>
        <w:t>同一业务基本一致的风控措施</w:t>
      </w:r>
      <w:r>
        <w:rPr>
          <w:rFonts w:hint="eastAsia" w:ascii="仿宋_GB2312" w:hAnsi="宋体" w:eastAsia="仿宋_GB2312" w:cs="Arial"/>
          <w:sz w:val="32"/>
          <w:szCs w:val="32"/>
          <w:highlight w:val="none"/>
        </w:rPr>
        <w:t>通常</w:t>
      </w:r>
      <w:r>
        <w:rPr>
          <w:rFonts w:ascii="仿宋_GB2312" w:hAnsi="宋体" w:eastAsia="仿宋_GB2312" w:cs="Arial"/>
          <w:sz w:val="32"/>
          <w:szCs w:val="32"/>
          <w:highlight w:val="none"/>
        </w:rPr>
        <w:t>通过业务</w:t>
      </w:r>
      <w:r>
        <w:rPr>
          <w:rFonts w:hint="eastAsia" w:ascii="仿宋_GB2312" w:hAnsi="宋体" w:eastAsia="仿宋_GB2312" w:cs="Arial"/>
          <w:sz w:val="32"/>
          <w:szCs w:val="32"/>
          <w:highlight w:val="none"/>
        </w:rPr>
        <w:t>系统前端控制</w:t>
      </w:r>
      <w:r>
        <w:rPr>
          <w:rFonts w:ascii="仿宋_GB2312" w:hAnsi="宋体" w:eastAsia="仿宋_GB2312" w:cs="Arial"/>
          <w:sz w:val="32"/>
          <w:szCs w:val="32"/>
          <w:highlight w:val="none"/>
        </w:rPr>
        <w:t>实现</w:t>
      </w:r>
      <w:r>
        <w:rPr>
          <w:rFonts w:hint="eastAsia" w:ascii="仿宋_GB2312" w:hAnsi="宋体" w:eastAsia="仿宋_GB2312" w:cs="Arial"/>
          <w:sz w:val="32"/>
          <w:szCs w:val="32"/>
          <w:highlight w:val="none"/>
        </w:rPr>
        <w:t>，例如证券公司将审批流程、准入控制、黑白名单等</w:t>
      </w:r>
      <w:r>
        <w:rPr>
          <w:rFonts w:ascii="仿宋_GB2312" w:hAnsi="宋体" w:eastAsia="仿宋_GB2312" w:cs="Arial"/>
          <w:sz w:val="32"/>
          <w:szCs w:val="32"/>
          <w:highlight w:val="none"/>
        </w:rPr>
        <w:t>风控措施对应的标准统一部署</w:t>
      </w:r>
      <w:r>
        <w:rPr>
          <w:rFonts w:hint="eastAsia" w:ascii="仿宋_GB2312" w:hAnsi="宋体" w:eastAsia="仿宋_GB2312" w:cs="Arial"/>
          <w:sz w:val="32"/>
          <w:szCs w:val="32"/>
          <w:highlight w:val="none"/>
        </w:rPr>
        <w:t>在各业务系统</w:t>
      </w:r>
      <w:r>
        <w:rPr>
          <w:rFonts w:ascii="仿宋_GB2312" w:hAnsi="宋体" w:eastAsia="仿宋_GB2312" w:cs="Arial"/>
          <w:sz w:val="32"/>
          <w:szCs w:val="32"/>
          <w:highlight w:val="none"/>
        </w:rPr>
        <w:t>中</w:t>
      </w:r>
      <w:r>
        <w:rPr>
          <w:rFonts w:hint="eastAsia" w:ascii="仿宋_GB2312" w:hAnsi="宋体" w:eastAsia="仿宋_GB2312" w:cs="Arial"/>
          <w:sz w:val="32"/>
          <w:szCs w:val="32"/>
          <w:highlight w:val="none"/>
        </w:rPr>
        <w:t>。</w:t>
      </w:r>
      <w:r>
        <w:rPr>
          <w:rFonts w:ascii="仿宋_GB2312" w:hAnsi="宋体" w:eastAsia="仿宋_GB2312" w:cs="Arial"/>
          <w:sz w:val="32"/>
          <w:szCs w:val="32"/>
          <w:highlight w:val="none"/>
        </w:rPr>
        <w:t>有条件的公司可以建立集中</w:t>
      </w:r>
      <w:r>
        <w:rPr>
          <w:rFonts w:hint="eastAsia" w:ascii="仿宋_GB2312" w:hAnsi="宋体" w:eastAsia="仿宋_GB2312" w:cs="Arial"/>
          <w:sz w:val="32"/>
          <w:szCs w:val="32"/>
          <w:highlight w:val="none"/>
        </w:rPr>
        <w:t>风险管控平台，将</w:t>
      </w:r>
      <w:r>
        <w:rPr>
          <w:rFonts w:ascii="仿宋_GB2312" w:hAnsi="宋体" w:eastAsia="仿宋_GB2312" w:cs="Arial"/>
          <w:sz w:val="32"/>
          <w:szCs w:val="32"/>
          <w:highlight w:val="none"/>
        </w:rPr>
        <w:t>标准统一部署在该平台</w:t>
      </w:r>
      <w:r>
        <w:rPr>
          <w:rFonts w:hint="eastAsia" w:ascii="仿宋_GB2312" w:hAnsi="宋体" w:eastAsia="仿宋_GB2312" w:cs="Arial"/>
          <w:sz w:val="32"/>
          <w:szCs w:val="32"/>
          <w:highlight w:val="none"/>
        </w:rPr>
        <w:t>，</w:t>
      </w:r>
      <w:r>
        <w:rPr>
          <w:rFonts w:ascii="仿宋_GB2312" w:hAnsi="宋体" w:eastAsia="仿宋_GB2312" w:cs="Arial"/>
          <w:sz w:val="32"/>
          <w:szCs w:val="32"/>
          <w:highlight w:val="none"/>
        </w:rPr>
        <w:t>通过</w:t>
      </w:r>
      <w:r>
        <w:rPr>
          <w:rFonts w:hint="eastAsia" w:ascii="仿宋_GB2312" w:hAnsi="宋体" w:eastAsia="仿宋_GB2312" w:cs="Arial"/>
          <w:sz w:val="32"/>
          <w:szCs w:val="32"/>
          <w:highlight w:val="none"/>
        </w:rPr>
        <w:t>与各</w:t>
      </w:r>
      <w:r>
        <w:rPr>
          <w:rFonts w:ascii="仿宋_GB2312" w:hAnsi="宋体" w:eastAsia="仿宋_GB2312" w:cs="Arial"/>
          <w:sz w:val="32"/>
          <w:szCs w:val="32"/>
          <w:highlight w:val="none"/>
        </w:rPr>
        <w:t>业务系统实时交互实现</w:t>
      </w:r>
      <w:r>
        <w:rPr>
          <w:rFonts w:hint="eastAsia" w:ascii="仿宋_GB2312" w:hAnsi="宋体" w:eastAsia="仿宋_GB2312" w:cs="Arial"/>
          <w:sz w:val="32"/>
          <w:szCs w:val="32"/>
          <w:highlight w:val="none"/>
        </w:rPr>
        <w:t>控制。</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435" w:name="_Toc14711"/>
      <w:bookmarkStart w:id="436" w:name="_Toc13885"/>
      <w:bookmarkStart w:id="437" w:name="_Toc1207"/>
      <w:bookmarkStart w:id="438" w:name="_Toc28040"/>
      <w:bookmarkStart w:id="439" w:name="_Toc114140441"/>
      <w:r>
        <w:rPr>
          <w:rFonts w:hint="eastAsia" w:ascii="仿宋_GB2312" w:hAnsi="宋体" w:eastAsia="仿宋_GB2312" w:cs="Arial"/>
          <w:b/>
          <w:bCs/>
          <w:sz w:val="32"/>
          <w:szCs w:val="32"/>
          <w:highlight w:val="none"/>
        </w:rPr>
        <w:t>（2）</w:t>
      </w:r>
      <w:r>
        <w:rPr>
          <w:rFonts w:ascii="仿宋_GB2312" w:hAnsi="宋体" w:eastAsia="仿宋_GB2312" w:cs="Arial"/>
          <w:b/>
          <w:bCs/>
          <w:sz w:val="32"/>
          <w:szCs w:val="32"/>
          <w:highlight w:val="none"/>
        </w:rPr>
        <w:t>集中度风险控制的系统实现</w:t>
      </w:r>
      <w:bookmarkEnd w:id="435"/>
      <w:bookmarkEnd w:id="436"/>
      <w:bookmarkEnd w:id="437"/>
      <w:bookmarkEnd w:id="438"/>
      <w:bookmarkEnd w:id="439"/>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集中度风险控制可以分为事前控制或事后监测两种。事前控制可以按照同一业务</w:t>
      </w:r>
      <w:r>
        <w:rPr>
          <w:rFonts w:ascii="仿宋_GB2312" w:hAnsi="宋体" w:eastAsia="仿宋_GB2312" w:cs="Arial"/>
          <w:sz w:val="32"/>
          <w:szCs w:val="32"/>
          <w:highlight w:val="none"/>
        </w:rPr>
        <w:t>各层级、各维度</w:t>
      </w:r>
      <w:r>
        <w:rPr>
          <w:rFonts w:hint="eastAsia" w:ascii="仿宋_GB2312" w:hAnsi="宋体" w:eastAsia="仿宋_GB2312" w:cs="Arial"/>
          <w:sz w:val="32"/>
          <w:szCs w:val="32"/>
          <w:highlight w:val="none"/>
        </w:rPr>
        <w:t>定义</w:t>
      </w:r>
      <w:r>
        <w:rPr>
          <w:rFonts w:ascii="仿宋_GB2312" w:hAnsi="宋体" w:eastAsia="仿宋_GB2312" w:cs="Arial"/>
          <w:sz w:val="32"/>
          <w:szCs w:val="32"/>
          <w:highlight w:val="none"/>
        </w:rPr>
        <w:t>的集中度指标</w:t>
      </w:r>
      <w:r>
        <w:rPr>
          <w:rFonts w:hint="eastAsia" w:ascii="仿宋_GB2312" w:hAnsi="宋体" w:eastAsia="仿宋_GB2312" w:cs="Arial"/>
          <w:sz w:val="32"/>
          <w:szCs w:val="32"/>
          <w:highlight w:val="none"/>
        </w:rPr>
        <w:t>限额</w:t>
      </w:r>
      <w:r>
        <w:rPr>
          <w:rFonts w:ascii="仿宋_GB2312" w:hAnsi="宋体" w:eastAsia="仿宋_GB2312" w:cs="Arial"/>
          <w:sz w:val="32"/>
          <w:szCs w:val="32"/>
          <w:highlight w:val="none"/>
        </w:rPr>
        <w:t>，在业务系统</w:t>
      </w:r>
      <w:r>
        <w:rPr>
          <w:rFonts w:hint="eastAsia" w:ascii="仿宋_GB2312" w:hAnsi="宋体" w:eastAsia="仿宋_GB2312" w:cs="Arial"/>
          <w:sz w:val="32"/>
          <w:szCs w:val="32"/>
          <w:highlight w:val="none"/>
        </w:rPr>
        <w:t>配置</w:t>
      </w:r>
      <w:r>
        <w:rPr>
          <w:rFonts w:ascii="仿宋_GB2312" w:hAnsi="宋体" w:eastAsia="仿宋_GB2312" w:cs="Arial"/>
          <w:sz w:val="32"/>
          <w:szCs w:val="32"/>
          <w:highlight w:val="none"/>
        </w:rPr>
        <w:t>相应的前端控制</w:t>
      </w:r>
      <w:r>
        <w:rPr>
          <w:rFonts w:hint="eastAsia" w:ascii="仿宋_GB2312" w:hAnsi="宋体" w:eastAsia="仿宋_GB2312" w:cs="Arial"/>
          <w:sz w:val="32"/>
          <w:szCs w:val="32"/>
          <w:highlight w:val="none"/>
        </w:rPr>
        <w:t>阈值</w:t>
      </w:r>
      <w:r>
        <w:rPr>
          <w:rFonts w:ascii="仿宋_GB2312" w:hAnsi="宋体" w:eastAsia="仿宋_GB2312" w:cs="Arial"/>
          <w:sz w:val="32"/>
          <w:szCs w:val="32"/>
          <w:highlight w:val="none"/>
        </w:rPr>
        <w:t>，</w:t>
      </w:r>
      <w:r>
        <w:rPr>
          <w:rFonts w:hint="eastAsia" w:ascii="仿宋_GB2312" w:hAnsi="宋体" w:eastAsia="仿宋_GB2312" w:cs="Arial"/>
          <w:sz w:val="32"/>
          <w:szCs w:val="32"/>
          <w:highlight w:val="none"/>
        </w:rPr>
        <w:t>由</w:t>
      </w:r>
      <w:r>
        <w:rPr>
          <w:rFonts w:ascii="仿宋_GB2312" w:hAnsi="宋体" w:eastAsia="仿宋_GB2312" w:cs="Arial"/>
          <w:sz w:val="32"/>
          <w:szCs w:val="32"/>
          <w:highlight w:val="none"/>
        </w:rPr>
        <w:t>业务系统进行提示并拦截。</w:t>
      </w:r>
      <w:r>
        <w:rPr>
          <w:rFonts w:hint="eastAsia" w:ascii="仿宋_GB2312" w:hAnsi="宋体" w:eastAsia="仿宋_GB2312" w:cs="Arial"/>
          <w:sz w:val="32"/>
          <w:szCs w:val="32"/>
          <w:highlight w:val="none"/>
        </w:rPr>
        <w:t>事后监测是由</w:t>
      </w:r>
      <w:r>
        <w:rPr>
          <w:rFonts w:ascii="仿宋_GB2312" w:hAnsi="宋体" w:eastAsia="仿宋_GB2312" w:cs="Arial"/>
          <w:sz w:val="32"/>
          <w:szCs w:val="32"/>
          <w:highlight w:val="none"/>
        </w:rPr>
        <w:t>风险管理系统计量各层级、各维度相应的集中度指标，如指标预警或超限则推送</w:t>
      </w:r>
      <w:r>
        <w:rPr>
          <w:rFonts w:hint="eastAsia" w:ascii="仿宋_GB2312" w:hAnsi="宋体" w:eastAsia="仿宋_GB2312" w:cs="Arial"/>
          <w:sz w:val="32"/>
          <w:szCs w:val="32"/>
          <w:highlight w:val="none"/>
        </w:rPr>
        <w:t>至</w:t>
      </w:r>
      <w:r>
        <w:rPr>
          <w:rFonts w:ascii="仿宋_GB2312" w:hAnsi="宋体" w:eastAsia="仿宋_GB2312" w:cs="Arial"/>
          <w:sz w:val="32"/>
          <w:szCs w:val="32"/>
          <w:highlight w:val="none"/>
        </w:rPr>
        <w:t>业务部门及风险管理部对</w:t>
      </w:r>
      <w:r>
        <w:rPr>
          <w:rFonts w:hint="eastAsia" w:ascii="仿宋_GB2312" w:hAnsi="宋体" w:eastAsia="仿宋_GB2312" w:cs="Arial"/>
          <w:sz w:val="32"/>
          <w:szCs w:val="32"/>
          <w:highlight w:val="none"/>
        </w:rPr>
        <w:t>应</w:t>
      </w:r>
      <w:r>
        <w:rPr>
          <w:rFonts w:ascii="仿宋_GB2312" w:hAnsi="宋体" w:eastAsia="仿宋_GB2312" w:cs="Arial"/>
          <w:sz w:val="32"/>
          <w:szCs w:val="32"/>
          <w:highlight w:val="none"/>
        </w:rPr>
        <w:t>监测人员</w:t>
      </w:r>
      <w:r>
        <w:rPr>
          <w:rFonts w:hint="eastAsia" w:ascii="仿宋_GB2312" w:hAnsi="宋体" w:eastAsia="仿宋_GB2312" w:cs="Arial"/>
          <w:sz w:val="32"/>
          <w:szCs w:val="32"/>
          <w:highlight w:val="none"/>
        </w:rPr>
        <w:t>进行处理</w:t>
      </w:r>
      <w:r>
        <w:rPr>
          <w:rFonts w:ascii="仿宋_GB2312" w:hAnsi="宋体" w:eastAsia="仿宋_GB2312" w:cs="Arial"/>
          <w:sz w:val="32"/>
          <w:szCs w:val="32"/>
          <w:highlight w:val="none"/>
        </w:rPr>
        <w:t>。</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440" w:name="_Toc10433"/>
      <w:bookmarkStart w:id="441" w:name="_Toc114140442"/>
      <w:bookmarkStart w:id="442" w:name="_Toc31439"/>
      <w:bookmarkStart w:id="443" w:name="_Toc111138414"/>
      <w:bookmarkStart w:id="444" w:name="_Toc4178"/>
      <w:bookmarkStart w:id="445" w:name="_Toc26974"/>
      <w:r>
        <w:rPr>
          <w:rFonts w:hint="eastAsia" w:ascii="仿宋_GB2312" w:hAnsi="宋体" w:eastAsia="仿宋_GB2312" w:cs="Arial"/>
          <w:b/>
          <w:bCs/>
          <w:sz w:val="32"/>
          <w:szCs w:val="32"/>
          <w:highlight w:val="none"/>
        </w:rPr>
        <w:t>（3）每日（T+1）风险监测的系统实现</w:t>
      </w:r>
      <w:bookmarkEnd w:id="440"/>
      <w:bookmarkEnd w:id="441"/>
      <w:bookmarkEnd w:id="442"/>
      <w:bookmarkEnd w:id="443"/>
      <w:bookmarkEnd w:id="444"/>
      <w:bookmarkEnd w:id="445"/>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系统建立同一业务风险指标体系，读取数据集市中存储的各层级、各维度的风险指标，并按需进行加总，实现集团、部门、业务线等层面的T+1日监测。</w:t>
      </w:r>
    </w:p>
    <w:p>
      <w:pPr>
        <w:adjustRightInd w:val="0"/>
        <w:snapToGrid w:val="0"/>
        <w:spacing w:line="640" w:lineRule="exact"/>
        <w:ind w:firstLine="642" w:firstLineChars="200"/>
        <w:outlineLvl w:val="3"/>
        <w:rPr>
          <w:rFonts w:ascii="仿宋_GB2312" w:hAnsi="宋体" w:eastAsia="仿宋_GB2312" w:cs="Arial"/>
          <w:b/>
          <w:bCs/>
          <w:sz w:val="32"/>
          <w:szCs w:val="32"/>
          <w:highlight w:val="none"/>
        </w:rPr>
      </w:pPr>
      <w:bookmarkStart w:id="446" w:name="_Toc114140443"/>
      <w:bookmarkStart w:id="447" w:name="_Toc15590"/>
      <w:bookmarkStart w:id="448" w:name="_Toc29416"/>
      <w:bookmarkStart w:id="449" w:name="_Toc9374"/>
      <w:bookmarkStart w:id="450" w:name="_Toc16539"/>
      <w:r>
        <w:rPr>
          <w:rFonts w:hint="eastAsia" w:ascii="仿宋_GB2312" w:hAnsi="宋体" w:eastAsia="仿宋_GB2312" w:cs="Arial"/>
          <w:b/>
          <w:bCs/>
          <w:sz w:val="32"/>
          <w:szCs w:val="32"/>
          <w:highlight w:val="none"/>
        </w:rPr>
        <w:t>（4）风险分析、预警的系统实现</w:t>
      </w:r>
      <w:bookmarkEnd w:id="446"/>
      <w:bookmarkEnd w:id="447"/>
      <w:bookmarkEnd w:id="448"/>
      <w:bookmarkEnd w:id="449"/>
      <w:bookmarkEnd w:id="450"/>
    </w:p>
    <w:p>
      <w:pPr>
        <w:spacing w:line="640" w:lineRule="exact"/>
        <w:ind w:firstLine="640" w:firstLineChars="200"/>
        <w:rPr>
          <w:rFonts w:ascii="仿宋_GB2312" w:eastAsia="仿宋_GB2312"/>
          <w:sz w:val="32"/>
          <w:szCs w:val="32"/>
          <w:highlight w:val="none"/>
        </w:rPr>
      </w:pPr>
      <w:bookmarkStart w:id="451" w:name="_Toc10208"/>
      <w:bookmarkStart w:id="452" w:name="_Toc15942"/>
      <w:bookmarkStart w:id="453" w:name="_Toc31337"/>
      <w:bookmarkStart w:id="454" w:name="_Toc24849"/>
      <w:bookmarkStart w:id="455" w:name="_Toc31264"/>
      <w:bookmarkStart w:id="456" w:name="_Toc7159"/>
      <w:bookmarkStart w:id="457" w:name="_Toc111138415"/>
      <w:bookmarkStart w:id="458" w:name="_Toc106796595"/>
      <w:bookmarkStart w:id="459" w:name="_Toc22895"/>
      <w:r>
        <w:rPr>
          <w:rFonts w:ascii="仿宋_GB2312" w:eastAsia="仿宋_GB2312"/>
          <w:sz w:val="32"/>
          <w:szCs w:val="32"/>
          <w:highlight w:val="none"/>
        </w:rPr>
        <w:t>同一业务的风险分析</w:t>
      </w:r>
      <w:r>
        <w:rPr>
          <w:rFonts w:hint="eastAsia" w:ascii="仿宋_GB2312" w:eastAsia="仿宋_GB2312"/>
          <w:sz w:val="32"/>
          <w:szCs w:val="32"/>
          <w:highlight w:val="none"/>
        </w:rPr>
        <w:t>、</w:t>
      </w:r>
      <w:r>
        <w:rPr>
          <w:rFonts w:ascii="仿宋_GB2312" w:eastAsia="仿宋_GB2312"/>
          <w:sz w:val="32"/>
          <w:szCs w:val="32"/>
          <w:highlight w:val="none"/>
        </w:rPr>
        <w:t>预警包括以下功能</w:t>
      </w:r>
      <w:r>
        <w:rPr>
          <w:rFonts w:hint="eastAsia" w:ascii="仿宋_GB2312" w:eastAsia="仿宋_GB2312"/>
          <w:sz w:val="32"/>
          <w:szCs w:val="32"/>
          <w:highlight w:val="none"/>
        </w:rPr>
        <w:t>：</w:t>
      </w:r>
      <w:r>
        <w:rPr>
          <w:rFonts w:ascii="仿宋_GB2312" w:eastAsia="仿宋_GB2312"/>
          <w:sz w:val="32"/>
          <w:szCs w:val="32"/>
          <w:highlight w:val="none"/>
        </w:rPr>
        <w:t>通过</w:t>
      </w:r>
      <w:r>
        <w:rPr>
          <w:rFonts w:hint="eastAsia" w:ascii="仿宋_GB2312" w:eastAsia="仿宋_GB2312"/>
          <w:sz w:val="32"/>
          <w:szCs w:val="32"/>
          <w:highlight w:val="none"/>
        </w:rPr>
        <w:t>多维图表</w:t>
      </w:r>
      <w:r>
        <w:rPr>
          <w:rFonts w:ascii="仿宋_GB2312" w:eastAsia="仿宋_GB2312"/>
          <w:sz w:val="32"/>
          <w:szCs w:val="32"/>
          <w:highlight w:val="none"/>
        </w:rPr>
        <w:t>等工具，展示同一业务</w:t>
      </w:r>
      <w:r>
        <w:rPr>
          <w:rFonts w:hint="eastAsia" w:ascii="仿宋_GB2312" w:eastAsia="仿宋_GB2312"/>
          <w:sz w:val="32"/>
          <w:szCs w:val="32"/>
          <w:highlight w:val="none"/>
        </w:rPr>
        <w:t>各层级、</w:t>
      </w:r>
      <w:r>
        <w:rPr>
          <w:rFonts w:ascii="仿宋_GB2312" w:eastAsia="仿宋_GB2312"/>
          <w:sz w:val="32"/>
          <w:szCs w:val="32"/>
          <w:highlight w:val="none"/>
        </w:rPr>
        <w:t>各维度的风险贡献度，协助业务人员进行风险归因分析</w:t>
      </w:r>
      <w:r>
        <w:rPr>
          <w:rFonts w:hint="eastAsia" w:ascii="仿宋_GB2312" w:eastAsia="仿宋_GB2312"/>
          <w:sz w:val="32"/>
          <w:szCs w:val="32"/>
          <w:highlight w:val="none"/>
        </w:rPr>
        <w:t>；</w:t>
      </w:r>
      <w:r>
        <w:rPr>
          <w:rFonts w:ascii="仿宋_GB2312" w:eastAsia="仿宋_GB2312"/>
          <w:sz w:val="32"/>
          <w:szCs w:val="32"/>
          <w:highlight w:val="none"/>
        </w:rPr>
        <w:t>系统</w:t>
      </w:r>
      <w:r>
        <w:rPr>
          <w:rFonts w:hint="eastAsia" w:ascii="仿宋_GB2312" w:eastAsia="仿宋_GB2312"/>
          <w:sz w:val="32"/>
          <w:szCs w:val="32"/>
          <w:highlight w:val="none"/>
        </w:rPr>
        <w:t>提供自助查询比对功能</w:t>
      </w:r>
      <w:r>
        <w:rPr>
          <w:rFonts w:ascii="仿宋_GB2312" w:eastAsia="仿宋_GB2312"/>
          <w:sz w:val="32"/>
          <w:szCs w:val="32"/>
          <w:highlight w:val="none"/>
        </w:rPr>
        <w:t>，以</w:t>
      </w:r>
      <w:r>
        <w:rPr>
          <w:rFonts w:hint="eastAsia" w:ascii="仿宋_GB2312" w:eastAsia="仿宋_GB2312"/>
          <w:sz w:val="32"/>
          <w:szCs w:val="32"/>
          <w:highlight w:val="none"/>
        </w:rPr>
        <w:t>支持</w:t>
      </w:r>
      <w:r>
        <w:rPr>
          <w:rFonts w:ascii="仿宋_GB2312" w:eastAsia="仿宋_GB2312"/>
          <w:sz w:val="32"/>
          <w:szCs w:val="32"/>
          <w:highlight w:val="none"/>
        </w:rPr>
        <w:t>不同类业务的风险收益水平以及不同维度同一业务风险收益水平比较</w:t>
      </w:r>
      <w:r>
        <w:rPr>
          <w:rFonts w:hint="eastAsia" w:ascii="仿宋_GB2312" w:eastAsia="仿宋_GB2312"/>
          <w:sz w:val="32"/>
          <w:szCs w:val="32"/>
          <w:highlight w:val="none"/>
        </w:rPr>
        <w:t>；</w:t>
      </w:r>
      <w:r>
        <w:rPr>
          <w:rFonts w:ascii="仿宋_GB2312" w:eastAsia="仿宋_GB2312"/>
          <w:sz w:val="32"/>
          <w:szCs w:val="32"/>
          <w:highlight w:val="none"/>
        </w:rPr>
        <w:t>系统支持业务人员根据各层级</w:t>
      </w:r>
      <w:r>
        <w:rPr>
          <w:rFonts w:hint="eastAsia" w:ascii="仿宋_GB2312" w:eastAsia="仿宋_GB2312"/>
          <w:sz w:val="32"/>
          <w:szCs w:val="32"/>
          <w:highlight w:val="none"/>
        </w:rPr>
        <w:t>、</w:t>
      </w:r>
      <w:r>
        <w:rPr>
          <w:rFonts w:ascii="仿宋_GB2312" w:eastAsia="仿宋_GB2312"/>
          <w:sz w:val="32"/>
          <w:szCs w:val="32"/>
          <w:highlight w:val="none"/>
        </w:rPr>
        <w:t>各维度风险指标</w:t>
      </w:r>
      <w:r>
        <w:rPr>
          <w:rFonts w:hint="eastAsia" w:ascii="仿宋_GB2312" w:eastAsia="仿宋_GB2312"/>
          <w:sz w:val="32"/>
          <w:szCs w:val="32"/>
          <w:highlight w:val="none"/>
        </w:rPr>
        <w:t>的</w:t>
      </w:r>
      <w:r>
        <w:rPr>
          <w:rFonts w:ascii="仿宋_GB2312" w:eastAsia="仿宋_GB2312"/>
          <w:sz w:val="32"/>
          <w:szCs w:val="32"/>
          <w:highlight w:val="none"/>
        </w:rPr>
        <w:t>历史趋势对预警信号阈值进行回测，</w:t>
      </w:r>
      <w:r>
        <w:rPr>
          <w:rFonts w:hint="eastAsia" w:ascii="仿宋_GB2312" w:eastAsia="仿宋_GB2312"/>
          <w:sz w:val="32"/>
          <w:szCs w:val="32"/>
          <w:highlight w:val="none"/>
        </w:rPr>
        <w:t>验证</w:t>
      </w:r>
      <w:r>
        <w:rPr>
          <w:rFonts w:ascii="仿宋_GB2312" w:eastAsia="仿宋_GB2312"/>
          <w:sz w:val="32"/>
          <w:szCs w:val="32"/>
          <w:highlight w:val="none"/>
        </w:rPr>
        <w:t>预警指标选择及其阈值设置</w:t>
      </w:r>
      <w:r>
        <w:rPr>
          <w:rFonts w:hint="eastAsia" w:ascii="仿宋_GB2312" w:eastAsia="仿宋_GB2312"/>
          <w:sz w:val="32"/>
          <w:szCs w:val="32"/>
          <w:highlight w:val="none"/>
        </w:rPr>
        <w:t>的</w:t>
      </w:r>
      <w:r>
        <w:rPr>
          <w:rFonts w:ascii="仿宋_GB2312" w:eastAsia="仿宋_GB2312"/>
          <w:sz w:val="32"/>
          <w:szCs w:val="32"/>
          <w:highlight w:val="none"/>
        </w:rPr>
        <w:t>合理</w:t>
      </w:r>
      <w:r>
        <w:rPr>
          <w:rFonts w:hint="eastAsia" w:ascii="仿宋_GB2312" w:eastAsia="仿宋_GB2312"/>
          <w:sz w:val="32"/>
          <w:szCs w:val="32"/>
          <w:highlight w:val="none"/>
        </w:rPr>
        <w:t>性，</w:t>
      </w:r>
      <w:r>
        <w:rPr>
          <w:rFonts w:ascii="仿宋_GB2312" w:eastAsia="仿宋_GB2312"/>
          <w:sz w:val="32"/>
          <w:szCs w:val="32"/>
          <w:highlight w:val="none"/>
        </w:rPr>
        <w:t>将</w:t>
      </w:r>
      <w:r>
        <w:rPr>
          <w:rFonts w:hint="eastAsia" w:ascii="仿宋_GB2312" w:eastAsia="仿宋_GB2312"/>
          <w:sz w:val="32"/>
          <w:szCs w:val="32"/>
          <w:highlight w:val="none"/>
        </w:rPr>
        <w:t>各类预警</w:t>
      </w:r>
      <w:r>
        <w:rPr>
          <w:rFonts w:ascii="仿宋_GB2312" w:eastAsia="仿宋_GB2312"/>
          <w:sz w:val="32"/>
          <w:szCs w:val="32"/>
          <w:highlight w:val="none"/>
        </w:rPr>
        <w:t>指标阈值配置在各业务及</w:t>
      </w:r>
      <w:r>
        <w:rPr>
          <w:rFonts w:ascii="仿宋_GB2312" w:hAnsi="宋体" w:eastAsia="仿宋_GB2312" w:cs="Arial"/>
          <w:sz w:val="32"/>
          <w:szCs w:val="32"/>
          <w:highlight w:val="none"/>
        </w:rPr>
        <w:t>风险管理系统</w:t>
      </w:r>
      <w:r>
        <w:rPr>
          <w:rFonts w:ascii="仿宋_GB2312" w:eastAsia="仿宋_GB2312"/>
          <w:sz w:val="32"/>
          <w:szCs w:val="32"/>
          <w:highlight w:val="none"/>
        </w:rPr>
        <w:t>中</w:t>
      </w:r>
      <w:r>
        <w:rPr>
          <w:rFonts w:hint="eastAsia" w:ascii="仿宋_GB2312" w:eastAsia="仿宋_GB2312"/>
          <w:sz w:val="32"/>
          <w:szCs w:val="32"/>
          <w:highlight w:val="none"/>
        </w:rPr>
        <w:t>，</w:t>
      </w:r>
      <w:r>
        <w:rPr>
          <w:rFonts w:ascii="仿宋_GB2312" w:eastAsia="仿宋_GB2312"/>
          <w:sz w:val="32"/>
          <w:szCs w:val="32"/>
          <w:highlight w:val="none"/>
        </w:rPr>
        <w:t>进行日常监测预警</w:t>
      </w:r>
      <w:r>
        <w:rPr>
          <w:rFonts w:hint="eastAsia" w:ascii="仿宋_GB2312" w:eastAsia="仿宋_GB2312"/>
          <w:sz w:val="32"/>
          <w:szCs w:val="32"/>
          <w:highlight w:val="none"/>
        </w:rPr>
        <w:t>；</w:t>
      </w:r>
      <w:r>
        <w:rPr>
          <w:rFonts w:ascii="仿宋_GB2312" w:eastAsia="仿宋_GB2312"/>
          <w:sz w:val="32"/>
          <w:szCs w:val="32"/>
          <w:highlight w:val="none"/>
        </w:rPr>
        <w:t>有条件</w:t>
      </w:r>
      <w:r>
        <w:rPr>
          <w:rFonts w:hint="eastAsia" w:ascii="仿宋_GB2312" w:eastAsia="仿宋_GB2312"/>
          <w:sz w:val="32"/>
          <w:szCs w:val="32"/>
          <w:highlight w:val="none"/>
        </w:rPr>
        <w:t>的证券公司还</w:t>
      </w:r>
      <w:r>
        <w:rPr>
          <w:rFonts w:ascii="仿宋_GB2312" w:eastAsia="仿宋_GB2312"/>
          <w:sz w:val="32"/>
          <w:szCs w:val="32"/>
          <w:highlight w:val="none"/>
        </w:rPr>
        <w:t>可开发部署人工智能预警模型</w:t>
      </w:r>
      <w:r>
        <w:rPr>
          <w:rFonts w:hint="eastAsia" w:ascii="仿宋_GB2312" w:eastAsia="仿宋_GB2312"/>
          <w:sz w:val="32"/>
          <w:szCs w:val="32"/>
          <w:highlight w:val="none"/>
        </w:rPr>
        <w:t>作为补充。</w:t>
      </w:r>
    </w:p>
    <w:p>
      <w:pPr>
        <w:adjustRightInd w:val="0"/>
        <w:snapToGrid w:val="0"/>
        <w:spacing w:line="640" w:lineRule="exact"/>
        <w:ind w:firstLine="642" w:firstLineChars="200"/>
        <w:outlineLvl w:val="1"/>
        <w:rPr>
          <w:rFonts w:ascii="仿宋_GB2312" w:hAnsi="宋体" w:eastAsia="仿宋_GB2312" w:cs="Arial"/>
          <w:b/>
          <w:bCs/>
          <w:sz w:val="32"/>
          <w:szCs w:val="32"/>
          <w:highlight w:val="none"/>
        </w:rPr>
      </w:pPr>
      <w:bookmarkStart w:id="460" w:name="_Toc12257"/>
      <w:bookmarkStart w:id="461" w:name="_Toc9824"/>
      <w:bookmarkStart w:id="462" w:name="_Toc2058884962_WPSOffice_Level2"/>
      <w:bookmarkStart w:id="463" w:name="_Toc114140444"/>
      <w:bookmarkStart w:id="464" w:name="_Toc12934"/>
      <w:bookmarkStart w:id="465" w:name="_Toc10466"/>
      <w:r>
        <w:rPr>
          <w:rFonts w:hint="eastAsia" w:ascii="仿宋_GB2312" w:hAnsi="宋体" w:eastAsia="仿宋_GB2312" w:cs="Arial"/>
          <w:b/>
          <w:bCs/>
          <w:sz w:val="32"/>
          <w:szCs w:val="32"/>
          <w:highlight w:val="none"/>
        </w:rPr>
        <w:t>（四）</w:t>
      </w:r>
      <w:bookmarkEnd w:id="451"/>
      <w:bookmarkEnd w:id="452"/>
      <w:bookmarkEnd w:id="453"/>
      <w:bookmarkEnd w:id="454"/>
      <w:bookmarkEnd w:id="455"/>
      <w:r>
        <w:rPr>
          <w:rFonts w:hint="eastAsia" w:ascii="仿宋_GB2312" w:hAnsi="宋体" w:eastAsia="仿宋_GB2312" w:cs="Arial"/>
          <w:b/>
          <w:bCs/>
          <w:sz w:val="32"/>
          <w:szCs w:val="32"/>
          <w:highlight w:val="none"/>
        </w:rPr>
        <w:t>同一客户</w:t>
      </w:r>
      <w:bookmarkEnd w:id="456"/>
      <w:bookmarkEnd w:id="457"/>
      <w:bookmarkEnd w:id="458"/>
      <w:bookmarkEnd w:id="459"/>
      <w:r>
        <w:rPr>
          <w:rFonts w:hint="eastAsia" w:ascii="仿宋_GB2312" w:hAnsi="宋体" w:eastAsia="仿宋_GB2312" w:cs="Arial"/>
          <w:b/>
          <w:bCs/>
          <w:sz w:val="32"/>
          <w:szCs w:val="32"/>
          <w:highlight w:val="none"/>
        </w:rPr>
        <w:t>的系统服务</w:t>
      </w:r>
      <w:bookmarkEnd w:id="460"/>
      <w:bookmarkEnd w:id="461"/>
      <w:bookmarkEnd w:id="462"/>
      <w:bookmarkEnd w:id="463"/>
      <w:bookmarkEnd w:id="464"/>
      <w:bookmarkEnd w:id="465"/>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466" w:name="_Toc21605"/>
      <w:bookmarkStart w:id="467" w:name="_Toc25876"/>
      <w:bookmarkStart w:id="468" w:name="_Toc27990"/>
      <w:bookmarkStart w:id="469" w:name="_Toc9503"/>
      <w:bookmarkStart w:id="470" w:name="_Toc106796596"/>
      <w:bookmarkStart w:id="471" w:name="_Toc9730"/>
      <w:bookmarkStart w:id="472" w:name="_Toc24351"/>
      <w:bookmarkStart w:id="473" w:name="_Toc114140445"/>
      <w:bookmarkStart w:id="474" w:name="_Toc111138416"/>
      <w:r>
        <w:rPr>
          <w:rFonts w:hint="eastAsia" w:ascii="仿宋_GB2312" w:hAnsi="宋体" w:eastAsia="仿宋_GB2312" w:cs="Arial"/>
          <w:b/>
          <w:bCs/>
          <w:sz w:val="32"/>
          <w:szCs w:val="32"/>
          <w:highlight w:val="none"/>
        </w:rPr>
        <w:t>1.单一客户身份识别的系统实现</w:t>
      </w:r>
      <w:bookmarkEnd w:id="466"/>
      <w:bookmarkEnd w:id="467"/>
      <w:bookmarkEnd w:id="468"/>
      <w:bookmarkEnd w:id="469"/>
      <w:bookmarkEnd w:id="470"/>
      <w:bookmarkEnd w:id="471"/>
      <w:bookmarkEnd w:id="472"/>
      <w:bookmarkEnd w:id="473"/>
      <w:bookmarkEnd w:id="474"/>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根据单一客户身份识别规则，开发针对自然人、企业法人和产品户的单一客户识别引擎。引擎的输入为主体的身份识别信息和源系统客户编码，根据输入信息进行校验，校验通过后对单一客户赋予内部唯一编码同时建立源系统客户编码和内部唯一编码的映射关系，然后输出内部唯一编码、映射关系至数据集市。</w:t>
      </w:r>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根据业务系统众多的实际情况，对接单一客户识别引擎可以采取实时接口和事后对接两种方案。业务系统如果能够改造，可采用实时接口对接方案；如不能改造可采用事后对接方案。实时接口对接是指在业务系统录入客户数据的同时，实时调用识别引擎生成内部唯一编码并返回源系统的对接方式。具体步骤如下，首先调用识别引擎，其次引擎对客户数据进行校验，校验通过后赋予内部唯一编码，同时生成内部唯一编码和源系统客户编码的映射关系，最后将内部唯一编码返回源系统，同时，将内部唯一编码和相应的映射关系保存进数据集市。上述步骤中如果校验不通过则将错误信息返回源系统并重复上述步骤。</w:t>
      </w:r>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事后对接方式是指识别引擎定时批量从业务系统获取客户数据进行校验、编码并生成映射关系，将内部唯一编码和映射关系保存进数据集市。如果校验不通过则将错误信息通知相关人员进行处理。</w:t>
      </w:r>
    </w:p>
    <w:p>
      <w:pPr>
        <w:spacing w:line="640" w:lineRule="exact"/>
        <w:jc w:val="center"/>
        <w:rPr>
          <w:rFonts w:ascii="黑体" w:hAnsi="黑体" w:eastAsia="黑体"/>
          <w:sz w:val="28"/>
          <w:szCs w:val="28"/>
          <w:highlight w:val="none"/>
        </w:rPr>
      </w:pPr>
      <w:r>
        <w:rPr>
          <w:rFonts w:hint="eastAsia" w:ascii="仿宋_GB2312" w:eastAsia="仿宋_GB2312"/>
          <w:sz w:val="32"/>
          <w:szCs w:val="32"/>
          <w:highlight w:val="none"/>
        </w:rPr>
        <w:drawing>
          <wp:anchor distT="0" distB="0" distL="114300" distR="114300" simplePos="0" relativeHeight="251668480" behindDoc="0" locked="0" layoutInCell="1" allowOverlap="1">
            <wp:simplePos x="0" y="0"/>
            <wp:positionH relativeFrom="column">
              <wp:posOffset>23495</wp:posOffset>
            </wp:positionH>
            <wp:positionV relativeFrom="paragraph">
              <wp:posOffset>114935</wp:posOffset>
            </wp:positionV>
            <wp:extent cx="5276850" cy="3303270"/>
            <wp:effectExtent l="19050" t="0" r="0" b="0"/>
            <wp:wrapTopAndBottom/>
            <wp:docPr id="27" name="图片 22" descr="图片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2" descr="图片7.png"/>
                    <pic:cNvPicPr>
                      <a:picLocks noChangeAspect="true"/>
                    </pic:cNvPicPr>
                  </pic:nvPicPr>
                  <pic:blipFill>
                    <a:blip r:embed="rId19"/>
                    <a:stretch>
                      <a:fillRect/>
                    </a:stretch>
                  </pic:blipFill>
                  <pic:spPr>
                    <a:xfrm>
                      <a:off x="0" y="0"/>
                      <a:ext cx="5276850" cy="3303270"/>
                    </a:xfrm>
                    <a:prstGeom prst="rect">
                      <a:avLst/>
                    </a:prstGeom>
                  </pic:spPr>
                </pic:pic>
              </a:graphicData>
            </a:graphic>
          </wp:anchor>
        </w:drawing>
      </w:r>
      <w:r>
        <w:rPr>
          <w:rFonts w:hint="eastAsia" w:ascii="黑体" w:hAnsi="黑体" w:eastAsia="黑体"/>
          <w:sz w:val="28"/>
          <w:szCs w:val="28"/>
          <w:highlight w:val="none"/>
        </w:rPr>
        <w:t>图11 单一客户身份识别的系统实现</w:t>
      </w:r>
    </w:p>
    <w:p>
      <w:pPr>
        <w:adjustRightInd w:val="0"/>
        <w:snapToGrid w:val="0"/>
        <w:spacing w:line="640" w:lineRule="exact"/>
        <w:ind w:firstLine="642" w:firstLineChars="200"/>
        <w:outlineLvl w:val="2"/>
        <w:rPr>
          <w:rFonts w:ascii="仿宋_GB2312" w:hAnsi="宋体" w:eastAsia="仿宋_GB2312" w:cs="Arial"/>
          <w:b/>
          <w:bCs/>
          <w:sz w:val="32"/>
          <w:szCs w:val="32"/>
          <w:highlight w:val="none"/>
        </w:rPr>
      </w:pPr>
      <w:bookmarkStart w:id="475" w:name="_Toc111138417"/>
      <w:bookmarkStart w:id="476" w:name="_Toc13930"/>
      <w:bookmarkStart w:id="477" w:name="_Toc11792"/>
      <w:bookmarkStart w:id="478" w:name="_Toc106796597"/>
      <w:bookmarkStart w:id="479" w:name="_Toc22564"/>
      <w:bookmarkStart w:id="480" w:name="_Toc18750"/>
      <w:bookmarkStart w:id="481" w:name="_Toc11604"/>
      <w:bookmarkStart w:id="482" w:name="_Toc8035"/>
      <w:bookmarkStart w:id="483" w:name="_Toc114140446"/>
    </w:p>
    <w:p>
      <w:pPr>
        <w:adjustRightInd w:val="0"/>
        <w:snapToGrid w:val="0"/>
        <w:spacing w:line="640" w:lineRule="exact"/>
        <w:ind w:firstLine="642" w:firstLineChars="200"/>
        <w:outlineLvl w:val="2"/>
        <w:rPr>
          <w:rFonts w:ascii="仿宋_GB2312" w:eastAsia="仿宋_GB2312"/>
          <w:b/>
          <w:bCs/>
          <w:sz w:val="32"/>
          <w:szCs w:val="32"/>
          <w:highlight w:val="none"/>
        </w:rPr>
      </w:pPr>
      <w:r>
        <w:rPr>
          <w:rFonts w:hint="eastAsia" w:ascii="仿宋_GB2312" w:hAnsi="宋体" w:eastAsia="仿宋_GB2312" w:cs="Arial"/>
          <w:b/>
          <w:bCs/>
          <w:sz w:val="32"/>
          <w:szCs w:val="32"/>
          <w:highlight w:val="none"/>
        </w:rPr>
        <w:t>2.同一客户认定的系统实现</w:t>
      </w:r>
      <w:bookmarkEnd w:id="475"/>
      <w:bookmarkEnd w:id="476"/>
      <w:bookmarkEnd w:id="477"/>
      <w:bookmarkEnd w:id="478"/>
      <w:bookmarkEnd w:id="479"/>
      <w:bookmarkEnd w:id="480"/>
      <w:bookmarkEnd w:id="481"/>
      <w:bookmarkEnd w:id="482"/>
      <w:bookmarkEnd w:id="483"/>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同一客户认定的系统实现，包括部署关联关系规则、准备原始数据、输入引擎计算关联关系、进行同一客户认定及编码五个步骤。但是，由于数据存在不全面和不准确的问题，系统应具备对同一客户关联关系进行人工维护的功能。下面以企业法人同一客户认定为例，具体阐述系统实现步骤。含</w:t>
      </w:r>
      <w:r>
        <w:rPr>
          <w:rFonts w:ascii="仿宋_GB2312" w:eastAsia="仿宋_GB2312"/>
          <w:sz w:val="32"/>
          <w:szCs w:val="32"/>
          <w:highlight w:val="none"/>
        </w:rPr>
        <w:t>自然人的同一客户</w:t>
      </w:r>
      <w:r>
        <w:rPr>
          <w:rFonts w:hint="eastAsia" w:ascii="仿宋_GB2312" w:eastAsia="仿宋_GB2312"/>
          <w:sz w:val="32"/>
          <w:szCs w:val="32"/>
          <w:highlight w:val="none"/>
        </w:rPr>
        <w:t>、</w:t>
      </w:r>
      <w:r>
        <w:rPr>
          <w:rFonts w:ascii="仿宋_GB2312" w:eastAsia="仿宋_GB2312"/>
          <w:sz w:val="32"/>
          <w:szCs w:val="32"/>
          <w:highlight w:val="none"/>
        </w:rPr>
        <w:t>产品户的同一客户认定系统实现步骤</w:t>
      </w:r>
      <w:r>
        <w:rPr>
          <w:rFonts w:hint="eastAsia" w:ascii="仿宋_GB2312" w:eastAsia="仿宋_GB2312"/>
          <w:sz w:val="32"/>
          <w:szCs w:val="32"/>
          <w:highlight w:val="none"/>
        </w:rPr>
        <w:t>与</w:t>
      </w:r>
      <w:r>
        <w:rPr>
          <w:rFonts w:ascii="仿宋_GB2312" w:eastAsia="仿宋_GB2312"/>
          <w:sz w:val="32"/>
          <w:szCs w:val="32"/>
          <w:highlight w:val="none"/>
        </w:rPr>
        <w:t>企业法人</w:t>
      </w:r>
      <w:r>
        <w:rPr>
          <w:rFonts w:hint="eastAsia" w:ascii="仿宋_GB2312" w:eastAsia="仿宋_GB2312"/>
          <w:sz w:val="32"/>
          <w:szCs w:val="32"/>
          <w:highlight w:val="none"/>
        </w:rPr>
        <w:t>基本一致，但是，相关的关联关系规则、原始数据、编码规则等方面则有所区别，本文不再展开。</w:t>
      </w:r>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第一步，建立客户关联关系识别规则，将定义好的关联关系规则部署到专家规则引擎。</w:t>
      </w:r>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第二步，准备关联关系原始数据。企业法人客户需准备</w:t>
      </w:r>
      <w:r>
        <w:rPr>
          <w:rFonts w:ascii="仿宋_GB2312" w:eastAsia="仿宋_GB2312"/>
          <w:sz w:val="32"/>
          <w:szCs w:val="32"/>
          <w:highlight w:val="none"/>
        </w:rPr>
        <w:t>股权</w:t>
      </w:r>
      <w:r>
        <w:rPr>
          <w:rFonts w:hint="eastAsia" w:ascii="仿宋_GB2312" w:eastAsia="仿宋_GB2312"/>
          <w:sz w:val="32"/>
          <w:szCs w:val="32"/>
          <w:highlight w:val="none"/>
        </w:rPr>
        <w:t>、表决权、关键管理人员及交叉持股、财务报表并表数据等。上市公司、公开市场发债企业均可公开获取上述信息。其他法人客户可通过尽职调查等手段补充相关信息。</w:t>
      </w:r>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第三步，把数据输入到规则引擎，从单一客户逐级向上和向下发现关联关系，识别关联关系网络。有条件的证券公司可</w:t>
      </w:r>
      <w:r>
        <w:rPr>
          <w:rFonts w:ascii="仿宋_GB2312" w:eastAsia="仿宋_GB2312"/>
          <w:sz w:val="32"/>
          <w:szCs w:val="32"/>
          <w:highlight w:val="none"/>
        </w:rPr>
        <w:t>利用图计算引擎</w:t>
      </w:r>
      <w:r>
        <w:rPr>
          <w:rFonts w:hint="eastAsia" w:ascii="仿宋_GB2312" w:eastAsia="仿宋_GB2312"/>
          <w:sz w:val="32"/>
          <w:szCs w:val="32"/>
          <w:highlight w:val="none"/>
        </w:rPr>
        <w:t>，计算得出关联关系图谱。</w:t>
      </w:r>
    </w:p>
    <w:p>
      <w:pPr>
        <w:spacing w:line="640" w:lineRule="exact"/>
        <w:ind w:firstLine="640" w:firstLineChars="200"/>
        <w:rPr>
          <w:rFonts w:ascii="仿宋_GB2312" w:hAnsi="宋体" w:eastAsia="仿宋_GB2312" w:cs="Arial"/>
          <w:sz w:val="32"/>
          <w:szCs w:val="32"/>
          <w:highlight w:val="none"/>
        </w:rPr>
      </w:pPr>
      <w:r>
        <w:rPr>
          <w:rFonts w:hint="eastAsia" w:ascii="仿宋_GB2312" w:eastAsia="仿宋_GB2312"/>
          <w:sz w:val="32"/>
          <w:szCs w:val="32"/>
          <w:highlight w:val="none"/>
        </w:rPr>
        <w:t>第四步，认定同一客户。根据</w:t>
      </w:r>
      <w:r>
        <w:rPr>
          <w:rFonts w:hint="eastAsia" w:ascii="仿宋_GB2312" w:hAnsi="宋体" w:eastAsia="仿宋_GB2312" w:cs="Arial"/>
          <w:sz w:val="32"/>
          <w:szCs w:val="32"/>
          <w:highlight w:val="none"/>
        </w:rPr>
        <w:t>同一客户定义，判断关联关系是否符合证券公司同一客户认定标准。将符合标准的客户组认定为同一客户。</w:t>
      </w:r>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第五步，对同一客户进行编码。对每一个认定为同一客户的客户组，系统生产同一客户内部编码。编码可以是无特殊意义的序列，也可使用客户的部分属性信息生成。对不同的同一客户类别可以在编码时加以区分。</w:t>
      </w:r>
    </w:p>
    <w:p>
      <w:pPr>
        <w:spacing w:line="640" w:lineRule="exact"/>
        <w:ind w:firstLine="640" w:firstLineChars="200"/>
        <w:rPr>
          <w:rFonts w:ascii="仿宋_GB2312" w:eastAsia="仿宋_GB2312"/>
          <w:sz w:val="32"/>
          <w:szCs w:val="32"/>
          <w:highlight w:val="none"/>
        </w:rPr>
      </w:pPr>
    </w:p>
    <w:p>
      <w:pPr>
        <w:spacing w:line="640" w:lineRule="exact"/>
        <w:ind w:firstLine="640" w:firstLineChars="200"/>
        <w:rPr>
          <w:rFonts w:ascii="仿宋_GB2312" w:eastAsia="仿宋_GB2312"/>
          <w:sz w:val="32"/>
          <w:szCs w:val="32"/>
          <w:highlight w:val="none"/>
        </w:rPr>
      </w:pPr>
    </w:p>
    <w:p>
      <w:pPr>
        <w:spacing w:line="640" w:lineRule="exact"/>
        <w:jc w:val="center"/>
        <w:rPr>
          <w:rFonts w:ascii="黑体" w:hAnsi="黑体" w:eastAsia="黑体"/>
          <w:sz w:val="28"/>
          <w:szCs w:val="28"/>
          <w:highlight w:val="none"/>
        </w:rPr>
      </w:pPr>
      <w:r>
        <w:rPr>
          <w:rFonts w:ascii="仿宋_GB2312" w:eastAsia="仿宋_GB2312"/>
          <w:sz w:val="32"/>
          <w:szCs w:val="32"/>
          <w:highlight w:val="none"/>
        </w:rPr>
        <w:drawing>
          <wp:anchor distT="0" distB="0" distL="114300" distR="114300" simplePos="0" relativeHeight="251662336" behindDoc="0" locked="0" layoutInCell="1" allowOverlap="1">
            <wp:simplePos x="0" y="0"/>
            <wp:positionH relativeFrom="margin">
              <wp:posOffset>-6350</wp:posOffset>
            </wp:positionH>
            <wp:positionV relativeFrom="paragraph">
              <wp:posOffset>48895</wp:posOffset>
            </wp:positionV>
            <wp:extent cx="5276215" cy="3820795"/>
            <wp:effectExtent l="19050" t="0" r="635" b="0"/>
            <wp:wrapTopAndBottom/>
            <wp:docPr id="10" name="图片 10"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true"/>
                    </pic:cNvPicPr>
                  </pic:nvPicPr>
                  <pic:blipFill>
                    <a:blip r:embed="rId20"/>
                    <a:stretch>
                      <a:fillRect/>
                    </a:stretch>
                  </pic:blipFill>
                  <pic:spPr>
                    <a:xfrm>
                      <a:off x="0" y="0"/>
                      <a:ext cx="5276215" cy="3820795"/>
                    </a:xfrm>
                    <a:prstGeom prst="rect">
                      <a:avLst/>
                    </a:prstGeom>
                  </pic:spPr>
                </pic:pic>
              </a:graphicData>
            </a:graphic>
          </wp:anchor>
        </w:drawing>
      </w:r>
      <w:bookmarkStart w:id="484" w:name="_Toc111138420"/>
      <w:bookmarkStart w:id="485" w:name="_Toc24968"/>
      <w:bookmarkStart w:id="486" w:name="_Toc29704"/>
      <w:bookmarkStart w:id="487" w:name="_Toc582"/>
      <w:bookmarkStart w:id="488" w:name="_Toc22478"/>
      <w:bookmarkStart w:id="489" w:name="_Toc106796598"/>
      <w:r>
        <w:rPr>
          <w:rFonts w:hint="eastAsia" w:ascii="黑体" w:hAnsi="黑体" w:eastAsia="黑体"/>
          <w:sz w:val="28"/>
          <w:szCs w:val="28"/>
          <w:highlight w:val="none"/>
        </w:rPr>
        <w:t>图12同一客户关联关系认定</w:t>
      </w:r>
    </w:p>
    <w:p>
      <w:pPr>
        <w:spacing w:line="640" w:lineRule="exact"/>
        <w:ind w:firstLine="640" w:firstLineChars="200"/>
        <w:rPr>
          <w:rFonts w:ascii="仿宋_GB2312" w:eastAsia="仿宋_GB2312"/>
          <w:sz w:val="32"/>
          <w:szCs w:val="32"/>
          <w:highlight w:val="none"/>
        </w:rPr>
      </w:pPr>
    </w:p>
    <w:bookmarkEnd w:id="298"/>
    <w:bookmarkEnd w:id="299"/>
    <w:bookmarkEnd w:id="300"/>
    <w:bookmarkEnd w:id="484"/>
    <w:bookmarkEnd w:id="485"/>
    <w:bookmarkEnd w:id="486"/>
    <w:bookmarkEnd w:id="487"/>
    <w:bookmarkEnd w:id="488"/>
    <w:bookmarkEnd w:id="489"/>
    <w:p>
      <w:pPr>
        <w:adjustRightInd w:val="0"/>
        <w:snapToGrid w:val="0"/>
        <w:spacing w:line="640" w:lineRule="exact"/>
        <w:ind w:firstLine="642" w:firstLineChars="200"/>
        <w:outlineLvl w:val="2"/>
        <w:rPr>
          <w:rFonts w:ascii="仿宋_GB2312" w:eastAsia="仿宋_GB2312"/>
          <w:b/>
          <w:bCs/>
          <w:sz w:val="32"/>
          <w:szCs w:val="32"/>
          <w:highlight w:val="none"/>
        </w:rPr>
      </w:pPr>
      <w:bookmarkStart w:id="490" w:name="_Toc21344"/>
      <w:bookmarkStart w:id="491" w:name="_Toc114140450"/>
      <w:bookmarkStart w:id="492" w:name="_Toc18959"/>
      <w:bookmarkStart w:id="493" w:name="_Toc19900"/>
      <w:r>
        <w:rPr>
          <w:rFonts w:hint="eastAsia" w:ascii="仿宋_GB2312" w:eastAsia="仿宋_GB2312"/>
          <w:b/>
          <w:bCs/>
          <w:sz w:val="32"/>
          <w:szCs w:val="32"/>
          <w:highlight w:val="none"/>
        </w:rPr>
        <w:t>3.同一客户风险管理应用的系统实现</w:t>
      </w:r>
      <w:bookmarkEnd w:id="490"/>
      <w:bookmarkEnd w:id="491"/>
      <w:bookmarkEnd w:id="492"/>
      <w:bookmarkEnd w:id="493"/>
    </w:p>
    <w:p>
      <w:pPr>
        <w:adjustRightInd w:val="0"/>
        <w:snapToGrid w:val="0"/>
        <w:spacing w:line="640" w:lineRule="exact"/>
        <w:ind w:firstLine="642" w:firstLineChars="200"/>
        <w:outlineLvl w:val="3"/>
        <w:rPr>
          <w:rFonts w:ascii="仿宋_GB2312" w:eastAsia="仿宋_GB2312"/>
          <w:b/>
          <w:bCs/>
          <w:sz w:val="32"/>
          <w:szCs w:val="32"/>
          <w:highlight w:val="none"/>
        </w:rPr>
      </w:pPr>
      <w:bookmarkStart w:id="494" w:name="_Toc2378"/>
      <w:bookmarkStart w:id="495" w:name="_Toc114140451"/>
      <w:bookmarkStart w:id="496" w:name="_Toc111138421"/>
      <w:bookmarkStart w:id="497" w:name="_Toc11073"/>
      <w:bookmarkStart w:id="498" w:name="_Toc22475"/>
      <w:bookmarkStart w:id="499" w:name="_Toc9923"/>
      <w:bookmarkStart w:id="500" w:name="_Toc10963"/>
      <w:r>
        <w:rPr>
          <w:rFonts w:hint="eastAsia" w:ascii="仿宋_GB2312" w:eastAsia="仿宋_GB2312"/>
          <w:b/>
          <w:bCs/>
          <w:sz w:val="32"/>
          <w:szCs w:val="32"/>
          <w:highlight w:val="none"/>
        </w:rPr>
        <w:t>（1）在客户评级方面应用的系统实现</w:t>
      </w:r>
      <w:bookmarkEnd w:id="494"/>
      <w:bookmarkEnd w:id="495"/>
      <w:bookmarkEnd w:id="496"/>
      <w:bookmarkEnd w:id="497"/>
      <w:bookmarkEnd w:id="498"/>
      <w:bookmarkEnd w:id="499"/>
      <w:bookmarkEnd w:id="500"/>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通过将客户内部唯一编码应用于内评系统，辅以与源系统之间的映射关系推送到公司其他系统中，实现客户内部评级在各系统中的唯一性。</w:t>
      </w:r>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系统存储的同一客户关联关系，为初次评级的信用一致性以及后续跟踪评级时联动调整提供依据。以集团客户为例，初次评级时，将集团内相对规模、股权关系、支持记录等相关指标纳入评级模型中，从而将关联关系反映到客户评级中，同时，系统可以展示关联方的评级供参考。跟踪评级时，系统在初次评级基础上，还可以展示集团关系是否发生变化、集团内其他关联方评级是否发生变化。跟踪评级应考虑负面舆情，系统展示单一客户及其他关联方尤其是核心主体的舆情信息，当核心主体因负面舆情发生评级变化时，系统</w:t>
      </w:r>
      <w:r>
        <w:rPr>
          <w:rFonts w:hint="eastAsia" w:ascii="仿宋_GB2312" w:eastAsia="仿宋_GB2312"/>
          <w:sz w:val="32"/>
          <w:szCs w:val="32"/>
          <w:highlight w:val="none"/>
          <w:lang w:eastAsia="zh-CN"/>
        </w:rPr>
        <w:t>可</w:t>
      </w:r>
      <w:r>
        <w:rPr>
          <w:rFonts w:hint="eastAsia" w:ascii="仿宋_GB2312" w:eastAsia="仿宋_GB2312"/>
          <w:sz w:val="32"/>
          <w:szCs w:val="32"/>
          <w:highlight w:val="none"/>
        </w:rPr>
        <w:t>展示其他关联方评级，供评级人员根据负面舆情关联程度对单一客户、同一客户、同一客户其他关联方的评级结果进行调整。</w:t>
      </w:r>
    </w:p>
    <w:p>
      <w:pPr>
        <w:adjustRightInd w:val="0"/>
        <w:snapToGrid w:val="0"/>
        <w:spacing w:line="640" w:lineRule="exact"/>
        <w:ind w:firstLine="642" w:firstLineChars="200"/>
        <w:outlineLvl w:val="3"/>
        <w:rPr>
          <w:rFonts w:ascii="仿宋_GB2312" w:eastAsia="仿宋_GB2312"/>
          <w:b/>
          <w:bCs/>
          <w:sz w:val="32"/>
          <w:szCs w:val="32"/>
          <w:highlight w:val="none"/>
        </w:rPr>
      </w:pPr>
      <w:bookmarkStart w:id="501" w:name="_Toc21560"/>
      <w:bookmarkStart w:id="502" w:name="_Toc9139"/>
      <w:bookmarkStart w:id="503" w:name="_Toc111138422"/>
      <w:bookmarkStart w:id="504" w:name="_Toc32186"/>
      <w:bookmarkStart w:id="505" w:name="_Toc4061"/>
      <w:bookmarkStart w:id="506" w:name="_Toc114140452"/>
      <w:bookmarkStart w:id="507" w:name="_Toc2287"/>
      <w:r>
        <w:rPr>
          <w:rFonts w:hint="eastAsia" w:ascii="仿宋_GB2312" w:eastAsia="仿宋_GB2312"/>
          <w:b/>
          <w:bCs/>
          <w:sz w:val="32"/>
          <w:szCs w:val="32"/>
          <w:highlight w:val="none"/>
        </w:rPr>
        <w:t>（2）在授信方面应用的系统实现</w:t>
      </w:r>
      <w:bookmarkEnd w:id="501"/>
      <w:bookmarkEnd w:id="502"/>
      <w:bookmarkEnd w:id="503"/>
      <w:bookmarkEnd w:id="504"/>
      <w:bookmarkEnd w:id="505"/>
      <w:bookmarkEnd w:id="506"/>
      <w:bookmarkEnd w:id="507"/>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系统按照各类、各级业务矩阵同时展示单一、同一客户两个维度的限额以及实际使用情况，实现对授信使用的监测和预警。有条件的可以将上述功能纳入前端控制。</w:t>
      </w:r>
    </w:p>
    <w:p>
      <w:pPr>
        <w:adjustRightInd w:val="0"/>
        <w:snapToGrid w:val="0"/>
        <w:spacing w:line="640" w:lineRule="exact"/>
        <w:ind w:firstLine="642" w:firstLineChars="200"/>
        <w:outlineLvl w:val="3"/>
        <w:rPr>
          <w:rFonts w:ascii="仿宋_GB2312" w:eastAsia="仿宋_GB2312"/>
          <w:b/>
          <w:bCs/>
          <w:sz w:val="32"/>
          <w:szCs w:val="32"/>
          <w:highlight w:val="none"/>
        </w:rPr>
      </w:pPr>
      <w:bookmarkStart w:id="508" w:name="_Toc114140453"/>
      <w:bookmarkStart w:id="509" w:name="_Toc8592"/>
      <w:bookmarkStart w:id="510" w:name="_Toc20482"/>
      <w:bookmarkStart w:id="511" w:name="_Toc9067"/>
      <w:bookmarkStart w:id="512" w:name="_Toc111138423"/>
      <w:bookmarkStart w:id="513" w:name="_Toc12642"/>
      <w:bookmarkStart w:id="514" w:name="_Toc15122"/>
      <w:r>
        <w:rPr>
          <w:rFonts w:hint="eastAsia" w:ascii="仿宋_GB2312" w:eastAsia="仿宋_GB2312"/>
          <w:b/>
          <w:bCs/>
          <w:sz w:val="32"/>
          <w:szCs w:val="32"/>
          <w:highlight w:val="none"/>
        </w:rPr>
        <w:t>（3）完善客户黑白名单的系统实现</w:t>
      </w:r>
      <w:bookmarkEnd w:id="508"/>
      <w:bookmarkEnd w:id="509"/>
      <w:bookmarkEnd w:id="510"/>
      <w:bookmarkEnd w:id="511"/>
      <w:bookmarkEnd w:id="512"/>
      <w:bookmarkEnd w:id="513"/>
      <w:bookmarkEnd w:id="514"/>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对进入黑名单的单一客户，通过同一客户编码实现与其关联方进行挂钩，人工判断后将有关关联方纳入黑名单，以实现对同一客户的监测、预警、限制业务准入等。将单一客户纳入白名单时系统列示其关联方相关信息供人工确认。</w:t>
      </w:r>
    </w:p>
    <w:p>
      <w:pPr>
        <w:adjustRightInd w:val="0"/>
        <w:snapToGrid w:val="0"/>
        <w:spacing w:line="640" w:lineRule="exact"/>
        <w:ind w:firstLine="642" w:firstLineChars="200"/>
        <w:outlineLvl w:val="3"/>
        <w:rPr>
          <w:rFonts w:ascii="仿宋_GB2312" w:eastAsia="仿宋_GB2312"/>
          <w:b/>
          <w:bCs/>
          <w:sz w:val="32"/>
          <w:szCs w:val="32"/>
          <w:highlight w:val="none"/>
        </w:rPr>
      </w:pPr>
      <w:bookmarkStart w:id="515" w:name="_Toc27189"/>
      <w:bookmarkStart w:id="516" w:name="_Toc26374"/>
      <w:bookmarkStart w:id="517" w:name="_Toc9658"/>
      <w:bookmarkStart w:id="518" w:name="_Toc24425"/>
      <w:bookmarkStart w:id="519" w:name="_Toc111138424"/>
      <w:bookmarkStart w:id="520" w:name="_Toc114140454"/>
      <w:bookmarkStart w:id="521" w:name="_Toc11856"/>
      <w:r>
        <w:rPr>
          <w:rFonts w:hint="eastAsia" w:ascii="仿宋_GB2312" w:eastAsia="仿宋_GB2312"/>
          <w:b/>
          <w:bCs/>
          <w:sz w:val="32"/>
          <w:szCs w:val="32"/>
          <w:highlight w:val="none"/>
        </w:rPr>
        <w:t>（4）</w:t>
      </w:r>
      <w:r>
        <w:rPr>
          <w:rFonts w:hint="eastAsia" w:ascii="仿宋_GB2312" w:hAnsi="宋体" w:eastAsia="仿宋_GB2312" w:cs="Arial"/>
          <w:b/>
          <w:bCs/>
          <w:sz w:val="32"/>
          <w:szCs w:val="32"/>
          <w:highlight w:val="none"/>
        </w:rPr>
        <w:t>双维度信用风险监测、计量及加总</w:t>
      </w:r>
      <w:r>
        <w:rPr>
          <w:rFonts w:hint="eastAsia" w:ascii="仿宋_GB2312" w:eastAsia="仿宋_GB2312"/>
          <w:b/>
          <w:bCs/>
          <w:sz w:val="32"/>
          <w:szCs w:val="32"/>
          <w:highlight w:val="none"/>
        </w:rPr>
        <w:t>的系统实现</w:t>
      </w:r>
      <w:bookmarkEnd w:id="515"/>
      <w:bookmarkEnd w:id="516"/>
      <w:bookmarkEnd w:id="517"/>
      <w:bookmarkEnd w:id="518"/>
      <w:bookmarkEnd w:id="519"/>
      <w:bookmarkEnd w:id="520"/>
      <w:bookmarkEnd w:id="521"/>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个体角度，系统在对单一客户实现风险监测、计量、加总的基础上，增加同一客户的维度，并进行矩阵化展示。组合角度，单一及同一客户在公司层面、各类业务的集中度。</w:t>
      </w:r>
    </w:p>
    <w:p>
      <w:pPr>
        <w:adjustRightInd w:val="0"/>
        <w:snapToGrid w:val="0"/>
        <w:spacing w:line="640" w:lineRule="exact"/>
        <w:ind w:firstLine="642" w:firstLineChars="200"/>
        <w:outlineLvl w:val="3"/>
        <w:rPr>
          <w:rFonts w:ascii="仿宋_GB2312" w:eastAsia="仿宋_GB2312"/>
          <w:b/>
          <w:bCs/>
          <w:sz w:val="32"/>
          <w:szCs w:val="32"/>
          <w:highlight w:val="none"/>
        </w:rPr>
      </w:pPr>
      <w:bookmarkStart w:id="522" w:name="_Toc26785"/>
      <w:bookmarkStart w:id="523" w:name="_Toc19311"/>
      <w:bookmarkStart w:id="524" w:name="_Toc9587"/>
      <w:bookmarkStart w:id="525" w:name="_Toc114140455"/>
      <w:bookmarkStart w:id="526" w:name="_Toc17899"/>
      <w:bookmarkStart w:id="527" w:name="_Toc18698"/>
      <w:bookmarkStart w:id="528" w:name="_Toc111138425"/>
      <w:r>
        <w:rPr>
          <w:rFonts w:hint="eastAsia" w:ascii="仿宋_GB2312" w:eastAsia="仿宋_GB2312"/>
          <w:b/>
          <w:bCs/>
          <w:sz w:val="32"/>
          <w:szCs w:val="32"/>
          <w:highlight w:val="none"/>
        </w:rPr>
        <w:t>（5）市场风险与信用风险预警的系统实现</w:t>
      </w:r>
      <w:bookmarkEnd w:id="522"/>
      <w:bookmarkEnd w:id="523"/>
      <w:bookmarkEnd w:id="524"/>
      <w:bookmarkEnd w:id="525"/>
      <w:bookmarkEnd w:id="526"/>
      <w:bookmarkEnd w:id="527"/>
      <w:bookmarkEnd w:id="528"/>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当单一客户出现市场风险和信用风险预警时，系统可以自动关联到该</w:t>
      </w:r>
      <w:r>
        <w:rPr>
          <w:rFonts w:hint="eastAsia" w:ascii="仿宋_GB2312" w:hAnsi="宋体" w:eastAsia="仿宋_GB2312" w:cs="Arial"/>
          <w:sz w:val="32"/>
          <w:szCs w:val="32"/>
          <w:highlight w:val="none"/>
        </w:rPr>
        <w:t>客户的关联方并展示开展的所有业务规模、敞口等汇总数据及业务明细数据，有条件的证券公司可以实现系统</w:t>
      </w:r>
      <w:r>
        <w:rPr>
          <w:rFonts w:hint="eastAsia" w:ascii="仿宋_GB2312" w:eastAsia="仿宋_GB2312"/>
          <w:sz w:val="32"/>
          <w:szCs w:val="32"/>
          <w:highlight w:val="none"/>
        </w:rPr>
        <w:t>及时向业务人员进行自动预警。</w:t>
      </w:r>
    </w:p>
    <w:p>
      <w:pPr>
        <w:adjustRightInd w:val="0"/>
        <w:snapToGrid w:val="0"/>
        <w:spacing w:line="640" w:lineRule="exact"/>
        <w:ind w:firstLine="642" w:firstLineChars="200"/>
        <w:outlineLvl w:val="3"/>
        <w:rPr>
          <w:rFonts w:ascii="仿宋_GB2312" w:eastAsia="仿宋_GB2312"/>
          <w:b/>
          <w:bCs/>
          <w:sz w:val="32"/>
          <w:szCs w:val="32"/>
          <w:highlight w:val="none"/>
        </w:rPr>
      </w:pPr>
      <w:bookmarkStart w:id="529" w:name="_Toc114140456"/>
      <w:bookmarkStart w:id="530" w:name="_Toc11326"/>
      <w:bookmarkStart w:id="531" w:name="_Toc111138426"/>
      <w:bookmarkStart w:id="532" w:name="_Toc595"/>
      <w:bookmarkStart w:id="533" w:name="_Toc28976"/>
      <w:bookmarkStart w:id="534" w:name="_Toc6972"/>
      <w:bookmarkStart w:id="535" w:name="_Toc29455"/>
      <w:r>
        <w:rPr>
          <w:rFonts w:hint="eastAsia" w:ascii="仿宋_GB2312" w:eastAsia="仿宋_GB2312"/>
          <w:b/>
          <w:bCs/>
          <w:sz w:val="32"/>
          <w:szCs w:val="32"/>
          <w:highlight w:val="none"/>
        </w:rPr>
        <w:t>（6）同一客户应用于后续管理的系统实现</w:t>
      </w:r>
      <w:bookmarkEnd w:id="529"/>
      <w:bookmarkEnd w:id="530"/>
      <w:bookmarkEnd w:id="531"/>
      <w:bookmarkEnd w:id="532"/>
      <w:bookmarkEnd w:id="533"/>
      <w:bookmarkEnd w:id="534"/>
      <w:bookmarkEnd w:id="535"/>
    </w:p>
    <w:p>
      <w:pPr>
        <w:spacing w:line="64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有条件的证券公司可以建立专门的后续管理模块，该模块展示单一客户、同一客户维度的风险等级分类，并且自动获取其关联方信用评级、业务信息、负面信息等相关信息，包括同一客户项下无业务关联方的负面信息预警。</w:t>
      </w:r>
    </w:p>
    <w:p>
      <w:pPr>
        <w:adjustRightInd w:val="0"/>
        <w:snapToGrid w:val="0"/>
        <w:spacing w:line="640" w:lineRule="exact"/>
        <w:ind w:firstLine="640" w:firstLineChars="200"/>
        <w:outlineLvl w:val="0"/>
        <w:rPr>
          <w:rFonts w:ascii="黑体" w:hAnsi="黑体" w:eastAsia="黑体" w:cs="黑体"/>
          <w:bCs/>
          <w:sz w:val="32"/>
          <w:szCs w:val="32"/>
          <w:highlight w:val="none"/>
        </w:rPr>
      </w:pPr>
      <w:bookmarkStart w:id="536" w:name="_Toc16552"/>
      <w:bookmarkStart w:id="537" w:name="_Toc1025"/>
      <w:bookmarkStart w:id="538" w:name="_Toc17844"/>
      <w:bookmarkStart w:id="539" w:name="_Toc707455135_WPSOffice_Level1"/>
      <w:bookmarkStart w:id="540" w:name="_Toc5638"/>
      <w:bookmarkStart w:id="541" w:name="_Toc32199"/>
      <w:bookmarkStart w:id="542" w:name="_Toc114140457"/>
      <w:r>
        <w:rPr>
          <w:rFonts w:hint="eastAsia" w:ascii="黑体" w:hAnsi="黑体" w:eastAsia="黑体" w:cs="黑体"/>
          <w:bCs/>
          <w:sz w:val="32"/>
          <w:szCs w:val="32"/>
          <w:highlight w:val="none"/>
        </w:rPr>
        <w:t>五、实施中建议关注的重点</w:t>
      </w:r>
      <w:bookmarkEnd w:id="536"/>
      <w:bookmarkEnd w:id="537"/>
      <w:bookmarkEnd w:id="538"/>
      <w:bookmarkEnd w:id="539"/>
      <w:bookmarkEnd w:id="540"/>
      <w:bookmarkEnd w:id="541"/>
      <w:bookmarkEnd w:id="542"/>
    </w:p>
    <w:p>
      <w:pPr>
        <w:adjustRightInd w:val="0"/>
        <w:snapToGrid w:val="0"/>
        <w:spacing w:line="640" w:lineRule="exact"/>
        <w:ind w:firstLine="640" w:firstLineChars="200"/>
        <w:rPr>
          <w:rFonts w:ascii="仿宋_GB2312" w:hAnsi="宋体" w:eastAsia="仿宋_GB2312" w:cs="Arial"/>
          <w:sz w:val="32"/>
          <w:szCs w:val="32"/>
          <w:highlight w:val="none"/>
        </w:rPr>
      </w:pPr>
      <w:r>
        <w:rPr>
          <w:rFonts w:ascii="仿宋_GB2312" w:hAnsi="宋体" w:eastAsia="仿宋_GB2312" w:cs="Arial"/>
          <w:sz w:val="32"/>
          <w:szCs w:val="32"/>
          <w:highlight w:val="none"/>
        </w:rPr>
        <w:t>推行同一</w:t>
      </w:r>
      <w:r>
        <w:rPr>
          <w:rFonts w:hint="eastAsia" w:ascii="仿宋_GB2312" w:hAnsi="宋体" w:eastAsia="仿宋_GB2312" w:cs="Arial"/>
          <w:sz w:val="32"/>
          <w:szCs w:val="32"/>
          <w:highlight w:val="none"/>
        </w:rPr>
        <w:t>业务、</w:t>
      </w:r>
      <w:r>
        <w:rPr>
          <w:rFonts w:ascii="仿宋_GB2312" w:hAnsi="宋体" w:eastAsia="仿宋_GB2312" w:cs="Arial"/>
          <w:sz w:val="32"/>
          <w:szCs w:val="32"/>
          <w:highlight w:val="none"/>
        </w:rPr>
        <w:t>同一</w:t>
      </w:r>
      <w:r>
        <w:rPr>
          <w:rFonts w:hint="eastAsia" w:ascii="仿宋_GB2312" w:hAnsi="宋体" w:eastAsia="仿宋_GB2312" w:cs="Arial"/>
          <w:sz w:val="32"/>
          <w:szCs w:val="32"/>
          <w:highlight w:val="none"/>
        </w:rPr>
        <w:t>客户风险管理机制</w:t>
      </w:r>
      <w:r>
        <w:rPr>
          <w:rFonts w:ascii="仿宋_GB2312" w:hAnsi="宋体" w:eastAsia="仿宋_GB2312" w:cs="Arial"/>
          <w:sz w:val="32"/>
          <w:szCs w:val="32"/>
          <w:highlight w:val="none"/>
        </w:rPr>
        <w:t>的</w:t>
      </w:r>
      <w:r>
        <w:rPr>
          <w:rFonts w:hint="eastAsia" w:ascii="仿宋_GB2312" w:hAnsi="宋体" w:eastAsia="仿宋_GB2312" w:cs="Arial"/>
          <w:sz w:val="32"/>
          <w:szCs w:val="32"/>
          <w:highlight w:val="none"/>
        </w:rPr>
        <w:t>过</w:t>
      </w:r>
      <w:r>
        <w:rPr>
          <w:rFonts w:ascii="仿宋_GB2312" w:hAnsi="宋体" w:eastAsia="仿宋_GB2312" w:cs="Arial"/>
          <w:sz w:val="32"/>
          <w:szCs w:val="32"/>
          <w:highlight w:val="none"/>
        </w:rPr>
        <w:t>程中</w:t>
      </w:r>
      <w:r>
        <w:rPr>
          <w:rFonts w:hint="eastAsia" w:ascii="仿宋_GB2312" w:hAnsi="宋体" w:eastAsia="仿宋_GB2312" w:cs="Arial"/>
          <w:sz w:val="32"/>
          <w:szCs w:val="32"/>
          <w:highlight w:val="none"/>
        </w:rPr>
        <w:t>，建议重点</w:t>
      </w:r>
      <w:r>
        <w:rPr>
          <w:rFonts w:ascii="仿宋_GB2312" w:hAnsi="宋体" w:eastAsia="仿宋_GB2312" w:cs="Arial"/>
          <w:sz w:val="32"/>
          <w:szCs w:val="32"/>
          <w:highlight w:val="none"/>
        </w:rPr>
        <w:t>关注以下五个方面</w:t>
      </w:r>
      <w:r>
        <w:rPr>
          <w:rFonts w:hint="eastAsia" w:ascii="仿宋_GB2312" w:hAnsi="宋体" w:eastAsia="仿宋_GB2312" w:cs="Arial"/>
          <w:sz w:val="32"/>
          <w:szCs w:val="32"/>
          <w:highlight w:val="none"/>
        </w:rPr>
        <w:t>。</w:t>
      </w:r>
    </w:p>
    <w:p>
      <w:pPr>
        <w:adjustRightInd w:val="0"/>
        <w:snapToGrid w:val="0"/>
        <w:spacing w:line="640" w:lineRule="exact"/>
        <w:ind w:firstLine="642" w:firstLineChars="200"/>
        <w:outlineLvl w:val="1"/>
        <w:rPr>
          <w:rFonts w:ascii="仿宋_GB2312" w:hAnsi="宋体" w:eastAsia="仿宋_GB2312" w:cs="Arial"/>
          <w:b/>
          <w:bCs/>
          <w:sz w:val="32"/>
          <w:szCs w:val="32"/>
          <w:highlight w:val="none"/>
        </w:rPr>
      </w:pPr>
      <w:bookmarkStart w:id="543" w:name="_Toc24283"/>
      <w:bookmarkStart w:id="544" w:name="_Toc1738543717_WPSOffice_Level2"/>
      <w:bookmarkStart w:id="545" w:name="_Toc2721"/>
      <w:bookmarkStart w:id="546" w:name="_Toc24119"/>
      <w:bookmarkStart w:id="547" w:name="_Toc12309"/>
      <w:bookmarkStart w:id="548" w:name="_Toc19486"/>
      <w:bookmarkStart w:id="549" w:name="_Toc2249"/>
      <w:bookmarkStart w:id="550" w:name="_Toc13411"/>
      <w:bookmarkStart w:id="551" w:name="_Toc28280"/>
      <w:bookmarkStart w:id="552" w:name="_Toc114140458"/>
      <w:r>
        <w:rPr>
          <w:rFonts w:hint="eastAsia" w:ascii="仿宋_GB2312" w:hAnsi="宋体" w:eastAsia="仿宋_GB2312" w:cs="Arial"/>
          <w:b/>
          <w:bCs/>
          <w:sz w:val="32"/>
          <w:szCs w:val="32"/>
          <w:highlight w:val="none"/>
        </w:rPr>
        <w:t>（一）制定明确的、具有可操作性的定义和标准</w:t>
      </w:r>
      <w:bookmarkEnd w:id="543"/>
      <w:bookmarkEnd w:id="544"/>
      <w:bookmarkEnd w:id="545"/>
      <w:bookmarkEnd w:id="546"/>
      <w:bookmarkEnd w:id="547"/>
      <w:bookmarkEnd w:id="548"/>
      <w:bookmarkEnd w:id="549"/>
      <w:bookmarkEnd w:id="550"/>
      <w:bookmarkEnd w:id="551"/>
      <w:bookmarkEnd w:id="552"/>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 xml:space="preserve"> 同一业务及同一客户风险管理机制是跨部门、跨子公司的。在制定客户身份识别、关联关系认定标准以及同一业务分类和定义的制度流程等时，要充分考虑到各个部门、子公司的人员、系统等方面的具体情况、特别是差异情况，要具有可操作性。</w:t>
      </w:r>
    </w:p>
    <w:p>
      <w:pPr>
        <w:adjustRightInd w:val="0"/>
        <w:snapToGrid w:val="0"/>
        <w:spacing w:line="640" w:lineRule="exact"/>
        <w:ind w:firstLine="642" w:firstLineChars="200"/>
        <w:outlineLvl w:val="1"/>
        <w:rPr>
          <w:rFonts w:ascii="仿宋_GB2312" w:hAnsi="宋体" w:eastAsia="仿宋_GB2312" w:cs="Arial"/>
          <w:b/>
          <w:bCs/>
          <w:sz w:val="32"/>
          <w:szCs w:val="32"/>
          <w:highlight w:val="none"/>
        </w:rPr>
      </w:pPr>
      <w:bookmarkStart w:id="553" w:name="_Toc25086"/>
      <w:bookmarkStart w:id="554" w:name="_Toc13199"/>
      <w:bookmarkStart w:id="555" w:name="_Toc114140459"/>
      <w:bookmarkStart w:id="556" w:name="_Toc3404"/>
      <w:bookmarkStart w:id="557" w:name="_Toc111138429"/>
      <w:bookmarkStart w:id="558" w:name="_Toc14921"/>
      <w:bookmarkStart w:id="559" w:name="_Toc129992382_WPSOffice_Level2"/>
      <w:bookmarkStart w:id="560" w:name="_Toc18208"/>
      <w:bookmarkStart w:id="561" w:name="_Toc29037"/>
      <w:bookmarkStart w:id="562" w:name="_Toc10370"/>
      <w:bookmarkStart w:id="563" w:name="_Toc31237"/>
      <w:bookmarkStart w:id="564" w:name="_Toc26297"/>
      <w:bookmarkStart w:id="565" w:name="_Toc7071"/>
      <w:bookmarkStart w:id="566" w:name="_Toc19500"/>
      <w:r>
        <w:rPr>
          <w:rFonts w:hint="eastAsia" w:ascii="仿宋_GB2312" w:hAnsi="宋体" w:eastAsia="仿宋_GB2312" w:cs="Arial"/>
          <w:b/>
          <w:bCs/>
          <w:sz w:val="32"/>
          <w:szCs w:val="32"/>
          <w:highlight w:val="none"/>
        </w:rPr>
        <w:t>（二）重视数据治理和质量控制</w:t>
      </w:r>
      <w:bookmarkEnd w:id="553"/>
      <w:bookmarkEnd w:id="554"/>
      <w:bookmarkEnd w:id="555"/>
      <w:bookmarkEnd w:id="556"/>
      <w:bookmarkEnd w:id="557"/>
      <w:bookmarkEnd w:id="558"/>
      <w:bookmarkEnd w:id="559"/>
      <w:bookmarkEnd w:id="560"/>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证券公司应建立健全数据治理和质量控制机制。在同一业务、同一客户方面的相关工作至少包括以下几方面：风险数据收集，制定源头数据录入规范，建立统一的数据模型，规范数据标准，建立数据质量管控机制等。例如明确业务分类信息、客户身份识别信息等录入要求，制定证券交易市场、风险敞口等字典及指标标准，确保业务人员及开发人员规范、标准地处理数据。在已开展公司级数据治理工作情况下，上述相关工作应纳入公司整体数据治理体系中。</w:t>
      </w:r>
    </w:p>
    <w:p>
      <w:pPr>
        <w:adjustRightInd w:val="0"/>
        <w:snapToGrid w:val="0"/>
        <w:spacing w:line="640" w:lineRule="exact"/>
        <w:ind w:firstLine="642" w:firstLineChars="200"/>
        <w:outlineLvl w:val="1"/>
        <w:rPr>
          <w:rFonts w:ascii="仿宋_GB2312" w:hAnsi="宋体" w:eastAsia="仿宋_GB2312" w:cs="Arial"/>
          <w:b/>
          <w:bCs/>
          <w:sz w:val="32"/>
          <w:szCs w:val="32"/>
          <w:highlight w:val="none"/>
        </w:rPr>
      </w:pPr>
      <w:bookmarkStart w:id="567" w:name="_Toc263886671_WPSOffice_Level2"/>
      <w:bookmarkStart w:id="568" w:name="_Toc15843"/>
      <w:bookmarkStart w:id="569" w:name="_Toc7650"/>
      <w:bookmarkStart w:id="570" w:name="_Toc114140460"/>
      <w:r>
        <w:rPr>
          <w:rFonts w:hint="eastAsia" w:ascii="仿宋_GB2312" w:hAnsi="宋体" w:eastAsia="仿宋_GB2312" w:cs="Arial"/>
          <w:b/>
          <w:bCs/>
          <w:sz w:val="32"/>
          <w:szCs w:val="32"/>
          <w:highlight w:val="none"/>
        </w:rPr>
        <w:t>（三）提升系统的可扩展性</w:t>
      </w:r>
      <w:bookmarkEnd w:id="567"/>
      <w:bookmarkEnd w:id="568"/>
      <w:bookmarkEnd w:id="569"/>
      <w:bookmarkEnd w:id="570"/>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在行业整体数字化水平不断提升背景下，为满足各类业务创新及客户个性化管理需求，证券公司在建设系统时，应在软硬件及系统架构层面规划足够扩展空间，让系统保持足够弹性。在硬件扩展性方面，为深度学习等各类人工智能算法部署预留算力支持；在软件扩展性方面，预留各类标准化接口，做好人工智能、大数据等各类服务的实时对接；在架构扩展性方面，支持分布式存储及计算，并做好各类异构数据的融合。</w:t>
      </w:r>
    </w:p>
    <w:bookmarkEnd w:id="561"/>
    <w:bookmarkEnd w:id="562"/>
    <w:bookmarkEnd w:id="563"/>
    <w:p>
      <w:pPr>
        <w:adjustRightInd w:val="0"/>
        <w:snapToGrid w:val="0"/>
        <w:spacing w:line="640" w:lineRule="exact"/>
        <w:ind w:firstLine="642" w:firstLineChars="200"/>
        <w:outlineLvl w:val="1"/>
        <w:rPr>
          <w:rFonts w:ascii="仿宋_GB2312" w:hAnsi="宋体" w:eastAsia="仿宋_GB2312" w:cs="Arial"/>
          <w:b/>
          <w:bCs/>
          <w:sz w:val="32"/>
          <w:szCs w:val="32"/>
          <w:highlight w:val="none"/>
        </w:rPr>
      </w:pPr>
      <w:bookmarkStart w:id="571" w:name="_Toc1999330479_WPSOffice_Level2"/>
      <w:bookmarkStart w:id="572" w:name="_Toc13463"/>
      <w:bookmarkStart w:id="573" w:name="_Toc20495"/>
      <w:bookmarkStart w:id="574" w:name="_Toc654"/>
      <w:bookmarkStart w:id="575" w:name="_Toc9173"/>
      <w:bookmarkStart w:id="576" w:name="_Toc114140461"/>
      <w:bookmarkStart w:id="577" w:name="_Toc30120"/>
      <w:r>
        <w:rPr>
          <w:rFonts w:hint="eastAsia" w:ascii="仿宋_GB2312" w:hAnsi="宋体" w:eastAsia="仿宋_GB2312" w:cs="Arial"/>
          <w:b/>
          <w:bCs/>
          <w:sz w:val="32"/>
          <w:szCs w:val="32"/>
          <w:highlight w:val="none"/>
        </w:rPr>
        <w:t>（四）要量“需”而为</w:t>
      </w:r>
      <w:bookmarkEnd w:id="564"/>
      <w:bookmarkEnd w:id="565"/>
      <w:bookmarkEnd w:id="566"/>
      <w:bookmarkEnd w:id="571"/>
      <w:bookmarkEnd w:id="572"/>
      <w:bookmarkEnd w:id="573"/>
      <w:bookmarkEnd w:id="574"/>
      <w:bookmarkEnd w:id="575"/>
      <w:bookmarkEnd w:id="576"/>
      <w:bookmarkEnd w:id="577"/>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证券公司应结合自身特点逐步实现。</w:t>
      </w:r>
      <w:r>
        <w:rPr>
          <w:rFonts w:hint="eastAsia" w:ascii="仿宋_GB2312" w:eastAsia="仿宋_GB2312"/>
          <w:sz w:val="32"/>
          <w:szCs w:val="32"/>
          <w:highlight w:val="none"/>
        </w:rPr>
        <w:t>在实施层面，可按照重要性程度依次推进，整体上秉持先易后难的原则，先母公司后集团，先信用、投资业务后其他业务（如投行、资产管理业务等）、先境内后境外的顺序逐步推进集团内同一客户的集中统一风险管理工作。</w:t>
      </w:r>
      <w:r>
        <w:rPr>
          <w:rFonts w:hint="eastAsia" w:ascii="仿宋_GB2312" w:hAnsi="宋体" w:eastAsia="仿宋_GB2312" w:cs="Arial"/>
          <w:sz w:val="32"/>
          <w:szCs w:val="32"/>
          <w:highlight w:val="none"/>
        </w:rPr>
        <w:t>境外业务、境外客户占比较小的证券公司，可以在现阶段通过非系统化的方式对这部分业务、客户进行管理。</w:t>
      </w:r>
    </w:p>
    <w:p>
      <w:pPr>
        <w:adjustRightInd w:val="0"/>
        <w:snapToGrid w:val="0"/>
        <w:spacing w:line="640" w:lineRule="exact"/>
        <w:ind w:firstLine="642" w:firstLineChars="200"/>
        <w:outlineLvl w:val="1"/>
        <w:rPr>
          <w:rFonts w:ascii="仿宋_GB2312" w:hAnsi="宋体" w:eastAsia="仿宋_GB2312" w:cs="Arial"/>
          <w:b/>
          <w:bCs/>
          <w:sz w:val="32"/>
          <w:szCs w:val="32"/>
          <w:highlight w:val="none"/>
        </w:rPr>
      </w:pPr>
      <w:bookmarkStart w:id="578" w:name="_Toc114140462"/>
      <w:bookmarkStart w:id="579" w:name="_Toc32112"/>
      <w:bookmarkStart w:id="580" w:name="_Toc14416"/>
      <w:bookmarkStart w:id="581" w:name="_Toc1978934420_WPSOffice_Level2"/>
      <w:bookmarkStart w:id="582" w:name="_Toc14128"/>
      <w:bookmarkStart w:id="583" w:name="_Toc2576"/>
      <w:bookmarkStart w:id="584" w:name="_Toc831"/>
      <w:r>
        <w:rPr>
          <w:rFonts w:hint="eastAsia" w:ascii="仿宋_GB2312" w:hAnsi="宋体" w:eastAsia="仿宋_GB2312" w:cs="Arial"/>
          <w:b/>
          <w:bCs/>
          <w:sz w:val="32"/>
          <w:szCs w:val="32"/>
          <w:highlight w:val="none"/>
        </w:rPr>
        <w:t>（五）建立动态调整机制</w:t>
      </w:r>
      <w:bookmarkEnd w:id="578"/>
      <w:bookmarkEnd w:id="579"/>
      <w:bookmarkEnd w:id="580"/>
      <w:bookmarkEnd w:id="581"/>
      <w:bookmarkEnd w:id="582"/>
      <w:bookmarkEnd w:id="583"/>
      <w:bookmarkEnd w:id="584"/>
    </w:p>
    <w:p>
      <w:pPr>
        <w:adjustRightInd w:val="0"/>
        <w:snapToGrid w:val="0"/>
        <w:spacing w:line="640" w:lineRule="exact"/>
        <w:ind w:firstLine="640" w:firstLineChars="200"/>
        <w:rPr>
          <w:rFonts w:ascii="仿宋_GB2312" w:hAnsi="宋体" w:eastAsia="仿宋_GB2312" w:cs="Arial"/>
          <w:sz w:val="32"/>
          <w:szCs w:val="32"/>
          <w:highlight w:val="none"/>
        </w:rPr>
      </w:pPr>
      <w:r>
        <w:rPr>
          <w:rFonts w:hint="eastAsia" w:ascii="仿宋_GB2312" w:hAnsi="宋体" w:eastAsia="仿宋_GB2312" w:cs="Arial"/>
          <w:sz w:val="32"/>
          <w:szCs w:val="32"/>
          <w:highlight w:val="none"/>
        </w:rPr>
        <w:t>证券公司应定期、不定期对同一业务的定义及分类分层、同一客户的定义及认定标准、在风险管理中的应用以及配套的系统等进行回溯、评估、动态调整，不断优化完善。</w:t>
      </w:r>
    </w:p>
    <w:p>
      <w:pPr>
        <w:adjustRightInd w:val="0"/>
        <w:snapToGrid w:val="0"/>
        <w:spacing w:line="640" w:lineRule="exact"/>
        <w:ind w:firstLine="640" w:firstLineChars="200"/>
        <w:rPr>
          <w:rFonts w:ascii="仿宋_GB2312" w:hAnsi="宋体" w:eastAsia="仿宋_GB2312" w:cs="Arial"/>
          <w:sz w:val="32"/>
          <w:szCs w:val="32"/>
          <w:highlight w:val="none"/>
        </w:rPr>
      </w:pPr>
    </w:p>
    <w:p>
      <w:pPr>
        <w:adjustRightInd w:val="0"/>
        <w:snapToGrid w:val="0"/>
        <w:spacing w:line="640" w:lineRule="exact"/>
        <w:ind w:firstLine="640" w:firstLineChars="200"/>
        <w:jc w:val="right"/>
        <w:rPr>
          <w:rFonts w:ascii="仿宋_GB2312" w:hAnsi="宋体" w:eastAsia="仿宋_GB2312" w:cs="Arial"/>
          <w:sz w:val="32"/>
          <w:szCs w:val="32"/>
          <w:highlight w:val="none"/>
        </w:rPr>
      </w:pPr>
    </w:p>
    <w:sectPr>
      <w:footerReference r:id="rId7" w:type="default"/>
      <w:type w:val="continuous"/>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0000019F" w:csb1="00000000"/>
  </w:font>
  <w:font w:name="FZFangSong-Z02">
    <w:panose1 w:val="02000000000000000000"/>
    <w:charset w:val="86"/>
    <w:family w:val="script"/>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PMingLiU">
    <w:altName w:val="Droid Sans Fallback"/>
    <w:panose1 w:val="02010601000101010101"/>
    <w:charset w:val="88"/>
    <w:family w:val="roman"/>
    <w:pitch w:val="default"/>
    <w:sig w:usb0="00000000" w:usb1="00000000" w:usb2="00000016" w:usb3="00000000" w:csb0="00100001" w:csb1="00000000"/>
  </w:font>
  <w:font w:name="等线">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 w:name="FreeSerif">
    <w:panose1 w:val="02020603050405020304"/>
    <w:charset w:val="00"/>
    <w:family w:val="auto"/>
    <w:pitch w:val="default"/>
    <w:sig w:usb0="E59FAFFF" w:usb1="C200FDFF" w:usb2="43501B29" w:usb3="04000043" w:csb0="600101FF" w:csb1="FFFF0000"/>
  </w:font>
  <w:font w:name="Droid Sans Fallback">
    <w:panose1 w:val="020B0502000000000001"/>
    <w:charset w:val="86"/>
    <w:family w:val="auto"/>
    <w:pitch w:val="default"/>
    <w:sig w:usb0="910002FF" w:usb1="2BDFFCFB" w:usb2="00000036" w:usb3="00000000" w:csb0="203F01FF"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2"/>
      </w:rPr>
      <w:id w:val="1119032701"/>
    </w:sdtPr>
    <w:sdtEndPr>
      <w:rPr>
        <w:rStyle w:val="22"/>
      </w:rPr>
    </w:sdtEndPr>
    <w:sdtContent>
      <w:p>
        <w:pPr>
          <w:pStyle w:val="12"/>
          <w:framePr w:wrap="auto" w:vAnchor="text" w:hAnchor="margin" w:xAlign="right" w:y="1"/>
          <w:rPr>
            <w:rStyle w:val="22"/>
          </w:rPr>
        </w:pPr>
        <w:r>
          <w:rPr>
            <w:rStyle w:val="22"/>
          </w:rPr>
          <w:fldChar w:fldCharType="begin"/>
        </w:r>
        <w:r>
          <w:rPr>
            <w:rStyle w:val="22"/>
          </w:rPr>
          <w:instrText xml:space="preserve"> PAGE </w:instrText>
        </w:r>
        <w:r>
          <w:rPr>
            <w:rStyle w:val="22"/>
          </w:rPr>
          <w:fldChar w:fldCharType="end"/>
        </w:r>
      </w:p>
    </w:sdtContent>
  </w:sdt>
  <w:p>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7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b/>
        <w:caps/>
        <w:color w:val="000000" w:themeColor="text1"/>
        <w14:textFill>
          <w14:solidFill>
            <w14:schemeClr w14:val="tx1"/>
          </w14:solidFill>
        </w14:textFill>
      </w:rPr>
    </w:pPr>
    <w:r>
      <w:rPr>
        <w:b/>
        <w:caps/>
        <w:color w:val="000000" w:themeColor="text1"/>
        <w14:textFill>
          <w14:solidFill>
            <w14:schemeClr w14:val="tx1"/>
          </w14:solidFill>
        </w14:textFill>
      </w:rPr>
      <w:fldChar w:fldCharType="begin"/>
    </w:r>
    <w:r>
      <w:rPr>
        <w:b/>
        <w:caps/>
        <w:color w:val="000000" w:themeColor="text1"/>
        <w14:textFill>
          <w14:solidFill>
            <w14:schemeClr w14:val="tx1"/>
          </w14:solidFill>
        </w14:textFill>
      </w:rPr>
      <w:instrText xml:space="preserve"> PAGE   \* MERGEFORMAT </w:instrText>
    </w:r>
    <w:r>
      <w:rPr>
        <w:b/>
        <w:caps/>
        <w:color w:val="000000" w:themeColor="text1"/>
        <w14:textFill>
          <w14:solidFill>
            <w14:schemeClr w14:val="tx1"/>
          </w14:solidFill>
        </w14:textFill>
      </w:rPr>
      <w:fldChar w:fldCharType="separate"/>
    </w:r>
    <w:r>
      <w:rPr>
        <w:b/>
        <w:caps/>
        <w:color w:val="000000" w:themeColor="text1"/>
        <w14:textFill>
          <w14:solidFill>
            <w14:schemeClr w14:val="tx1"/>
          </w14:solidFill>
        </w14:textFill>
      </w:rPr>
      <w:t>21</w:t>
    </w:r>
    <w:r>
      <w:rPr>
        <w:b/>
        <w:caps/>
        <w:color w:val="000000" w:themeColor="text1"/>
        <w14:textFill>
          <w14:solidFill>
            <w14:schemeClr w14:val="tx1"/>
          </w14:solidFill>
        </w14:textFill>
      </w:rPr>
      <w:fldChar w:fldCharType="end"/>
    </w:r>
  </w:p>
  <w:p>
    <w:pPr>
      <w:pStyle w:val="12"/>
      <w:ind w:right="7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JkNDU4NGU3ZDU4YTczNTI0ZjljODYxODQzYjRkNmUifQ=="/>
  </w:docVars>
  <w:rsids>
    <w:rsidRoot w:val="00172A27"/>
    <w:rsid w:val="00000662"/>
    <w:rsid w:val="000008A5"/>
    <w:rsid w:val="00000A12"/>
    <w:rsid w:val="00001C30"/>
    <w:rsid w:val="00002200"/>
    <w:rsid w:val="00002E28"/>
    <w:rsid w:val="00006A55"/>
    <w:rsid w:val="0000756A"/>
    <w:rsid w:val="00007750"/>
    <w:rsid w:val="00007D0B"/>
    <w:rsid w:val="00012848"/>
    <w:rsid w:val="00012DEA"/>
    <w:rsid w:val="00013AF1"/>
    <w:rsid w:val="00016DCC"/>
    <w:rsid w:val="00017431"/>
    <w:rsid w:val="00021055"/>
    <w:rsid w:val="0002225C"/>
    <w:rsid w:val="00022386"/>
    <w:rsid w:val="000262D7"/>
    <w:rsid w:val="000267B7"/>
    <w:rsid w:val="00027F83"/>
    <w:rsid w:val="00030F80"/>
    <w:rsid w:val="00031376"/>
    <w:rsid w:val="00031569"/>
    <w:rsid w:val="00032102"/>
    <w:rsid w:val="00033203"/>
    <w:rsid w:val="00033829"/>
    <w:rsid w:val="000342D3"/>
    <w:rsid w:val="000352CE"/>
    <w:rsid w:val="0003555F"/>
    <w:rsid w:val="00037822"/>
    <w:rsid w:val="00040C58"/>
    <w:rsid w:val="00041292"/>
    <w:rsid w:val="00042BBF"/>
    <w:rsid w:val="00042C68"/>
    <w:rsid w:val="00043872"/>
    <w:rsid w:val="0004421A"/>
    <w:rsid w:val="000442BF"/>
    <w:rsid w:val="0004524C"/>
    <w:rsid w:val="00046D89"/>
    <w:rsid w:val="000472B4"/>
    <w:rsid w:val="00050461"/>
    <w:rsid w:val="000509FF"/>
    <w:rsid w:val="00051970"/>
    <w:rsid w:val="00052C25"/>
    <w:rsid w:val="00054525"/>
    <w:rsid w:val="00054536"/>
    <w:rsid w:val="000549B7"/>
    <w:rsid w:val="00054D40"/>
    <w:rsid w:val="00056504"/>
    <w:rsid w:val="00057E45"/>
    <w:rsid w:val="000610B2"/>
    <w:rsid w:val="00061F5D"/>
    <w:rsid w:val="0006218A"/>
    <w:rsid w:val="0006243A"/>
    <w:rsid w:val="00063837"/>
    <w:rsid w:val="0006521B"/>
    <w:rsid w:val="00065F6A"/>
    <w:rsid w:val="000678F9"/>
    <w:rsid w:val="00067D71"/>
    <w:rsid w:val="000703BA"/>
    <w:rsid w:val="0007142D"/>
    <w:rsid w:val="00071964"/>
    <w:rsid w:val="000725A7"/>
    <w:rsid w:val="000725EE"/>
    <w:rsid w:val="000731E9"/>
    <w:rsid w:val="0007385D"/>
    <w:rsid w:val="00073880"/>
    <w:rsid w:val="00073B4D"/>
    <w:rsid w:val="00073D0F"/>
    <w:rsid w:val="00075840"/>
    <w:rsid w:val="0008078D"/>
    <w:rsid w:val="00080C84"/>
    <w:rsid w:val="00081477"/>
    <w:rsid w:val="00081B53"/>
    <w:rsid w:val="0008262D"/>
    <w:rsid w:val="0008382B"/>
    <w:rsid w:val="00083AFF"/>
    <w:rsid w:val="000856CE"/>
    <w:rsid w:val="00090776"/>
    <w:rsid w:val="00090EB9"/>
    <w:rsid w:val="0009195A"/>
    <w:rsid w:val="00091E71"/>
    <w:rsid w:val="00092A35"/>
    <w:rsid w:val="00092DDB"/>
    <w:rsid w:val="000934AC"/>
    <w:rsid w:val="00095059"/>
    <w:rsid w:val="0009633C"/>
    <w:rsid w:val="0009667D"/>
    <w:rsid w:val="00097376"/>
    <w:rsid w:val="0009770F"/>
    <w:rsid w:val="000A087E"/>
    <w:rsid w:val="000A14DE"/>
    <w:rsid w:val="000A1DA7"/>
    <w:rsid w:val="000A314B"/>
    <w:rsid w:val="000A48A6"/>
    <w:rsid w:val="000A5231"/>
    <w:rsid w:val="000A7830"/>
    <w:rsid w:val="000B2DA6"/>
    <w:rsid w:val="000B310D"/>
    <w:rsid w:val="000B6420"/>
    <w:rsid w:val="000B7764"/>
    <w:rsid w:val="000B7B95"/>
    <w:rsid w:val="000C1122"/>
    <w:rsid w:val="000C1D40"/>
    <w:rsid w:val="000C33D6"/>
    <w:rsid w:val="000C4EF7"/>
    <w:rsid w:val="000C5346"/>
    <w:rsid w:val="000C5A34"/>
    <w:rsid w:val="000C6F04"/>
    <w:rsid w:val="000C7466"/>
    <w:rsid w:val="000C785F"/>
    <w:rsid w:val="000D2245"/>
    <w:rsid w:val="000D5928"/>
    <w:rsid w:val="000D6822"/>
    <w:rsid w:val="000D7A7F"/>
    <w:rsid w:val="000D7D6E"/>
    <w:rsid w:val="000D7F93"/>
    <w:rsid w:val="000E1174"/>
    <w:rsid w:val="000E1540"/>
    <w:rsid w:val="000E1D5A"/>
    <w:rsid w:val="000E2F71"/>
    <w:rsid w:val="000E30AD"/>
    <w:rsid w:val="000E6D37"/>
    <w:rsid w:val="000E7E45"/>
    <w:rsid w:val="000F10D5"/>
    <w:rsid w:val="000F1D52"/>
    <w:rsid w:val="000F2D57"/>
    <w:rsid w:val="000F30AD"/>
    <w:rsid w:val="000F34F1"/>
    <w:rsid w:val="000F3F2B"/>
    <w:rsid w:val="000F4156"/>
    <w:rsid w:val="000F494E"/>
    <w:rsid w:val="000F58DF"/>
    <w:rsid w:val="000F6CDF"/>
    <w:rsid w:val="000F76BA"/>
    <w:rsid w:val="00101500"/>
    <w:rsid w:val="00101648"/>
    <w:rsid w:val="00101C65"/>
    <w:rsid w:val="00102B68"/>
    <w:rsid w:val="00103637"/>
    <w:rsid w:val="00106B0C"/>
    <w:rsid w:val="00110569"/>
    <w:rsid w:val="00110B77"/>
    <w:rsid w:val="00110EF5"/>
    <w:rsid w:val="00111365"/>
    <w:rsid w:val="00111DC7"/>
    <w:rsid w:val="00112FE5"/>
    <w:rsid w:val="00114FFF"/>
    <w:rsid w:val="001162C0"/>
    <w:rsid w:val="00120BA9"/>
    <w:rsid w:val="00122ED4"/>
    <w:rsid w:val="001230CF"/>
    <w:rsid w:val="00123793"/>
    <w:rsid w:val="0012426A"/>
    <w:rsid w:val="001257F7"/>
    <w:rsid w:val="001266CE"/>
    <w:rsid w:val="001275A4"/>
    <w:rsid w:val="00131052"/>
    <w:rsid w:val="00131636"/>
    <w:rsid w:val="0013290D"/>
    <w:rsid w:val="0013735B"/>
    <w:rsid w:val="00137AE9"/>
    <w:rsid w:val="0014229C"/>
    <w:rsid w:val="00142536"/>
    <w:rsid w:val="00142E36"/>
    <w:rsid w:val="00144B52"/>
    <w:rsid w:val="00145CDA"/>
    <w:rsid w:val="00145DF3"/>
    <w:rsid w:val="00145F67"/>
    <w:rsid w:val="00146283"/>
    <w:rsid w:val="001464BF"/>
    <w:rsid w:val="00150F9B"/>
    <w:rsid w:val="00152A39"/>
    <w:rsid w:val="00153CA7"/>
    <w:rsid w:val="0015469D"/>
    <w:rsid w:val="001549CF"/>
    <w:rsid w:val="00155868"/>
    <w:rsid w:val="001560C0"/>
    <w:rsid w:val="001574AE"/>
    <w:rsid w:val="00157C9E"/>
    <w:rsid w:val="00160336"/>
    <w:rsid w:val="00161725"/>
    <w:rsid w:val="00161BAB"/>
    <w:rsid w:val="00162015"/>
    <w:rsid w:val="001625D0"/>
    <w:rsid w:val="0016270C"/>
    <w:rsid w:val="00162F29"/>
    <w:rsid w:val="00163527"/>
    <w:rsid w:val="00164882"/>
    <w:rsid w:val="00164BEB"/>
    <w:rsid w:val="00167659"/>
    <w:rsid w:val="0016798D"/>
    <w:rsid w:val="001703B0"/>
    <w:rsid w:val="0017264B"/>
    <w:rsid w:val="00172A27"/>
    <w:rsid w:val="001735B5"/>
    <w:rsid w:val="00173B07"/>
    <w:rsid w:val="00173EC6"/>
    <w:rsid w:val="00174C20"/>
    <w:rsid w:val="0017540B"/>
    <w:rsid w:val="001763DB"/>
    <w:rsid w:val="00176D89"/>
    <w:rsid w:val="001778C0"/>
    <w:rsid w:val="00177C3B"/>
    <w:rsid w:val="00180C8D"/>
    <w:rsid w:val="00182396"/>
    <w:rsid w:val="00182E14"/>
    <w:rsid w:val="00183253"/>
    <w:rsid w:val="0018417C"/>
    <w:rsid w:val="0018507E"/>
    <w:rsid w:val="00185DD6"/>
    <w:rsid w:val="001873BF"/>
    <w:rsid w:val="0019231D"/>
    <w:rsid w:val="00192C7F"/>
    <w:rsid w:val="00192E98"/>
    <w:rsid w:val="00193E14"/>
    <w:rsid w:val="00194CB5"/>
    <w:rsid w:val="001951E9"/>
    <w:rsid w:val="00195585"/>
    <w:rsid w:val="00196BD9"/>
    <w:rsid w:val="00197396"/>
    <w:rsid w:val="00197413"/>
    <w:rsid w:val="00197D33"/>
    <w:rsid w:val="00197FC3"/>
    <w:rsid w:val="001A0F48"/>
    <w:rsid w:val="001A12BE"/>
    <w:rsid w:val="001A1D25"/>
    <w:rsid w:val="001A299E"/>
    <w:rsid w:val="001A6E6A"/>
    <w:rsid w:val="001A7ED8"/>
    <w:rsid w:val="001B09C9"/>
    <w:rsid w:val="001B1A7A"/>
    <w:rsid w:val="001B27DF"/>
    <w:rsid w:val="001B2CBF"/>
    <w:rsid w:val="001B5A8E"/>
    <w:rsid w:val="001B5B49"/>
    <w:rsid w:val="001B6392"/>
    <w:rsid w:val="001B718C"/>
    <w:rsid w:val="001B75A2"/>
    <w:rsid w:val="001C0B03"/>
    <w:rsid w:val="001C12FD"/>
    <w:rsid w:val="001C14FC"/>
    <w:rsid w:val="001C477F"/>
    <w:rsid w:val="001C4EF3"/>
    <w:rsid w:val="001C64D0"/>
    <w:rsid w:val="001C67E2"/>
    <w:rsid w:val="001C7E2F"/>
    <w:rsid w:val="001D0F16"/>
    <w:rsid w:val="001D11B8"/>
    <w:rsid w:val="001D3B6A"/>
    <w:rsid w:val="001D4F45"/>
    <w:rsid w:val="001D5A8A"/>
    <w:rsid w:val="001E1BCA"/>
    <w:rsid w:val="001E2E54"/>
    <w:rsid w:val="001E372B"/>
    <w:rsid w:val="001E3AE2"/>
    <w:rsid w:val="001E3B06"/>
    <w:rsid w:val="001E4A1C"/>
    <w:rsid w:val="001E4A8C"/>
    <w:rsid w:val="001E4FF3"/>
    <w:rsid w:val="001E64AD"/>
    <w:rsid w:val="001E7093"/>
    <w:rsid w:val="001E74F8"/>
    <w:rsid w:val="001F04E3"/>
    <w:rsid w:val="001F0AAC"/>
    <w:rsid w:val="001F0C41"/>
    <w:rsid w:val="001F1E31"/>
    <w:rsid w:val="001F2759"/>
    <w:rsid w:val="001F4FFE"/>
    <w:rsid w:val="001F58A8"/>
    <w:rsid w:val="001F6215"/>
    <w:rsid w:val="001F69E7"/>
    <w:rsid w:val="002015C9"/>
    <w:rsid w:val="0020266E"/>
    <w:rsid w:val="00202A1A"/>
    <w:rsid w:val="00203A98"/>
    <w:rsid w:val="00203EA5"/>
    <w:rsid w:val="0020405F"/>
    <w:rsid w:val="00205ABB"/>
    <w:rsid w:val="00205EF0"/>
    <w:rsid w:val="00210085"/>
    <w:rsid w:val="0021238D"/>
    <w:rsid w:val="0021496E"/>
    <w:rsid w:val="00214973"/>
    <w:rsid w:val="002150D2"/>
    <w:rsid w:val="00221FBF"/>
    <w:rsid w:val="00223DA0"/>
    <w:rsid w:val="00224FF2"/>
    <w:rsid w:val="00225445"/>
    <w:rsid w:val="002254C8"/>
    <w:rsid w:val="00225EEF"/>
    <w:rsid w:val="00226810"/>
    <w:rsid w:val="002274DA"/>
    <w:rsid w:val="00230F24"/>
    <w:rsid w:val="00231D23"/>
    <w:rsid w:val="00231F6D"/>
    <w:rsid w:val="002321BA"/>
    <w:rsid w:val="002326C1"/>
    <w:rsid w:val="00233EFE"/>
    <w:rsid w:val="0023472D"/>
    <w:rsid w:val="00236DEA"/>
    <w:rsid w:val="00237816"/>
    <w:rsid w:val="00237B5A"/>
    <w:rsid w:val="002400CC"/>
    <w:rsid w:val="0024053C"/>
    <w:rsid w:val="002428D1"/>
    <w:rsid w:val="002441A2"/>
    <w:rsid w:val="002451C7"/>
    <w:rsid w:val="00250A9C"/>
    <w:rsid w:val="00250D5B"/>
    <w:rsid w:val="00253A07"/>
    <w:rsid w:val="00257B22"/>
    <w:rsid w:val="00262724"/>
    <w:rsid w:val="00262BEB"/>
    <w:rsid w:val="00263960"/>
    <w:rsid w:val="00270A67"/>
    <w:rsid w:val="002711AD"/>
    <w:rsid w:val="00272B0B"/>
    <w:rsid w:val="00274F0A"/>
    <w:rsid w:val="0027510C"/>
    <w:rsid w:val="00275499"/>
    <w:rsid w:val="00275513"/>
    <w:rsid w:val="00276115"/>
    <w:rsid w:val="0028038E"/>
    <w:rsid w:val="002810CB"/>
    <w:rsid w:val="00282059"/>
    <w:rsid w:val="00284435"/>
    <w:rsid w:val="00284A4E"/>
    <w:rsid w:val="00287881"/>
    <w:rsid w:val="00290C18"/>
    <w:rsid w:val="0029275D"/>
    <w:rsid w:val="00293EB7"/>
    <w:rsid w:val="00294888"/>
    <w:rsid w:val="00296D28"/>
    <w:rsid w:val="00297808"/>
    <w:rsid w:val="002A20B0"/>
    <w:rsid w:val="002A2500"/>
    <w:rsid w:val="002A40C1"/>
    <w:rsid w:val="002A60FD"/>
    <w:rsid w:val="002A6D8E"/>
    <w:rsid w:val="002A73F5"/>
    <w:rsid w:val="002A7693"/>
    <w:rsid w:val="002B43E3"/>
    <w:rsid w:val="002B45DB"/>
    <w:rsid w:val="002B47C7"/>
    <w:rsid w:val="002B4800"/>
    <w:rsid w:val="002B5ACF"/>
    <w:rsid w:val="002B70BA"/>
    <w:rsid w:val="002B760C"/>
    <w:rsid w:val="002B7B7F"/>
    <w:rsid w:val="002C0261"/>
    <w:rsid w:val="002C1D21"/>
    <w:rsid w:val="002C206C"/>
    <w:rsid w:val="002C42CC"/>
    <w:rsid w:val="002C4762"/>
    <w:rsid w:val="002C4FA0"/>
    <w:rsid w:val="002C50F8"/>
    <w:rsid w:val="002C593F"/>
    <w:rsid w:val="002C779A"/>
    <w:rsid w:val="002D147B"/>
    <w:rsid w:val="002D14F6"/>
    <w:rsid w:val="002D2301"/>
    <w:rsid w:val="002D5A37"/>
    <w:rsid w:val="002E01B5"/>
    <w:rsid w:val="002E0253"/>
    <w:rsid w:val="002E1835"/>
    <w:rsid w:val="002E54B6"/>
    <w:rsid w:val="002E69A8"/>
    <w:rsid w:val="002E74DC"/>
    <w:rsid w:val="002F02E3"/>
    <w:rsid w:val="002F1B68"/>
    <w:rsid w:val="00302511"/>
    <w:rsid w:val="0030374D"/>
    <w:rsid w:val="0030472D"/>
    <w:rsid w:val="00304934"/>
    <w:rsid w:val="00304A4F"/>
    <w:rsid w:val="0030578B"/>
    <w:rsid w:val="00307258"/>
    <w:rsid w:val="00307488"/>
    <w:rsid w:val="003109F7"/>
    <w:rsid w:val="003138BE"/>
    <w:rsid w:val="003140C6"/>
    <w:rsid w:val="00315643"/>
    <w:rsid w:val="00316B9F"/>
    <w:rsid w:val="00317592"/>
    <w:rsid w:val="00320402"/>
    <w:rsid w:val="0032119C"/>
    <w:rsid w:val="00322975"/>
    <w:rsid w:val="00325E9A"/>
    <w:rsid w:val="0033062E"/>
    <w:rsid w:val="00331197"/>
    <w:rsid w:val="00331B26"/>
    <w:rsid w:val="00333DEE"/>
    <w:rsid w:val="00347D93"/>
    <w:rsid w:val="003503F7"/>
    <w:rsid w:val="0035123C"/>
    <w:rsid w:val="00351D32"/>
    <w:rsid w:val="0035218A"/>
    <w:rsid w:val="00352D93"/>
    <w:rsid w:val="003538D8"/>
    <w:rsid w:val="00353A40"/>
    <w:rsid w:val="003557D4"/>
    <w:rsid w:val="00355978"/>
    <w:rsid w:val="00355E85"/>
    <w:rsid w:val="0035600C"/>
    <w:rsid w:val="00356632"/>
    <w:rsid w:val="00356968"/>
    <w:rsid w:val="003601E8"/>
    <w:rsid w:val="00361B74"/>
    <w:rsid w:val="0036228B"/>
    <w:rsid w:val="0036266D"/>
    <w:rsid w:val="00364839"/>
    <w:rsid w:val="003659B6"/>
    <w:rsid w:val="003714E1"/>
    <w:rsid w:val="00371E31"/>
    <w:rsid w:val="00371F18"/>
    <w:rsid w:val="003729FD"/>
    <w:rsid w:val="00372B57"/>
    <w:rsid w:val="00373301"/>
    <w:rsid w:val="00374749"/>
    <w:rsid w:val="003775AB"/>
    <w:rsid w:val="003804FA"/>
    <w:rsid w:val="003835B7"/>
    <w:rsid w:val="00383624"/>
    <w:rsid w:val="00385B17"/>
    <w:rsid w:val="00390509"/>
    <w:rsid w:val="00390CCB"/>
    <w:rsid w:val="00390E1C"/>
    <w:rsid w:val="00391723"/>
    <w:rsid w:val="00393F08"/>
    <w:rsid w:val="00394050"/>
    <w:rsid w:val="00394179"/>
    <w:rsid w:val="00394266"/>
    <w:rsid w:val="00394482"/>
    <w:rsid w:val="00394544"/>
    <w:rsid w:val="00394DD0"/>
    <w:rsid w:val="00395E12"/>
    <w:rsid w:val="00396889"/>
    <w:rsid w:val="00396E18"/>
    <w:rsid w:val="00397AA8"/>
    <w:rsid w:val="003A0827"/>
    <w:rsid w:val="003A08E5"/>
    <w:rsid w:val="003A1439"/>
    <w:rsid w:val="003A1787"/>
    <w:rsid w:val="003A32B0"/>
    <w:rsid w:val="003A4D44"/>
    <w:rsid w:val="003B0897"/>
    <w:rsid w:val="003B1424"/>
    <w:rsid w:val="003B2F52"/>
    <w:rsid w:val="003B50B3"/>
    <w:rsid w:val="003B57E2"/>
    <w:rsid w:val="003B6354"/>
    <w:rsid w:val="003C0165"/>
    <w:rsid w:val="003C4BA5"/>
    <w:rsid w:val="003C5C58"/>
    <w:rsid w:val="003C5E6C"/>
    <w:rsid w:val="003D265D"/>
    <w:rsid w:val="003D3A52"/>
    <w:rsid w:val="003D5A1C"/>
    <w:rsid w:val="003D6354"/>
    <w:rsid w:val="003D6A02"/>
    <w:rsid w:val="003E027A"/>
    <w:rsid w:val="003E2079"/>
    <w:rsid w:val="003E24AA"/>
    <w:rsid w:val="003E3093"/>
    <w:rsid w:val="003E4FF7"/>
    <w:rsid w:val="003E5BBF"/>
    <w:rsid w:val="003E5E00"/>
    <w:rsid w:val="003E7506"/>
    <w:rsid w:val="003F2807"/>
    <w:rsid w:val="003F28A8"/>
    <w:rsid w:val="003F3537"/>
    <w:rsid w:val="003F42DC"/>
    <w:rsid w:val="003F68E8"/>
    <w:rsid w:val="003F69D8"/>
    <w:rsid w:val="003F7333"/>
    <w:rsid w:val="0040090B"/>
    <w:rsid w:val="004014AA"/>
    <w:rsid w:val="00401D73"/>
    <w:rsid w:val="00402341"/>
    <w:rsid w:val="004029AE"/>
    <w:rsid w:val="00403832"/>
    <w:rsid w:val="0040595B"/>
    <w:rsid w:val="00407143"/>
    <w:rsid w:val="0041143D"/>
    <w:rsid w:val="00412313"/>
    <w:rsid w:val="00412CDF"/>
    <w:rsid w:val="00413EDF"/>
    <w:rsid w:val="00416FB5"/>
    <w:rsid w:val="00417ED4"/>
    <w:rsid w:val="00421795"/>
    <w:rsid w:val="004232CA"/>
    <w:rsid w:val="00423933"/>
    <w:rsid w:val="00425053"/>
    <w:rsid w:val="00425472"/>
    <w:rsid w:val="004261D2"/>
    <w:rsid w:val="00426598"/>
    <w:rsid w:val="00431EDC"/>
    <w:rsid w:val="00432B6C"/>
    <w:rsid w:val="00432BF0"/>
    <w:rsid w:val="00432E50"/>
    <w:rsid w:val="004343B4"/>
    <w:rsid w:val="00434DBA"/>
    <w:rsid w:val="004375EC"/>
    <w:rsid w:val="0043762A"/>
    <w:rsid w:val="0044316C"/>
    <w:rsid w:val="00447012"/>
    <w:rsid w:val="00447293"/>
    <w:rsid w:val="004505AD"/>
    <w:rsid w:val="004526EF"/>
    <w:rsid w:val="00453368"/>
    <w:rsid w:val="00455093"/>
    <w:rsid w:val="00455828"/>
    <w:rsid w:val="00455CB2"/>
    <w:rsid w:val="004575E3"/>
    <w:rsid w:val="0045767E"/>
    <w:rsid w:val="00460547"/>
    <w:rsid w:val="0046293D"/>
    <w:rsid w:val="0046329C"/>
    <w:rsid w:val="00463D59"/>
    <w:rsid w:val="00464662"/>
    <w:rsid w:val="00464BE8"/>
    <w:rsid w:val="00465CF4"/>
    <w:rsid w:val="00466ADF"/>
    <w:rsid w:val="00466F38"/>
    <w:rsid w:val="00466F49"/>
    <w:rsid w:val="004700FB"/>
    <w:rsid w:val="00470294"/>
    <w:rsid w:val="00470546"/>
    <w:rsid w:val="00471B06"/>
    <w:rsid w:val="00473D5E"/>
    <w:rsid w:val="00474118"/>
    <w:rsid w:val="0047435D"/>
    <w:rsid w:val="00475E89"/>
    <w:rsid w:val="004770EB"/>
    <w:rsid w:val="0047747B"/>
    <w:rsid w:val="0048081A"/>
    <w:rsid w:val="0048188C"/>
    <w:rsid w:val="00482225"/>
    <w:rsid w:val="004829B7"/>
    <w:rsid w:val="00482AF3"/>
    <w:rsid w:val="004846F5"/>
    <w:rsid w:val="00484BB8"/>
    <w:rsid w:val="00484D81"/>
    <w:rsid w:val="004854DF"/>
    <w:rsid w:val="0048658F"/>
    <w:rsid w:val="00491540"/>
    <w:rsid w:val="00492B3A"/>
    <w:rsid w:val="004965EE"/>
    <w:rsid w:val="00496CEF"/>
    <w:rsid w:val="00497540"/>
    <w:rsid w:val="00497E98"/>
    <w:rsid w:val="004A07FC"/>
    <w:rsid w:val="004A0C1A"/>
    <w:rsid w:val="004A0CFF"/>
    <w:rsid w:val="004A1C22"/>
    <w:rsid w:val="004A20BC"/>
    <w:rsid w:val="004A3B9D"/>
    <w:rsid w:val="004A4138"/>
    <w:rsid w:val="004A48F5"/>
    <w:rsid w:val="004A4A7C"/>
    <w:rsid w:val="004A76CE"/>
    <w:rsid w:val="004A770A"/>
    <w:rsid w:val="004A7910"/>
    <w:rsid w:val="004A7C0F"/>
    <w:rsid w:val="004B0578"/>
    <w:rsid w:val="004B0CA7"/>
    <w:rsid w:val="004B1870"/>
    <w:rsid w:val="004B1BFE"/>
    <w:rsid w:val="004B6558"/>
    <w:rsid w:val="004B76DD"/>
    <w:rsid w:val="004B796D"/>
    <w:rsid w:val="004C06A0"/>
    <w:rsid w:val="004C0AFB"/>
    <w:rsid w:val="004C35C2"/>
    <w:rsid w:val="004C3C1A"/>
    <w:rsid w:val="004C43CC"/>
    <w:rsid w:val="004C5EBE"/>
    <w:rsid w:val="004C7927"/>
    <w:rsid w:val="004C7DCA"/>
    <w:rsid w:val="004D3B0E"/>
    <w:rsid w:val="004D4783"/>
    <w:rsid w:val="004D4817"/>
    <w:rsid w:val="004D4D48"/>
    <w:rsid w:val="004D4EFB"/>
    <w:rsid w:val="004D5F95"/>
    <w:rsid w:val="004D7320"/>
    <w:rsid w:val="004E1327"/>
    <w:rsid w:val="004E13F3"/>
    <w:rsid w:val="004E211F"/>
    <w:rsid w:val="004E2D11"/>
    <w:rsid w:val="004E33FA"/>
    <w:rsid w:val="004E4876"/>
    <w:rsid w:val="004E4B1A"/>
    <w:rsid w:val="004E4FCC"/>
    <w:rsid w:val="004E57BA"/>
    <w:rsid w:val="004E7693"/>
    <w:rsid w:val="004E7B4B"/>
    <w:rsid w:val="004F06CB"/>
    <w:rsid w:val="004F13ED"/>
    <w:rsid w:val="004F19A7"/>
    <w:rsid w:val="004F3EFA"/>
    <w:rsid w:val="004F4A21"/>
    <w:rsid w:val="004F7AD6"/>
    <w:rsid w:val="005009AD"/>
    <w:rsid w:val="00500EA8"/>
    <w:rsid w:val="005018E8"/>
    <w:rsid w:val="0050230A"/>
    <w:rsid w:val="00502B32"/>
    <w:rsid w:val="00504FEC"/>
    <w:rsid w:val="005058EB"/>
    <w:rsid w:val="0051163D"/>
    <w:rsid w:val="0051189A"/>
    <w:rsid w:val="00511DE9"/>
    <w:rsid w:val="00512BE5"/>
    <w:rsid w:val="005132E2"/>
    <w:rsid w:val="00514E91"/>
    <w:rsid w:val="005162FB"/>
    <w:rsid w:val="00520DF7"/>
    <w:rsid w:val="00523C23"/>
    <w:rsid w:val="00524B33"/>
    <w:rsid w:val="00526151"/>
    <w:rsid w:val="0052799B"/>
    <w:rsid w:val="005279ED"/>
    <w:rsid w:val="005300F3"/>
    <w:rsid w:val="005303BE"/>
    <w:rsid w:val="00531D8D"/>
    <w:rsid w:val="005331D2"/>
    <w:rsid w:val="0053568E"/>
    <w:rsid w:val="0053655E"/>
    <w:rsid w:val="005400FB"/>
    <w:rsid w:val="005403C6"/>
    <w:rsid w:val="00540ABC"/>
    <w:rsid w:val="0054194C"/>
    <w:rsid w:val="00541B42"/>
    <w:rsid w:val="00541CB7"/>
    <w:rsid w:val="00545531"/>
    <w:rsid w:val="00545C3F"/>
    <w:rsid w:val="00545EB5"/>
    <w:rsid w:val="0054763B"/>
    <w:rsid w:val="00547B07"/>
    <w:rsid w:val="005503E9"/>
    <w:rsid w:val="005508D1"/>
    <w:rsid w:val="00555DAA"/>
    <w:rsid w:val="005622D8"/>
    <w:rsid w:val="00564B3D"/>
    <w:rsid w:val="0056567F"/>
    <w:rsid w:val="0056584F"/>
    <w:rsid w:val="00565910"/>
    <w:rsid w:val="00565D6E"/>
    <w:rsid w:val="005660DA"/>
    <w:rsid w:val="00566741"/>
    <w:rsid w:val="00567F7C"/>
    <w:rsid w:val="00570FF1"/>
    <w:rsid w:val="0057234C"/>
    <w:rsid w:val="005725D2"/>
    <w:rsid w:val="00573877"/>
    <w:rsid w:val="00573E4C"/>
    <w:rsid w:val="0057464F"/>
    <w:rsid w:val="00575519"/>
    <w:rsid w:val="005755A4"/>
    <w:rsid w:val="00575D2A"/>
    <w:rsid w:val="00577D70"/>
    <w:rsid w:val="00583393"/>
    <w:rsid w:val="005852BF"/>
    <w:rsid w:val="00585CA3"/>
    <w:rsid w:val="00586B2D"/>
    <w:rsid w:val="00587C47"/>
    <w:rsid w:val="00587D68"/>
    <w:rsid w:val="00590B15"/>
    <w:rsid w:val="00591CCB"/>
    <w:rsid w:val="00592F7F"/>
    <w:rsid w:val="00593843"/>
    <w:rsid w:val="00593E54"/>
    <w:rsid w:val="00594736"/>
    <w:rsid w:val="0059499B"/>
    <w:rsid w:val="00596553"/>
    <w:rsid w:val="00597404"/>
    <w:rsid w:val="005A3FEE"/>
    <w:rsid w:val="005A4D8D"/>
    <w:rsid w:val="005A5737"/>
    <w:rsid w:val="005A673A"/>
    <w:rsid w:val="005A6B6D"/>
    <w:rsid w:val="005A7858"/>
    <w:rsid w:val="005B0D2C"/>
    <w:rsid w:val="005B0D6C"/>
    <w:rsid w:val="005B114D"/>
    <w:rsid w:val="005B1C5D"/>
    <w:rsid w:val="005B1D01"/>
    <w:rsid w:val="005B67FE"/>
    <w:rsid w:val="005B72A4"/>
    <w:rsid w:val="005B7997"/>
    <w:rsid w:val="005C0FB5"/>
    <w:rsid w:val="005C1EE3"/>
    <w:rsid w:val="005C4D6A"/>
    <w:rsid w:val="005C506E"/>
    <w:rsid w:val="005C5299"/>
    <w:rsid w:val="005C79E2"/>
    <w:rsid w:val="005D000E"/>
    <w:rsid w:val="005D303C"/>
    <w:rsid w:val="005D43C4"/>
    <w:rsid w:val="005D7B42"/>
    <w:rsid w:val="005D7ED0"/>
    <w:rsid w:val="005E08EA"/>
    <w:rsid w:val="005E1ED2"/>
    <w:rsid w:val="005E39EB"/>
    <w:rsid w:val="005E3B68"/>
    <w:rsid w:val="005E3F78"/>
    <w:rsid w:val="005E4A6A"/>
    <w:rsid w:val="005E7642"/>
    <w:rsid w:val="005E78E2"/>
    <w:rsid w:val="005E7A43"/>
    <w:rsid w:val="005E7A5C"/>
    <w:rsid w:val="005F0E04"/>
    <w:rsid w:val="005F14EB"/>
    <w:rsid w:val="005F1D05"/>
    <w:rsid w:val="005F29D6"/>
    <w:rsid w:val="005F41AF"/>
    <w:rsid w:val="005F6421"/>
    <w:rsid w:val="005F7482"/>
    <w:rsid w:val="005F7BCA"/>
    <w:rsid w:val="00600EFC"/>
    <w:rsid w:val="00602BCD"/>
    <w:rsid w:val="006043D4"/>
    <w:rsid w:val="006051F4"/>
    <w:rsid w:val="006061EE"/>
    <w:rsid w:val="00611CCE"/>
    <w:rsid w:val="00612D3A"/>
    <w:rsid w:val="00617146"/>
    <w:rsid w:val="006172A0"/>
    <w:rsid w:val="00617536"/>
    <w:rsid w:val="00621904"/>
    <w:rsid w:val="006251A8"/>
    <w:rsid w:val="00625C49"/>
    <w:rsid w:val="00626CB2"/>
    <w:rsid w:val="006311D6"/>
    <w:rsid w:val="00631917"/>
    <w:rsid w:val="00631AA2"/>
    <w:rsid w:val="0063491A"/>
    <w:rsid w:val="006375C3"/>
    <w:rsid w:val="00640BDA"/>
    <w:rsid w:val="0064255F"/>
    <w:rsid w:val="006427C0"/>
    <w:rsid w:val="00645FDE"/>
    <w:rsid w:val="0064621A"/>
    <w:rsid w:val="00646686"/>
    <w:rsid w:val="00647288"/>
    <w:rsid w:val="00650C1C"/>
    <w:rsid w:val="00650EFE"/>
    <w:rsid w:val="00653ACE"/>
    <w:rsid w:val="00653CAD"/>
    <w:rsid w:val="0065568D"/>
    <w:rsid w:val="00655AA1"/>
    <w:rsid w:val="0065627C"/>
    <w:rsid w:val="0065633D"/>
    <w:rsid w:val="00657529"/>
    <w:rsid w:val="006614A9"/>
    <w:rsid w:val="00661974"/>
    <w:rsid w:val="0066295C"/>
    <w:rsid w:val="00662C10"/>
    <w:rsid w:val="00663908"/>
    <w:rsid w:val="006641C6"/>
    <w:rsid w:val="006658DE"/>
    <w:rsid w:val="00665C04"/>
    <w:rsid w:val="00670097"/>
    <w:rsid w:val="0067064E"/>
    <w:rsid w:val="00670A3D"/>
    <w:rsid w:val="0067118F"/>
    <w:rsid w:val="0067369D"/>
    <w:rsid w:val="00673889"/>
    <w:rsid w:val="006739F1"/>
    <w:rsid w:val="006779B2"/>
    <w:rsid w:val="00680736"/>
    <w:rsid w:val="00680A8E"/>
    <w:rsid w:val="00683FAE"/>
    <w:rsid w:val="0068505C"/>
    <w:rsid w:val="00685879"/>
    <w:rsid w:val="006864D4"/>
    <w:rsid w:val="006865B4"/>
    <w:rsid w:val="00686D13"/>
    <w:rsid w:val="0069079C"/>
    <w:rsid w:val="0069247B"/>
    <w:rsid w:val="0069258B"/>
    <w:rsid w:val="00692D16"/>
    <w:rsid w:val="00692F9E"/>
    <w:rsid w:val="0069481B"/>
    <w:rsid w:val="006964A4"/>
    <w:rsid w:val="00697660"/>
    <w:rsid w:val="006A0571"/>
    <w:rsid w:val="006A0774"/>
    <w:rsid w:val="006A0DE3"/>
    <w:rsid w:val="006A3871"/>
    <w:rsid w:val="006A3CB5"/>
    <w:rsid w:val="006A4075"/>
    <w:rsid w:val="006A4749"/>
    <w:rsid w:val="006A4CEC"/>
    <w:rsid w:val="006A629B"/>
    <w:rsid w:val="006A656C"/>
    <w:rsid w:val="006A762C"/>
    <w:rsid w:val="006A772B"/>
    <w:rsid w:val="006A7F29"/>
    <w:rsid w:val="006B1957"/>
    <w:rsid w:val="006B237F"/>
    <w:rsid w:val="006B4005"/>
    <w:rsid w:val="006B449C"/>
    <w:rsid w:val="006B4904"/>
    <w:rsid w:val="006B6293"/>
    <w:rsid w:val="006B7936"/>
    <w:rsid w:val="006C10DE"/>
    <w:rsid w:val="006C21AC"/>
    <w:rsid w:val="006C4C24"/>
    <w:rsid w:val="006C4F15"/>
    <w:rsid w:val="006C5F3A"/>
    <w:rsid w:val="006C7310"/>
    <w:rsid w:val="006D0BD9"/>
    <w:rsid w:val="006D3509"/>
    <w:rsid w:val="006D4566"/>
    <w:rsid w:val="006D508C"/>
    <w:rsid w:val="006D5110"/>
    <w:rsid w:val="006D7A9B"/>
    <w:rsid w:val="006E0FA2"/>
    <w:rsid w:val="006E1D7F"/>
    <w:rsid w:val="006E3471"/>
    <w:rsid w:val="006E40FE"/>
    <w:rsid w:val="006E5989"/>
    <w:rsid w:val="006E5F29"/>
    <w:rsid w:val="006E677F"/>
    <w:rsid w:val="006E78DB"/>
    <w:rsid w:val="006F255B"/>
    <w:rsid w:val="006F3416"/>
    <w:rsid w:val="006F3F5E"/>
    <w:rsid w:val="006F51D7"/>
    <w:rsid w:val="006F541E"/>
    <w:rsid w:val="006F6AFC"/>
    <w:rsid w:val="006F6D20"/>
    <w:rsid w:val="007033E0"/>
    <w:rsid w:val="00704918"/>
    <w:rsid w:val="00704FDC"/>
    <w:rsid w:val="007073E8"/>
    <w:rsid w:val="00707F62"/>
    <w:rsid w:val="00707F99"/>
    <w:rsid w:val="00710023"/>
    <w:rsid w:val="0071199E"/>
    <w:rsid w:val="00711C37"/>
    <w:rsid w:val="00712CD6"/>
    <w:rsid w:val="007147A6"/>
    <w:rsid w:val="00714A18"/>
    <w:rsid w:val="00715822"/>
    <w:rsid w:val="007163BD"/>
    <w:rsid w:val="00716ACE"/>
    <w:rsid w:val="00716E08"/>
    <w:rsid w:val="00723F86"/>
    <w:rsid w:val="00724B83"/>
    <w:rsid w:val="00725360"/>
    <w:rsid w:val="00726425"/>
    <w:rsid w:val="00726ADD"/>
    <w:rsid w:val="007277E5"/>
    <w:rsid w:val="00731CA3"/>
    <w:rsid w:val="00731CFB"/>
    <w:rsid w:val="00734438"/>
    <w:rsid w:val="0073638E"/>
    <w:rsid w:val="00736E26"/>
    <w:rsid w:val="0073701E"/>
    <w:rsid w:val="00737B6D"/>
    <w:rsid w:val="0074003A"/>
    <w:rsid w:val="00740429"/>
    <w:rsid w:val="00741CDF"/>
    <w:rsid w:val="0074246D"/>
    <w:rsid w:val="00742637"/>
    <w:rsid w:val="007429B9"/>
    <w:rsid w:val="007432D4"/>
    <w:rsid w:val="00743AFB"/>
    <w:rsid w:val="00743FB7"/>
    <w:rsid w:val="0074458E"/>
    <w:rsid w:val="00744D1C"/>
    <w:rsid w:val="007464A3"/>
    <w:rsid w:val="00747AED"/>
    <w:rsid w:val="00747C9D"/>
    <w:rsid w:val="00750159"/>
    <w:rsid w:val="00751D9C"/>
    <w:rsid w:val="00754CE3"/>
    <w:rsid w:val="00757552"/>
    <w:rsid w:val="00760678"/>
    <w:rsid w:val="007614F9"/>
    <w:rsid w:val="007618C2"/>
    <w:rsid w:val="00761B1C"/>
    <w:rsid w:val="00762FD6"/>
    <w:rsid w:val="00763737"/>
    <w:rsid w:val="00765247"/>
    <w:rsid w:val="007664DD"/>
    <w:rsid w:val="007670F7"/>
    <w:rsid w:val="0077210A"/>
    <w:rsid w:val="007727F7"/>
    <w:rsid w:val="00772BFF"/>
    <w:rsid w:val="00773162"/>
    <w:rsid w:val="0077396B"/>
    <w:rsid w:val="00773BA0"/>
    <w:rsid w:val="00773D3B"/>
    <w:rsid w:val="007744AC"/>
    <w:rsid w:val="00776D7D"/>
    <w:rsid w:val="00777545"/>
    <w:rsid w:val="00783828"/>
    <w:rsid w:val="00784A05"/>
    <w:rsid w:val="00785CDA"/>
    <w:rsid w:val="00785E37"/>
    <w:rsid w:val="007870C6"/>
    <w:rsid w:val="007874FE"/>
    <w:rsid w:val="00792634"/>
    <w:rsid w:val="00792D17"/>
    <w:rsid w:val="0079302F"/>
    <w:rsid w:val="00794EDB"/>
    <w:rsid w:val="00795F6B"/>
    <w:rsid w:val="007A0CEC"/>
    <w:rsid w:val="007A1BB6"/>
    <w:rsid w:val="007A2695"/>
    <w:rsid w:val="007A28A9"/>
    <w:rsid w:val="007A4D8E"/>
    <w:rsid w:val="007A7173"/>
    <w:rsid w:val="007B0734"/>
    <w:rsid w:val="007B165F"/>
    <w:rsid w:val="007B19E0"/>
    <w:rsid w:val="007B1C4B"/>
    <w:rsid w:val="007B25EB"/>
    <w:rsid w:val="007B4D2E"/>
    <w:rsid w:val="007B5B0F"/>
    <w:rsid w:val="007B5B1A"/>
    <w:rsid w:val="007B6759"/>
    <w:rsid w:val="007C0DF5"/>
    <w:rsid w:val="007C24D4"/>
    <w:rsid w:val="007C3601"/>
    <w:rsid w:val="007C5B05"/>
    <w:rsid w:val="007C66B0"/>
    <w:rsid w:val="007C792F"/>
    <w:rsid w:val="007D0847"/>
    <w:rsid w:val="007D15A2"/>
    <w:rsid w:val="007D311F"/>
    <w:rsid w:val="007D6E25"/>
    <w:rsid w:val="007D7488"/>
    <w:rsid w:val="007D77F1"/>
    <w:rsid w:val="007E0E59"/>
    <w:rsid w:val="007E0EC5"/>
    <w:rsid w:val="007E3F63"/>
    <w:rsid w:val="007E543C"/>
    <w:rsid w:val="007F1764"/>
    <w:rsid w:val="007F1A00"/>
    <w:rsid w:val="007F38C8"/>
    <w:rsid w:val="007F6689"/>
    <w:rsid w:val="007F6C33"/>
    <w:rsid w:val="008014FA"/>
    <w:rsid w:val="00801843"/>
    <w:rsid w:val="008051B0"/>
    <w:rsid w:val="0080723E"/>
    <w:rsid w:val="00811319"/>
    <w:rsid w:val="008114D1"/>
    <w:rsid w:val="00811D5C"/>
    <w:rsid w:val="008126DB"/>
    <w:rsid w:val="008141D4"/>
    <w:rsid w:val="008144BB"/>
    <w:rsid w:val="00817B22"/>
    <w:rsid w:val="00817F43"/>
    <w:rsid w:val="00817F7B"/>
    <w:rsid w:val="0082004C"/>
    <w:rsid w:val="0082027A"/>
    <w:rsid w:val="00821751"/>
    <w:rsid w:val="00822093"/>
    <w:rsid w:val="0082255D"/>
    <w:rsid w:val="008227DA"/>
    <w:rsid w:val="0082311B"/>
    <w:rsid w:val="008231F9"/>
    <w:rsid w:val="00823208"/>
    <w:rsid w:val="00823949"/>
    <w:rsid w:val="00823AA9"/>
    <w:rsid w:val="008254C6"/>
    <w:rsid w:val="008258AB"/>
    <w:rsid w:val="00827AE1"/>
    <w:rsid w:val="008326C5"/>
    <w:rsid w:val="00832C2C"/>
    <w:rsid w:val="00833309"/>
    <w:rsid w:val="00833C1B"/>
    <w:rsid w:val="00835B7C"/>
    <w:rsid w:val="008373DE"/>
    <w:rsid w:val="00840078"/>
    <w:rsid w:val="00840FE5"/>
    <w:rsid w:val="008412D2"/>
    <w:rsid w:val="008425D9"/>
    <w:rsid w:val="00843352"/>
    <w:rsid w:val="008478DB"/>
    <w:rsid w:val="008478EA"/>
    <w:rsid w:val="00850151"/>
    <w:rsid w:val="00850B37"/>
    <w:rsid w:val="00850EED"/>
    <w:rsid w:val="0085214F"/>
    <w:rsid w:val="0085368B"/>
    <w:rsid w:val="00855309"/>
    <w:rsid w:val="0086060D"/>
    <w:rsid w:val="008614B8"/>
    <w:rsid w:val="008614F0"/>
    <w:rsid w:val="00861BAA"/>
    <w:rsid w:val="00861E4C"/>
    <w:rsid w:val="0086241D"/>
    <w:rsid w:val="00863F08"/>
    <w:rsid w:val="00864A53"/>
    <w:rsid w:val="0086794E"/>
    <w:rsid w:val="00867DAE"/>
    <w:rsid w:val="00871F70"/>
    <w:rsid w:val="00872744"/>
    <w:rsid w:val="008742CB"/>
    <w:rsid w:val="008747F9"/>
    <w:rsid w:val="00875937"/>
    <w:rsid w:val="00880D25"/>
    <w:rsid w:val="00882BD1"/>
    <w:rsid w:val="008841A5"/>
    <w:rsid w:val="00885ABA"/>
    <w:rsid w:val="00890319"/>
    <w:rsid w:val="00890B72"/>
    <w:rsid w:val="00890C9F"/>
    <w:rsid w:val="00891503"/>
    <w:rsid w:val="008925FD"/>
    <w:rsid w:val="00893857"/>
    <w:rsid w:val="00894A9A"/>
    <w:rsid w:val="00895608"/>
    <w:rsid w:val="00895D74"/>
    <w:rsid w:val="008963CB"/>
    <w:rsid w:val="00897702"/>
    <w:rsid w:val="00897A47"/>
    <w:rsid w:val="008A1140"/>
    <w:rsid w:val="008A2193"/>
    <w:rsid w:val="008A3DBA"/>
    <w:rsid w:val="008A4A67"/>
    <w:rsid w:val="008A4D94"/>
    <w:rsid w:val="008A51C6"/>
    <w:rsid w:val="008A61D5"/>
    <w:rsid w:val="008A6BC1"/>
    <w:rsid w:val="008B197B"/>
    <w:rsid w:val="008B3029"/>
    <w:rsid w:val="008B333E"/>
    <w:rsid w:val="008B4510"/>
    <w:rsid w:val="008B66BF"/>
    <w:rsid w:val="008B6DCD"/>
    <w:rsid w:val="008B7615"/>
    <w:rsid w:val="008C2968"/>
    <w:rsid w:val="008C2D9E"/>
    <w:rsid w:val="008C38DF"/>
    <w:rsid w:val="008C48DD"/>
    <w:rsid w:val="008C529A"/>
    <w:rsid w:val="008C5A3D"/>
    <w:rsid w:val="008C6459"/>
    <w:rsid w:val="008C674E"/>
    <w:rsid w:val="008C6B5F"/>
    <w:rsid w:val="008C72AE"/>
    <w:rsid w:val="008D1C64"/>
    <w:rsid w:val="008D4380"/>
    <w:rsid w:val="008D578D"/>
    <w:rsid w:val="008D64A0"/>
    <w:rsid w:val="008E0283"/>
    <w:rsid w:val="008E13CB"/>
    <w:rsid w:val="008E37B0"/>
    <w:rsid w:val="008E37B3"/>
    <w:rsid w:val="008E3DD4"/>
    <w:rsid w:val="008E561D"/>
    <w:rsid w:val="008F00F7"/>
    <w:rsid w:val="008F4C2F"/>
    <w:rsid w:val="008F6343"/>
    <w:rsid w:val="008F76AD"/>
    <w:rsid w:val="009002C1"/>
    <w:rsid w:val="00904E69"/>
    <w:rsid w:val="0090511F"/>
    <w:rsid w:val="009051EA"/>
    <w:rsid w:val="009055CE"/>
    <w:rsid w:val="00905B83"/>
    <w:rsid w:val="009069B9"/>
    <w:rsid w:val="009078C5"/>
    <w:rsid w:val="009136C6"/>
    <w:rsid w:val="00920552"/>
    <w:rsid w:val="009218E4"/>
    <w:rsid w:val="00921B63"/>
    <w:rsid w:val="0092269B"/>
    <w:rsid w:val="00923979"/>
    <w:rsid w:val="00925476"/>
    <w:rsid w:val="00927038"/>
    <w:rsid w:val="0092722B"/>
    <w:rsid w:val="009302A9"/>
    <w:rsid w:val="009307A1"/>
    <w:rsid w:val="00932A02"/>
    <w:rsid w:val="009334E9"/>
    <w:rsid w:val="009345D2"/>
    <w:rsid w:val="0093546C"/>
    <w:rsid w:val="00935B43"/>
    <w:rsid w:val="009363F7"/>
    <w:rsid w:val="00936433"/>
    <w:rsid w:val="0093666D"/>
    <w:rsid w:val="009369DD"/>
    <w:rsid w:val="00936AD1"/>
    <w:rsid w:val="00937009"/>
    <w:rsid w:val="00937493"/>
    <w:rsid w:val="009377BF"/>
    <w:rsid w:val="00937CD8"/>
    <w:rsid w:val="00940D90"/>
    <w:rsid w:val="00943C26"/>
    <w:rsid w:val="009448E0"/>
    <w:rsid w:val="009450A0"/>
    <w:rsid w:val="009462BE"/>
    <w:rsid w:val="009464B4"/>
    <w:rsid w:val="00947A90"/>
    <w:rsid w:val="00951FDC"/>
    <w:rsid w:val="009523E7"/>
    <w:rsid w:val="00953024"/>
    <w:rsid w:val="0095371D"/>
    <w:rsid w:val="0095466E"/>
    <w:rsid w:val="00954693"/>
    <w:rsid w:val="00955D59"/>
    <w:rsid w:val="00955EC0"/>
    <w:rsid w:val="00960553"/>
    <w:rsid w:val="0096130C"/>
    <w:rsid w:val="0096249D"/>
    <w:rsid w:val="0096320C"/>
    <w:rsid w:val="00963237"/>
    <w:rsid w:val="00966165"/>
    <w:rsid w:val="0097115F"/>
    <w:rsid w:val="00971F74"/>
    <w:rsid w:val="009724A5"/>
    <w:rsid w:val="0097277F"/>
    <w:rsid w:val="00972958"/>
    <w:rsid w:val="00977938"/>
    <w:rsid w:val="0098044A"/>
    <w:rsid w:val="00983986"/>
    <w:rsid w:val="00983F5A"/>
    <w:rsid w:val="00984C42"/>
    <w:rsid w:val="0098585F"/>
    <w:rsid w:val="00987E48"/>
    <w:rsid w:val="009915F4"/>
    <w:rsid w:val="00991E3E"/>
    <w:rsid w:val="00993161"/>
    <w:rsid w:val="00993A08"/>
    <w:rsid w:val="00993DF2"/>
    <w:rsid w:val="00994737"/>
    <w:rsid w:val="00996D2A"/>
    <w:rsid w:val="009A073E"/>
    <w:rsid w:val="009A11FC"/>
    <w:rsid w:val="009A1EEB"/>
    <w:rsid w:val="009A35BB"/>
    <w:rsid w:val="009A4E1D"/>
    <w:rsid w:val="009A556E"/>
    <w:rsid w:val="009A5859"/>
    <w:rsid w:val="009A5882"/>
    <w:rsid w:val="009A6918"/>
    <w:rsid w:val="009A7DC6"/>
    <w:rsid w:val="009A7E02"/>
    <w:rsid w:val="009B26A4"/>
    <w:rsid w:val="009B2724"/>
    <w:rsid w:val="009B506D"/>
    <w:rsid w:val="009B5BA6"/>
    <w:rsid w:val="009B6889"/>
    <w:rsid w:val="009B7303"/>
    <w:rsid w:val="009B7804"/>
    <w:rsid w:val="009C0F47"/>
    <w:rsid w:val="009C0F89"/>
    <w:rsid w:val="009C216E"/>
    <w:rsid w:val="009C2FEC"/>
    <w:rsid w:val="009C55D0"/>
    <w:rsid w:val="009C5BC8"/>
    <w:rsid w:val="009C5D5F"/>
    <w:rsid w:val="009C7B55"/>
    <w:rsid w:val="009D1044"/>
    <w:rsid w:val="009D31F3"/>
    <w:rsid w:val="009D60B4"/>
    <w:rsid w:val="009D6C5E"/>
    <w:rsid w:val="009D6CB4"/>
    <w:rsid w:val="009E0561"/>
    <w:rsid w:val="009E13E2"/>
    <w:rsid w:val="009E1897"/>
    <w:rsid w:val="009E211A"/>
    <w:rsid w:val="009E3631"/>
    <w:rsid w:val="009E36B2"/>
    <w:rsid w:val="009E55F3"/>
    <w:rsid w:val="009E64DD"/>
    <w:rsid w:val="009E6657"/>
    <w:rsid w:val="009E6C39"/>
    <w:rsid w:val="009E7F7A"/>
    <w:rsid w:val="009F0033"/>
    <w:rsid w:val="009F0BE2"/>
    <w:rsid w:val="009F0CAE"/>
    <w:rsid w:val="009F3A0B"/>
    <w:rsid w:val="009F3A6A"/>
    <w:rsid w:val="009F41D7"/>
    <w:rsid w:val="009F4D4D"/>
    <w:rsid w:val="009F5052"/>
    <w:rsid w:val="009F5091"/>
    <w:rsid w:val="009F58DC"/>
    <w:rsid w:val="009F5A22"/>
    <w:rsid w:val="009F7A07"/>
    <w:rsid w:val="009F7F8A"/>
    <w:rsid w:val="00A010FB"/>
    <w:rsid w:val="00A01AA5"/>
    <w:rsid w:val="00A02ED6"/>
    <w:rsid w:val="00A0325B"/>
    <w:rsid w:val="00A041C2"/>
    <w:rsid w:val="00A0648A"/>
    <w:rsid w:val="00A07B94"/>
    <w:rsid w:val="00A11240"/>
    <w:rsid w:val="00A112CA"/>
    <w:rsid w:val="00A116F0"/>
    <w:rsid w:val="00A12740"/>
    <w:rsid w:val="00A1488B"/>
    <w:rsid w:val="00A14F37"/>
    <w:rsid w:val="00A155EC"/>
    <w:rsid w:val="00A16F07"/>
    <w:rsid w:val="00A17D43"/>
    <w:rsid w:val="00A2000C"/>
    <w:rsid w:val="00A204AB"/>
    <w:rsid w:val="00A2066C"/>
    <w:rsid w:val="00A229D2"/>
    <w:rsid w:val="00A22FF7"/>
    <w:rsid w:val="00A255F0"/>
    <w:rsid w:val="00A25840"/>
    <w:rsid w:val="00A276E0"/>
    <w:rsid w:val="00A305A3"/>
    <w:rsid w:val="00A308DE"/>
    <w:rsid w:val="00A32E60"/>
    <w:rsid w:val="00A336D6"/>
    <w:rsid w:val="00A33DA7"/>
    <w:rsid w:val="00A407B7"/>
    <w:rsid w:val="00A40C6B"/>
    <w:rsid w:val="00A438D5"/>
    <w:rsid w:val="00A4492B"/>
    <w:rsid w:val="00A46AA8"/>
    <w:rsid w:val="00A47E28"/>
    <w:rsid w:val="00A54542"/>
    <w:rsid w:val="00A54943"/>
    <w:rsid w:val="00A5624C"/>
    <w:rsid w:val="00A57003"/>
    <w:rsid w:val="00A6123D"/>
    <w:rsid w:val="00A6194A"/>
    <w:rsid w:val="00A61B3C"/>
    <w:rsid w:val="00A62005"/>
    <w:rsid w:val="00A635F9"/>
    <w:rsid w:val="00A642D7"/>
    <w:rsid w:val="00A654DF"/>
    <w:rsid w:val="00A6741F"/>
    <w:rsid w:val="00A701ED"/>
    <w:rsid w:val="00A711CB"/>
    <w:rsid w:val="00A71244"/>
    <w:rsid w:val="00A7128F"/>
    <w:rsid w:val="00A731B8"/>
    <w:rsid w:val="00A739D9"/>
    <w:rsid w:val="00A73EA2"/>
    <w:rsid w:val="00A745B3"/>
    <w:rsid w:val="00A7616F"/>
    <w:rsid w:val="00A76887"/>
    <w:rsid w:val="00A7705C"/>
    <w:rsid w:val="00A7750A"/>
    <w:rsid w:val="00A77514"/>
    <w:rsid w:val="00A8384B"/>
    <w:rsid w:val="00A8397A"/>
    <w:rsid w:val="00A8538F"/>
    <w:rsid w:val="00A85AC5"/>
    <w:rsid w:val="00A85F7E"/>
    <w:rsid w:val="00A861C4"/>
    <w:rsid w:val="00A868AE"/>
    <w:rsid w:val="00A86C5C"/>
    <w:rsid w:val="00A917C9"/>
    <w:rsid w:val="00A9348A"/>
    <w:rsid w:val="00A94D51"/>
    <w:rsid w:val="00A959D7"/>
    <w:rsid w:val="00A95A27"/>
    <w:rsid w:val="00A961E1"/>
    <w:rsid w:val="00A9647E"/>
    <w:rsid w:val="00A968C5"/>
    <w:rsid w:val="00A975DE"/>
    <w:rsid w:val="00A976A4"/>
    <w:rsid w:val="00A977C5"/>
    <w:rsid w:val="00AA03AE"/>
    <w:rsid w:val="00AA1934"/>
    <w:rsid w:val="00AA2411"/>
    <w:rsid w:val="00AA265E"/>
    <w:rsid w:val="00AA2D1A"/>
    <w:rsid w:val="00AA56D8"/>
    <w:rsid w:val="00AA5DFB"/>
    <w:rsid w:val="00AA61DB"/>
    <w:rsid w:val="00AA6349"/>
    <w:rsid w:val="00AA657C"/>
    <w:rsid w:val="00AA6AD1"/>
    <w:rsid w:val="00AA7510"/>
    <w:rsid w:val="00AB31D1"/>
    <w:rsid w:val="00AB324B"/>
    <w:rsid w:val="00AB474E"/>
    <w:rsid w:val="00AB5805"/>
    <w:rsid w:val="00AB728D"/>
    <w:rsid w:val="00AC065D"/>
    <w:rsid w:val="00AC07CC"/>
    <w:rsid w:val="00AC127C"/>
    <w:rsid w:val="00AC25B1"/>
    <w:rsid w:val="00AC5CDE"/>
    <w:rsid w:val="00AC6BCF"/>
    <w:rsid w:val="00AC6EF1"/>
    <w:rsid w:val="00AD0E7C"/>
    <w:rsid w:val="00AD0F8F"/>
    <w:rsid w:val="00AD108D"/>
    <w:rsid w:val="00AD1E21"/>
    <w:rsid w:val="00AD341E"/>
    <w:rsid w:val="00AD3C1B"/>
    <w:rsid w:val="00AD6F5C"/>
    <w:rsid w:val="00AD729C"/>
    <w:rsid w:val="00AE172B"/>
    <w:rsid w:val="00AE2759"/>
    <w:rsid w:val="00AE7009"/>
    <w:rsid w:val="00AE7BE0"/>
    <w:rsid w:val="00AF04A7"/>
    <w:rsid w:val="00AF1074"/>
    <w:rsid w:val="00AF187B"/>
    <w:rsid w:val="00AF195B"/>
    <w:rsid w:val="00AF2663"/>
    <w:rsid w:val="00AF3A20"/>
    <w:rsid w:val="00AF4E8A"/>
    <w:rsid w:val="00AF52F0"/>
    <w:rsid w:val="00AF5B28"/>
    <w:rsid w:val="00AF5CF6"/>
    <w:rsid w:val="00AF6E16"/>
    <w:rsid w:val="00AF6EA1"/>
    <w:rsid w:val="00AF71CB"/>
    <w:rsid w:val="00AF7DC8"/>
    <w:rsid w:val="00B00730"/>
    <w:rsid w:val="00B0102B"/>
    <w:rsid w:val="00B021C8"/>
    <w:rsid w:val="00B0289D"/>
    <w:rsid w:val="00B02DC2"/>
    <w:rsid w:val="00B04501"/>
    <w:rsid w:val="00B10138"/>
    <w:rsid w:val="00B1175A"/>
    <w:rsid w:val="00B118B0"/>
    <w:rsid w:val="00B15E78"/>
    <w:rsid w:val="00B17384"/>
    <w:rsid w:val="00B20BA1"/>
    <w:rsid w:val="00B2132D"/>
    <w:rsid w:val="00B21C99"/>
    <w:rsid w:val="00B2311C"/>
    <w:rsid w:val="00B234F8"/>
    <w:rsid w:val="00B238D6"/>
    <w:rsid w:val="00B241BF"/>
    <w:rsid w:val="00B242DC"/>
    <w:rsid w:val="00B24D1B"/>
    <w:rsid w:val="00B26F1F"/>
    <w:rsid w:val="00B33D9D"/>
    <w:rsid w:val="00B37AAF"/>
    <w:rsid w:val="00B37DB5"/>
    <w:rsid w:val="00B457A2"/>
    <w:rsid w:val="00B465F4"/>
    <w:rsid w:val="00B46EA9"/>
    <w:rsid w:val="00B50855"/>
    <w:rsid w:val="00B51003"/>
    <w:rsid w:val="00B51547"/>
    <w:rsid w:val="00B516EE"/>
    <w:rsid w:val="00B51B18"/>
    <w:rsid w:val="00B523BB"/>
    <w:rsid w:val="00B52A95"/>
    <w:rsid w:val="00B54F48"/>
    <w:rsid w:val="00B577F8"/>
    <w:rsid w:val="00B60F66"/>
    <w:rsid w:val="00B6176E"/>
    <w:rsid w:val="00B62672"/>
    <w:rsid w:val="00B6271F"/>
    <w:rsid w:val="00B63009"/>
    <w:rsid w:val="00B64791"/>
    <w:rsid w:val="00B65B55"/>
    <w:rsid w:val="00B66D7C"/>
    <w:rsid w:val="00B67369"/>
    <w:rsid w:val="00B70689"/>
    <w:rsid w:val="00B7070F"/>
    <w:rsid w:val="00B70BAA"/>
    <w:rsid w:val="00B726C8"/>
    <w:rsid w:val="00B7495E"/>
    <w:rsid w:val="00B755FF"/>
    <w:rsid w:val="00B7583C"/>
    <w:rsid w:val="00B76DAE"/>
    <w:rsid w:val="00B776A3"/>
    <w:rsid w:val="00B77FC4"/>
    <w:rsid w:val="00B83445"/>
    <w:rsid w:val="00B86D86"/>
    <w:rsid w:val="00B87EDF"/>
    <w:rsid w:val="00B87F47"/>
    <w:rsid w:val="00B90069"/>
    <w:rsid w:val="00B911BC"/>
    <w:rsid w:val="00B91917"/>
    <w:rsid w:val="00B92544"/>
    <w:rsid w:val="00B927F9"/>
    <w:rsid w:val="00B92900"/>
    <w:rsid w:val="00B92958"/>
    <w:rsid w:val="00B930F1"/>
    <w:rsid w:val="00B9356E"/>
    <w:rsid w:val="00B944A3"/>
    <w:rsid w:val="00B9457A"/>
    <w:rsid w:val="00B94F28"/>
    <w:rsid w:val="00B964BC"/>
    <w:rsid w:val="00B97DCB"/>
    <w:rsid w:val="00BA07BB"/>
    <w:rsid w:val="00BA444E"/>
    <w:rsid w:val="00BA44AF"/>
    <w:rsid w:val="00BA5F5C"/>
    <w:rsid w:val="00BA75BF"/>
    <w:rsid w:val="00BB0F0C"/>
    <w:rsid w:val="00BB0FCD"/>
    <w:rsid w:val="00BB28FB"/>
    <w:rsid w:val="00BB2DAF"/>
    <w:rsid w:val="00BB6C17"/>
    <w:rsid w:val="00BC0841"/>
    <w:rsid w:val="00BC2931"/>
    <w:rsid w:val="00BC369F"/>
    <w:rsid w:val="00BC411E"/>
    <w:rsid w:val="00BC53A0"/>
    <w:rsid w:val="00BC710F"/>
    <w:rsid w:val="00BD0A67"/>
    <w:rsid w:val="00BD0BA7"/>
    <w:rsid w:val="00BD199A"/>
    <w:rsid w:val="00BD1E1B"/>
    <w:rsid w:val="00BD2DDC"/>
    <w:rsid w:val="00BD4301"/>
    <w:rsid w:val="00BD4B0A"/>
    <w:rsid w:val="00BD6102"/>
    <w:rsid w:val="00BD714E"/>
    <w:rsid w:val="00BD751B"/>
    <w:rsid w:val="00BD770E"/>
    <w:rsid w:val="00BE0B39"/>
    <w:rsid w:val="00BE42F8"/>
    <w:rsid w:val="00BE459F"/>
    <w:rsid w:val="00BE4D84"/>
    <w:rsid w:val="00BE5858"/>
    <w:rsid w:val="00BE6620"/>
    <w:rsid w:val="00BF1367"/>
    <w:rsid w:val="00BF15AD"/>
    <w:rsid w:val="00BF2523"/>
    <w:rsid w:val="00BF3307"/>
    <w:rsid w:val="00BF621E"/>
    <w:rsid w:val="00BF73F3"/>
    <w:rsid w:val="00BF7623"/>
    <w:rsid w:val="00BF7C47"/>
    <w:rsid w:val="00C01548"/>
    <w:rsid w:val="00C03E3B"/>
    <w:rsid w:val="00C03FD9"/>
    <w:rsid w:val="00C049AF"/>
    <w:rsid w:val="00C053F8"/>
    <w:rsid w:val="00C07D53"/>
    <w:rsid w:val="00C11708"/>
    <w:rsid w:val="00C11786"/>
    <w:rsid w:val="00C131AE"/>
    <w:rsid w:val="00C14208"/>
    <w:rsid w:val="00C14BBF"/>
    <w:rsid w:val="00C1779C"/>
    <w:rsid w:val="00C178A4"/>
    <w:rsid w:val="00C210C1"/>
    <w:rsid w:val="00C21328"/>
    <w:rsid w:val="00C219F2"/>
    <w:rsid w:val="00C21DE7"/>
    <w:rsid w:val="00C23D76"/>
    <w:rsid w:val="00C25C8C"/>
    <w:rsid w:val="00C26420"/>
    <w:rsid w:val="00C26DCB"/>
    <w:rsid w:val="00C275DC"/>
    <w:rsid w:val="00C27FC6"/>
    <w:rsid w:val="00C31062"/>
    <w:rsid w:val="00C31C13"/>
    <w:rsid w:val="00C3242B"/>
    <w:rsid w:val="00C35248"/>
    <w:rsid w:val="00C354DF"/>
    <w:rsid w:val="00C3642E"/>
    <w:rsid w:val="00C366B1"/>
    <w:rsid w:val="00C4023F"/>
    <w:rsid w:val="00C41A2A"/>
    <w:rsid w:val="00C41E06"/>
    <w:rsid w:val="00C41FBB"/>
    <w:rsid w:val="00C422B5"/>
    <w:rsid w:val="00C42F0B"/>
    <w:rsid w:val="00C44338"/>
    <w:rsid w:val="00C4628D"/>
    <w:rsid w:val="00C47CF6"/>
    <w:rsid w:val="00C503B1"/>
    <w:rsid w:val="00C50928"/>
    <w:rsid w:val="00C51FDB"/>
    <w:rsid w:val="00C5313B"/>
    <w:rsid w:val="00C53355"/>
    <w:rsid w:val="00C536B5"/>
    <w:rsid w:val="00C5603B"/>
    <w:rsid w:val="00C577F2"/>
    <w:rsid w:val="00C57BE5"/>
    <w:rsid w:val="00C60664"/>
    <w:rsid w:val="00C61049"/>
    <w:rsid w:val="00C6126B"/>
    <w:rsid w:val="00C61CA2"/>
    <w:rsid w:val="00C62907"/>
    <w:rsid w:val="00C63ACD"/>
    <w:rsid w:val="00C64CFC"/>
    <w:rsid w:val="00C6561F"/>
    <w:rsid w:val="00C66BF9"/>
    <w:rsid w:val="00C67EF9"/>
    <w:rsid w:val="00C7029F"/>
    <w:rsid w:val="00C7275E"/>
    <w:rsid w:val="00C72A34"/>
    <w:rsid w:val="00C73789"/>
    <w:rsid w:val="00C747CA"/>
    <w:rsid w:val="00C749A2"/>
    <w:rsid w:val="00C759CF"/>
    <w:rsid w:val="00C76DBE"/>
    <w:rsid w:val="00C8077B"/>
    <w:rsid w:val="00C8102A"/>
    <w:rsid w:val="00C81FBB"/>
    <w:rsid w:val="00C825C5"/>
    <w:rsid w:val="00C83089"/>
    <w:rsid w:val="00C8345D"/>
    <w:rsid w:val="00C840F5"/>
    <w:rsid w:val="00C85338"/>
    <w:rsid w:val="00C872E4"/>
    <w:rsid w:val="00C8731B"/>
    <w:rsid w:val="00C8746F"/>
    <w:rsid w:val="00C875D9"/>
    <w:rsid w:val="00C906BA"/>
    <w:rsid w:val="00C9126C"/>
    <w:rsid w:val="00C91FFF"/>
    <w:rsid w:val="00C924F8"/>
    <w:rsid w:val="00C927BE"/>
    <w:rsid w:val="00C937E9"/>
    <w:rsid w:val="00C94F28"/>
    <w:rsid w:val="00C9725F"/>
    <w:rsid w:val="00CA04C9"/>
    <w:rsid w:val="00CA2892"/>
    <w:rsid w:val="00CA3F07"/>
    <w:rsid w:val="00CA4187"/>
    <w:rsid w:val="00CA72CD"/>
    <w:rsid w:val="00CA7A5F"/>
    <w:rsid w:val="00CB06AB"/>
    <w:rsid w:val="00CB235C"/>
    <w:rsid w:val="00CB27DC"/>
    <w:rsid w:val="00CB2949"/>
    <w:rsid w:val="00CB35F9"/>
    <w:rsid w:val="00CB3B30"/>
    <w:rsid w:val="00CB3FB6"/>
    <w:rsid w:val="00CB484C"/>
    <w:rsid w:val="00CB4DDF"/>
    <w:rsid w:val="00CB71D6"/>
    <w:rsid w:val="00CB7C31"/>
    <w:rsid w:val="00CC2C27"/>
    <w:rsid w:val="00CC320A"/>
    <w:rsid w:val="00CC3216"/>
    <w:rsid w:val="00CC32BF"/>
    <w:rsid w:val="00CC4356"/>
    <w:rsid w:val="00CC4784"/>
    <w:rsid w:val="00CD0E7C"/>
    <w:rsid w:val="00CD2E61"/>
    <w:rsid w:val="00CD32E5"/>
    <w:rsid w:val="00CD39E8"/>
    <w:rsid w:val="00CD3ABE"/>
    <w:rsid w:val="00CD43EE"/>
    <w:rsid w:val="00CD5053"/>
    <w:rsid w:val="00CD6F8F"/>
    <w:rsid w:val="00CD6FA4"/>
    <w:rsid w:val="00CD71E8"/>
    <w:rsid w:val="00CD7601"/>
    <w:rsid w:val="00CE0780"/>
    <w:rsid w:val="00CE31EE"/>
    <w:rsid w:val="00CE4BD2"/>
    <w:rsid w:val="00CE4C49"/>
    <w:rsid w:val="00CE541F"/>
    <w:rsid w:val="00CE55FF"/>
    <w:rsid w:val="00CF0221"/>
    <w:rsid w:val="00CF0D8C"/>
    <w:rsid w:val="00CF32F4"/>
    <w:rsid w:val="00CF3AC0"/>
    <w:rsid w:val="00CF3ED4"/>
    <w:rsid w:val="00CF60B0"/>
    <w:rsid w:val="00CF6951"/>
    <w:rsid w:val="00CF7238"/>
    <w:rsid w:val="00D00D4E"/>
    <w:rsid w:val="00D0153E"/>
    <w:rsid w:val="00D02117"/>
    <w:rsid w:val="00D02DCC"/>
    <w:rsid w:val="00D06C8A"/>
    <w:rsid w:val="00D072D8"/>
    <w:rsid w:val="00D0747E"/>
    <w:rsid w:val="00D07CF5"/>
    <w:rsid w:val="00D1038B"/>
    <w:rsid w:val="00D10626"/>
    <w:rsid w:val="00D109CC"/>
    <w:rsid w:val="00D10C4E"/>
    <w:rsid w:val="00D12FA6"/>
    <w:rsid w:val="00D13576"/>
    <w:rsid w:val="00D136FC"/>
    <w:rsid w:val="00D145BC"/>
    <w:rsid w:val="00D174E3"/>
    <w:rsid w:val="00D17C4F"/>
    <w:rsid w:val="00D20B80"/>
    <w:rsid w:val="00D2115D"/>
    <w:rsid w:val="00D2198B"/>
    <w:rsid w:val="00D22210"/>
    <w:rsid w:val="00D228C6"/>
    <w:rsid w:val="00D255E2"/>
    <w:rsid w:val="00D266D0"/>
    <w:rsid w:val="00D313D8"/>
    <w:rsid w:val="00D31C9D"/>
    <w:rsid w:val="00D31FD7"/>
    <w:rsid w:val="00D324F3"/>
    <w:rsid w:val="00D33741"/>
    <w:rsid w:val="00D34205"/>
    <w:rsid w:val="00D37296"/>
    <w:rsid w:val="00D37C02"/>
    <w:rsid w:val="00D37E8F"/>
    <w:rsid w:val="00D40788"/>
    <w:rsid w:val="00D41D70"/>
    <w:rsid w:val="00D42C2E"/>
    <w:rsid w:val="00D42FBC"/>
    <w:rsid w:val="00D43088"/>
    <w:rsid w:val="00D43D65"/>
    <w:rsid w:val="00D44470"/>
    <w:rsid w:val="00D44F79"/>
    <w:rsid w:val="00D4544C"/>
    <w:rsid w:val="00D45B67"/>
    <w:rsid w:val="00D45BFB"/>
    <w:rsid w:val="00D508BC"/>
    <w:rsid w:val="00D523B1"/>
    <w:rsid w:val="00D52F4C"/>
    <w:rsid w:val="00D540BB"/>
    <w:rsid w:val="00D54A9A"/>
    <w:rsid w:val="00D5710D"/>
    <w:rsid w:val="00D60592"/>
    <w:rsid w:val="00D61B0F"/>
    <w:rsid w:val="00D62E43"/>
    <w:rsid w:val="00D633E2"/>
    <w:rsid w:val="00D6377F"/>
    <w:rsid w:val="00D64AC6"/>
    <w:rsid w:val="00D6576F"/>
    <w:rsid w:val="00D65796"/>
    <w:rsid w:val="00D66247"/>
    <w:rsid w:val="00D66973"/>
    <w:rsid w:val="00D6798F"/>
    <w:rsid w:val="00D70B60"/>
    <w:rsid w:val="00D713FE"/>
    <w:rsid w:val="00D72FC3"/>
    <w:rsid w:val="00D73172"/>
    <w:rsid w:val="00D73BCB"/>
    <w:rsid w:val="00D73E0E"/>
    <w:rsid w:val="00D74904"/>
    <w:rsid w:val="00D75885"/>
    <w:rsid w:val="00D76D0E"/>
    <w:rsid w:val="00D770C8"/>
    <w:rsid w:val="00D77F51"/>
    <w:rsid w:val="00D80AE4"/>
    <w:rsid w:val="00D8189F"/>
    <w:rsid w:val="00D824F8"/>
    <w:rsid w:val="00D82D66"/>
    <w:rsid w:val="00D83FA0"/>
    <w:rsid w:val="00D85A8A"/>
    <w:rsid w:val="00D87D89"/>
    <w:rsid w:val="00D9136D"/>
    <w:rsid w:val="00D92108"/>
    <w:rsid w:val="00D9261D"/>
    <w:rsid w:val="00D93D4C"/>
    <w:rsid w:val="00D94B33"/>
    <w:rsid w:val="00D95D5D"/>
    <w:rsid w:val="00D95EC0"/>
    <w:rsid w:val="00D979F3"/>
    <w:rsid w:val="00DA10BA"/>
    <w:rsid w:val="00DA14AB"/>
    <w:rsid w:val="00DA161B"/>
    <w:rsid w:val="00DA2043"/>
    <w:rsid w:val="00DA3ECE"/>
    <w:rsid w:val="00DA3EDC"/>
    <w:rsid w:val="00DB0C02"/>
    <w:rsid w:val="00DB0E5F"/>
    <w:rsid w:val="00DB1F3F"/>
    <w:rsid w:val="00DB368F"/>
    <w:rsid w:val="00DB4EDD"/>
    <w:rsid w:val="00DB526D"/>
    <w:rsid w:val="00DB690F"/>
    <w:rsid w:val="00DB6C9E"/>
    <w:rsid w:val="00DB72F6"/>
    <w:rsid w:val="00DC01E5"/>
    <w:rsid w:val="00DC0B35"/>
    <w:rsid w:val="00DC1379"/>
    <w:rsid w:val="00DC1B91"/>
    <w:rsid w:val="00DC2E2C"/>
    <w:rsid w:val="00DC32CC"/>
    <w:rsid w:val="00DC4548"/>
    <w:rsid w:val="00DC6AD9"/>
    <w:rsid w:val="00DC7BF5"/>
    <w:rsid w:val="00DD0F25"/>
    <w:rsid w:val="00DD3D4A"/>
    <w:rsid w:val="00DD4C41"/>
    <w:rsid w:val="00DD6D28"/>
    <w:rsid w:val="00DE0ED3"/>
    <w:rsid w:val="00DE1440"/>
    <w:rsid w:val="00DE4AEE"/>
    <w:rsid w:val="00DE5B63"/>
    <w:rsid w:val="00DE6759"/>
    <w:rsid w:val="00DE67A7"/>
    <w:rsid w:val="00DE7BB5"/>
    <w:rsid w:val="00DE7F76"/>
    <w:rsid w:val="00DF1A5C"/>
    <w:rsid w:val="00DF1B1E"/>
    <w:rsid w:val="00DF3A54"/>
    <w:rsid w:val="00DF7669"/>
    <w:rsid w:val="00DF79C4"/>
    <w:rsid w:val="00E00AB2"/>
    <w:rsid w:val="00E01FDA"/>
    <w:rsid w:val="00E02CE1"/>
    <w:rsid w:val="00E02D62"/>
    <w:rsid w:val="00E0309A"/>
    <w:rsid w:val="00E03AC2"/>
    <w:rsid w:val="00E06B59"/>
    <w:rsid w:val="00E11490"/>
    <w:rsid w:val="00E1223C"/>
    <w:rsid w:val="00E12574"/>
    <w:rsid w:val="00E126CB"/>
    <w:rsid w:val="00E12A36"/>
    <w:rsid w:val="00E12FD2"/>
    <w:rsid w:val="00E135CF"/>
    <w:rsid w:val="00E14508"/>
    <w:rsid w:val="00E1462B"/>
    <w:rsid w:val="00E21213"/>
    <w:rsid w:val="00E21B9A"/>
    <w:rsid w:val="00E22D3D"/>
    <w:rsid w:val="00E231BD"/>
    <w:rsid w:val="00E239AB"/>
    <w:rsid w:val="00E2418E"/>
    <w:rsid w:val="00E24A39"/>
    <w:rsid w:val="00E25ED7"/>
    <w:rsid w:val="00E26B00"/>
    <w:rsid w:val="00E3109F"/>
    <w:rsid w:val="00E31948"/>
    <w:rsid w:val="00E365A8"/>
    <w:rsid w:val="00E40712"/>
    <w:rsid w:val="00E4080E"/>
    <w:rsid w:val="00E41E5C"/>
    <w:rsid w:val="00E42004"/>
    <w:rsid w:val="00E45A74"/>
    <w:rsid w:val="00E46D9E"/>
    <w:rsid w:val="00E4764B"/>
    <w:rsid w:val="00E50B7B"/>
    <w:rsid w:val="00E530A8"/>
    <w:rsid w:val="00E53199"/>
    <w:rsid w:val="00E53670"/>
    <w:rsid w:val="00E55EBE"/>
    <w:rsid w:val="00E56805"/>
    <w:rsid w:val="00E56B33"/>
    <w:rsid w:val="00E57267"/>
    <w:rsid w:val="00E57C33"/>
    <w:rsid w:val="00E6168B"/>
    <w:rsid w:val="00E61783"/>
    <w:rsid w:val="00E63313"/>
    <w:rsid w:val="00E647A4"/>
    <w:rsid w:val="00E64946"/>
    <w:rsid w:val="00E65369"/>
    <w:rsid w:val="00E66082"/>
    <w:rsid w:val="00E66387"/>
    <w:rsid w:val="00E67BD5"/>
    <w:rsid w:val="00E70018"/>
    <w:rsid w:val="00E714A0"/>
    <w:rsid w:val="00E73296"/>
    <w:rsid w:val="00E76D15"/>
    <w:rsid w:val="00E775F6"/>
    <w:rsid w:val="00E77BDE"/>
    <w:rsid w:val="00E81A5E"/>
    <w:rsid w:val="00E826DE"/>
    <w:rsid w:val="00E85A5C"/>
    <w:rsid w:val="00E8779B"/>
    <w:rsid w:val="00E90CFD"/>
    <w:rsid w:val="00E914D4"/>
    <w:rsid w:val="00E92203"/>
    <w:rsid w:val="00E934B9"/>
    <w:rsid w:val="00E93916"/>
    <w:rsid w:val="00E951B6"/>
    <w:rsid w:val="00E95316"/>
    <w:rsid w:val="00E96750"/>
    <w:rsid w:val="00EA0468"/>
    <w:rsid w:val="00EA1859"/>
    <w:rsid w:val="00EA2A1D"/>
    <w:rsid w:val="00EA2DE5"/>
    <w:rsid w:val="00EA42CE"/>
    <w:rsid w:val="00EA47B6"/>
    <w:rsid w:val="00EA580B"/>
    <w:rsid w:val="00EA59C7"/>
    <w:rsid w:val="00EA6438"/>
    <w:rsid w:val="00EA6716"/>
    <w:rsid w:val="00EA68C8"/>
    <w:rsid w:val="00EA6E45"/>
    <w:rsid w:val="00EA702B"/>
    <w:rsid w:val="00EB3BB4"/>
    <w:rsid w:val="00EB3EBD"/>
    <w:rsid w:val="00EB4046"/>
    <w:rsid w:val="00EB4BD4"/>
    <w:rsid w:val="00EB6CE4"/>
    <w:rsid w:val="00EB73B2"/>
    <w:rsid w:val="00EC1471"/>
    <w:rsid w:val="00EC1B34"/>
    <w:rsid w:val="00EC2C45"/>
    <w:rsid w:val="00EC2E29"/>
    <w:rsid w:val="00EC3F08"/>
    <w:rsid w:val="00EC60C1"/>
    <w:rsid w:val="00EC68B6"/>
    <w:rsid w:val="00EC7230"/>
    <w:rsid w:val="00ED132A"/>
    <w:rsid w:val="00ED1631"/>
    <w:rsid w:val="00ED2BBA"/>
    <w:rsid w:val="00ED3241"/>
    <w:rsid w:val="00ED3295"/>
    <w:rsid w:val="00ED3FCB"/>
    <w:rsid w:val="00ED490B"/>
    <w:rsid w:val="00ED51D8"/>
    <w:rsid w:val="00ED56CC"/>
    <w:rsid w:val="00ED5828"/>
    <w:rsid w:val="00ED5E6C"/>
    <w:rsid w:val="00ED60CA"/>
    <w:rsid w:val="00ED660B"/>
    <w:rsid w:val="00ED7E74"/>
    <w:rsid w:val="00EE0524"/>
    <w:rsid w:val="00EE0AD7"/>
    <w:rsid w:val="00EE15C2"/>
    <w:rsid w:val="00EE169A"/>
    <w:rsid w:val="00EE336E"/>
    <w:rsid w:val="00EE3EE7"/>
    <w:rsid w:val="00EE44CB"/>
    <w:rsid w:val="00EF030F"/>
    <w:rsid w:val="00EF1406"/>
    <w:rsid w:val="00EF1BE2"/>
    <w:rsid w:val="00EF1D5F"/>
    <w:rsid w:val="00EF2FE1"/>
    <w:rsid w:val="00EF3167"/>
    <w:rsid w:val="00EF3977"/>
    <w:rsid w:val="00EF3F2A"/>
    <w:rsid w:val="00EF4AC8"/>
    <w:rsid w:val="00EF647C"/>
    <w:rsid w:val="00EF6B6A"/>
    <w:rsid w:val="00EF6C05"/>
    <w:rsid w:val="00EF70B7"/>
    <w:rsid w:val="00EF7BFF"/>
    <w:rsid w:val="00F01A48"/>
    <w:rsid w:val="00F03659"/>
    <w:rsid w:val="00F04CBF"/>
    <w:rsid w:val="00F059D4"/>
    <w:rsid w:val="00F0720B"/>
    <w:rsid w:val="00F111BB"/>
    <w:rsid w:val="00F1495E"/>
    <w:rsid w:val="00F14EAC"/>
    <w:rsid w:val="00F159D1"/>
    <w:rsid w:val="00F15C17"/>
    <w:rsid w:val="00F16901"/>
    <w:rsid w:val="00F16917"/>
    <w:rsid w:val="00F2005B"/>
    <w:rsid w:val="00F21F93"/>
    <w:rsid w:val="00F22626"/>
    <w:rsid w:val="00F226CF"/>
    <w:rsid w:val="00F229CC"/>
    <w:rsid w:val="00F22AF0"/>
    <w:rsid w:val="00F22B14"/>
    <w:rsid w:val="00F25A7D"/>
    <w:rsid w:val="00F27906"/>
    <w:rsid w:val="00F27CD5"/>
    <w:rsid w:val="00F30AD2"/>
    <w:rsid w:val="00F3236B"/>
    <w:rsid w:val="00F329E3"/>
    <w:rsid w:val="00F33252"/>
    <w:rsid w:val="00F369F5"/>
    <w:rsid w:val="00F36FE4"/>
    <w:rsid w:val="00F37353"/>
    <w:rsid w:val="00F4001C"/>
    <w:rsid w:val="00F4021C"/>
    <w:rsid w:val="00F4063F"/>
    <w:rsid w:val="00F40CD6"/>
    <w:rsid w:val="00F416A1"/>
    <w:rsid w:val="00F4185B"/>
    <w:rsid w:val="00F419EF"/>
    <w:rsid w:val="00F4220F"/>
    <w:rsid w:val="00F42AD5"/>
    <w:rsid w:val="00F443F4"/>
    <w:rsid w:val="00F44846"/>
    <w:rsid w:val="00F45906"/>
    <w:rsid w:val="00F45D4F"/>
    <w:rsid w:val="00F4623A"/>
    <w:rsid w:val="00F50453"/>
    <w:rsid w:val="00F504FF"/>
    <w:rsid w:val="00F50699"/>
    <w:rsid w:val="00F50D1C"/>
    <w:rsid w:val="00F519E1"/>
    <w:rsid w:val="00F51E3D"/>
    <w:rsid w:val="00F529D0"/>
    <w:rsid w:val="00F53090"/>
    <w:rsid w:val="00F548E9"/>
    <w:rsid w:val="00F55CE7"/>
    <w:rsid w:val="00F60741"/>
    <w:rsid w:val="00F624C9"/>
    <w:rsid w:val="00F63A0B"/>
    <w:rsid w:val="00F645A1"/>
    <w:rsid w:val="00F64986"/>
    <w:rsid w:val="00F64F6F"/>
    <w:rsid w:val="00F65DA5"/>
    <w:rsid w:val="00F663FC"/>
    <w:rsid w:val="00F667ED"/>
    <w:rsid w:val="00F707EF"/>
    <w:rsid w:val="00F72607"/>
    <w:rsid w:val="00F72CC5"/>
    <w:rsid w:val="00F738F3"/>
    <w:rsid w:val="00F740B7"/>
    <w:rsid w:val="00F7432A"/>
    <w:rsid w:val="00F75535"/>
    <w:rsid w:val="00F7790F"/>
    <w:rsid w:val="00F809CC"/>
    <w:rsid w:val="00F81C7F"/>
    <w:rsid w:val="00F82C32"/>
    <w:rsid w:val="00F82C86"/>
    <w:rsid w:val="00F8419C"/>
    <w:rsid w:val="00F84522"/>
    <w:rsid w:val="00F8464E"/>
    <w:rsid w:val="00F85AA3"/>
    <w:rsid w:val="00F87191"/>
    <w:rsid w:val="00F872B4"/>
    <w:rsid w:val="00F90090"/>
    <w:rsid w:val="00F9124C"/>
    <w:rsid w:val="00F917BF"/>
    <w:rsid w:val="00F930F7"/>
    <w:rsid w:val="00F942DA"/>
    <w:rsid w:val="00F94A2B"/>
    <w:rsid w:val="00F95A6E"/>
    <w:rsid w:val="00F9779C"/>
    <w:rsid w:val="00FA0557"/>
    <w:rsid w:val="00FA131D"/>
    <w:rsid w:val="00FA1EF1"/>
    <w:rsid w:val="00FA29A5"/>
    <w:rsid w:val="00FA37F0"/>
    <w:rsid w:val="00FA5E5F"/>
    <w:rsid w:val="00FA62B6"/>
    <w:rsid w:val="00FA6635"/>
    <w:rsid w:val="00FA7FF9"/>
    <w:rsid w:val="00FB08DF"/>
    <w:rsid w:val="00FB33CE"/>
    <w:rsid w:val="00FB3E27"/>
    <w:rsid w:val="00FB446F"/>
    <w:rsid w:val="00FB7380"/>
    <w:rsid w:val="00FB7832"/>
    <w:rsid w:val="00FC0220"/>
    <w:rsid w:val="00FC2B99"/>
    <w:rsid w:val="00FC2C22"/>
    <w:rsid w:val="00FC3558"/>
    <w:rsid w:val="00FC374E"/>
    <w:rsid w:val="00FC46D7"/>
    <w:rsid w:val="00FC4ADB"/>
    <w:rsid w:val="00FC4FF8"/>
    <w:rsid w:val="00FC51FF"/>
    <w:rsid w:val="00FC5AC0"/>
    <w:rsid w:val="00FC5F1C"/>
    <w:rsid w:val="00FC6B5E"/>
    <w:rsid w:val="00FC7513"/>
    <w:rsid w:val="00FD41A3"/>
    <w:rsid w:val="00FD45D0"/>
    <w:rsid w:val="00FD49D4"/>
    <w:rsid w:val="00FD553F"/>
    <w:rsid w:val="00FD6B94"/>
    <w:rsid w:val="00FD7BCA"/>
    <w:rsid w:val="00FE191B"/>
    <w:rsid w:val="00FE28B8"/>
    <w:rsid w:val="00FE4769"/>
    <w:rsid w:val="00FE5917"/>
    <w:rsid w:val="00FE6293"/>
    <w:rsid w:val="00FE697E"/>
    <w:rsid w:val="00FE78A4"/>
    <w:rsid w:val="00FE7DA5"/>
    <w:rsid w:val="00FF056B"/>
    <w:rsid w:val="00FF0976"/>
    <w:rsid w:val="00FF1B3C"/>
    <w:rsid w:val="00FF28A1"/>
    <w:rsid w:val="00FF3B95"/>
    <w:rsid w:val="00FF4E8B"/>
    <w:rsid w:val="00FF7357"/>
    <w:rsid w:val="00FF7482"/>
    <w:rsid w:val="00FF7A28"/>
    <w:rsid w:val="02271F96"/>
    <w:rsid w:val="03287DF9"/>
    <w:rsid w:val="032A5FC6"/>
    <w:rsid w:val="041C0754"/>
    <w:rsid w:val="04277F41"/>
    <w:rsid w:val="04B270C1"/>
    <w:rsid w:val="05140932"/>
    <w:rsid w:val="05C465B3"/>
    <w:rsid w:val="05F50742"/>
    <w:rsid w:val="06F91E31"/>
    <w:rsid w:val="0705154E"/>
    <w:rsid w:val="076060C1"/>
    <w:rsid w:val="08643EB5"/>
    <w:rsid w:val="08761C62"/>
    <w:rsid w:val="08A86148"/>
    <w:rsid w:val="08CE26F5"/>
    <w:rsid w:val="08FA104A"/>
    <w:rsid w:val="0991309D"/>
    <w:rsid w:val="09936261"/>
    <w:rsid w:val="09B303AB"/>
    <w:rsid w:val="09D8363F"/>
    <w:rsid w:val="0A360DE6"/>
    <w:rsid w:val="0C181202"/>
    <w:rsid w:val="0C271BC6"/>
    <w:rsid w:val="0C5C49E4"/>
    <w:rsid w:val="0CB421C4"/>
    <w:rsid w:val="0CB73AE1"/>
    <w:rsid w:val="0D965172"/>
    <w:rsid w:val="0DE35706"/>
    <w:rsid w:val="0E757825"/>
    <w:rsid w:val="0EEB3D71"/>
    <w:rsid w:val="0EEB6216"/>
    <w:rsid w:val="0F6A12F6"/>
    <w:rsid w:val="0FC27694"/>
    <w:rsid w:val="108B61D3"/>
    <w:rsid w:val="109500A2"/>
    <w:rsid w:val="10F76454"/>
    <w:rsid w:val="111678B2"/>
    <w:rsid w:val="1155452D"/>
    <w:rsid w:val="11984DEC"/>
    <w:rsid w:val="11A93CB3"/>
    <w:rsid w:val="11F62C07"/>
    <w:rsid w:val="121D4D13"/>
    <w:rsid w:val="122D0B62"/>
    <w:rsid w:val="123200C6"/>
    <w:rsid w:val="128D5005"/>
    <w:rsid w:val="135C2A05"/>
    <w:rsid w:val="1532361C"/>
    <w:rsid w:val="155116B6"/>
    <w:rsid w:val="15704AF0"/>
    <w:rsid w:val="15BA5163"/>
    <w:rsid w:val="15C75B64"/>
    <w:rsid w:val="15D93562"/>
    <w:rsid w:val="165779D5"/>
    <w:rsid w:val="1678663C"/>
    <w:rsid w:val="16A02496"/>
    <w:rsid w:val="16F64F19"/>
    <w:rsid w:val="17641D15"/>
    <w:rsid w:val="18085FBB"/>
    <w:rsid w:val="1849013E"/>
    <w:rsid w:val="1881430E"/>
    <w:rsid w:val="195A5D27"/>
    <w:rsid w:val="199274B1"/>
    <w:rsid w:val="1A8569E2"/>
    <w:rsid w:val="1ABD1F53"/>
    <w:rsid w:val="1B03519F"/>
    <w:rsid w:val="1B101C5C"/>
    <w:rsid w:val="1B1736FE"/>
    <w:rsid w:val="1C225393"/>
    <w:rsid w:val="1C7A11F5"/>
    <w:rsid w:val="1C817546"/>
    <w:rsid w:val="1E9C7BDB"/>
    <w:rsid w:val="1EF757AF"/>
    <w:rsid w:val="1F2C0070"/>
    <w:rsid w:val="1F4D1EEA"/>
    <w:rsid w:val="1FE247DF"/>
    <w:rsid w:val="1FF76C55"/>
    <w:rsid w:val="21E7182E"/>
    <w:rsid w:val="22312BE1"/>
    <w:rsid w:val="228B6AB8"/>
    <w:rsid w:val="22D622F3"/>
    <w:rsid w:val="23413763"/>
    <w:rsid w:val="23506775"/>
    <w:rsid w:val="23941132"/>
    <w:rsid w:val="23AD1FCB"/>
    <w:rsid w:val="24282DAA"/>
    <w:rsid w:val="243C21C4"/>
    <w:rsid w:val="24693151"/>
    <w:rsid w:val="24E53C19"/>
    <w:rsid w:val="256F5577"/>
    <w:rsid w:val="25756786"/>
    <w:rsid w:val="25847A9B"/>
    <w:rsid w:val="258C73AC"/>
    <w:rsid w:val="25BC51F1"/>
    <w:rsid w:val="25EB6B8D"/>
    <w:rsid w:val="26066C92"/>
    <w:rsid w:val="261D2218"/>
    <w:rsid w:val="268A4DCA"/>
    <w:rsid w:val="26F12662"/>
    <w:rsid w:val="27C745EC"/>
    <w:rsid w:val="27CE64E0"/>
    <w:rsid w:val="27D63767"/>
    <w:rsid w:val="2852646A"/>
    <w:rsid w:val="28CF5280"/>
    <w:rsid w:val="28DE0E6D"/>
    <w:rsid w:val="290F4389"/>
    <w:rsid w:val="29143763"/>
    <w:rsid w:val="291D7154"/>
    <w:rsid w:val="294F028E"/>
    <w:rsid w:val="29993843"/>
    <w:rsid w:val="29A0718A"/>
    <w:rsid w:val="29B46E22"/>
    <w:rsid w:val="2ADD20D0"/>
    <w:rsid w:val="2B396F76"/>
    <w:rsid w:val="2B7122BA"/>
    <w:rsid w:val="2B9003FB"/>
    <w:rsid w:val="2B966F78"/>
    <w:rsid w:val="2C0A1C24"/>
    <w:rsid w:val="2C18080F"/>
    <w:rsid w:val="2C2475FA"/>
    <w:rsid w:val="2C2663D4"/>
    <w:rsid w:val="2C2C3196"/>
    <w:rsid w:val="2C3B4D46"/>
    <w:rsid w:val="2C9462B5"/>
    <w:rsid w:val="2CD15A7D"/>
    <w:rsid w:val="2CE41312"/>
    <w:rsid w:val="2D285E0A"/>
    <w:rsid w:val="2D2C0515"/>
    <w:rsid w:val="2DA40523"/>
    <w:rsid w:val="2EA12440"/>
    <w:rsid w:val="2EB76944"/>
    <w:rsid w:val="2F92568F"/>
    <w:rsid w:val="2FED2A54"/>
    <w:rsid w:val="312E6F2A"/>
    <w:rsid w:val="312F2FBD"/>
    <w:rsid w:val="317107FF"/>
    <w:rsid w:val="317D785C"/>
    <w:rsid w:val="31CB09A7"/>
    <w:rsid w:val="33DA6921"/>
    <w:rsid w:val="346C3C91"/>
    <w:rsid w:val="349B4B7B"/>
    <w:rsid w:val="351B0EEC"/>
    <w:rsid w:val="35442549"/>
    <w:rsid w:val="360323CF"/>
    <w:rsid w:val="362B3933"/>
    <w:rsid w:val="36421C40"/>
    <w:rsid w:val="3702723B"/>
    <w:rsid w:val="375466E1"/>
    <w:rsid w:val="37A378AE"/>
    <w:rsid w:val="37AD3573"/>
    <w:rsid w:val="37C62E79"/>
    <w:rsid w:val="37F37ABA"/>
    <w:rsid w:val="38C44A66"/>
    <w:rsid w:val="39030BD9"/>
    <w:rsid w:val="392758E5"/>
    <w:rsid w:val="39DB002B"/>
    <w:rsid w:val="3A8D4AB4"/>
    <w:rsid w:val="3AA50881"/>
    <w:rsid w:val="3ABC36A3"/>
    <w:rsid w:val="3B344388"/>
    <w:rsid w:val="3B3F5A14"/>
    <w:rsid w:val="3B803F43"/>
    <w:rsid w:val="3B9A3649"/>
    <w:rsid w:val="3C260C83"/>
    <w:rsid w:val="3C764A84"/>
    <w:rsid w:val="3D0C4D27"/>
    <w:rsid w:val="3D135BF6"/>
    <w:rsid w:val="3D1A180D"/>
    <w:rsid w:val="3D521C7A"/>
    <w:rsid w:val="3E5F5A21"/>
    <w:rsid w:val="3E703177"/>
    <w:rsid w:val="3EFC0316"/>
    <w:rsid w:val="3F582D33"/>
    <w:rsid w:val="3F8C08E8"/>
    <w:rsid w:val="3FD8444B"/>
    <w:rsid w:val="3FFFC85B"/>
    <w:rsid w:val="402746A5"/>
    <w:rsid w:val="40690F94"/>
    <w:rsid w:val="40693C3C"/>
    <w:rsid w:val="40A16651"/>
    <w:rsid w:val="40F643C4"/>
    <w:rsid w:val="40FD4B49"/>
    <w:rsid w:val="4139520E"/>
    <w:rsid w:val="413A4A71"/>
    <w:rsid w:val="414345C0"/>
    <w:rsid w:val="42631625"/>
    <w:rsid w:val="42C14ECB"/>
    <w:rsid w:val="42F61F8C"/>
    <w:rsid w:val="432E77C6"/>
    <w:rsid w:val="4389697B"/>
    <w:rsid w:val="43C05883"/>
    <w:rsid w:val="44544D43"/>
    <w:rsid w:val="44581630"/>
    <w:rsid w:val="44882267"/>
    <w:rsid w:val="44C815B7"/>
    <w:rsid w:val="44F852C5"/>
    <w:rsid w:val="45412507"/>
    <w:rsid w:val="4665380E"/>
    <w:rsid w:val="467A1F72"/>
    <w:rsid w:val="471B6F39"/>
    <w:rsid w:val="47B832ED"/>
    <w:rsid w:val="47F76058"/>
    <w:rsid w:val="484A38BC"/>
    <w:rsid w:val="4919369C"/>
    <w:rsid w:val="492075CD"/>
    <w:rsid w:val="4ABE1B4C"/>
    <w:rsid w:val="4C01437F"/>
    <w:rsid w:val="4C7174EA"/>
    <w:rsid w:val="4C936983"/>
    <w:rsid w:val="4CE74FE6"/>
    <w:rsid w:val="4D0A59E8"/>
    <w:rsid w:val="4D52611D"/>
    <w:rsid w:val="4D583076"/>
    <w:rsid w:val="4D732FAB"/>
    <w:rsid w:val="4D933B54"/>
    <w:rsid w:val="4DC824D5"/>
    <w:rsid w:val="4E066442"/>
    <w:rsid w:val="4E2D0F1D"/>
    <w:rsid w:val="4E7B184A"/>
    <w:rsid w:val="4EFE4718"/>
    <w:rsid w:val="4F045758"/>
    <w:rsid w:val="4F466757"/>
    <w:rsid w:val="4F7A6DC8"/>
    <w:rsid w:val="4FE2721C"/>
    <w:rsid w:val="50056028"/>
    <w:rsid w:val="51B75426"/>
    <w:rsid w:val="51BA2199"/>
    <w:rsid w:val="527949B6"/>
    <w:rsid w:val="52D57802"/>
    <w:rsid w:val="532371F2"/>
    <w:rsid w:val="54456651"/>
    <w:rsid w:val="54640742"/>
    <w:rsid w:val="54745B1B"/>
    <w:rsid w:val="549FCE89"/>
    <w:rsid w:val="557971BC"/>
    <w:rsid w:val="55810E56"/>
    <w:rsid w:val="56AC6226"/>
    <w:rsid w:val="575B2EED"/>
    <w:rsid w:val="57692676"/>
    <w:rsid w:val="57B23C9A"/>
    <w:rsid w:val="57D032D4"/>
    <w:rsid w:val="58DA6810"/>
    <w:rsid w:val="594249FA"/>
    <w:rsid w:val="59E65A12"/>
    <w:rsid w:val="5AB61085"/>
    <w:rsid w:val="5AC5233D"/>
    <w:rsid w:val="5B0C7E58"/>
    <w:rsid w:val="5C334AE6"/>
    <w:rsid w:val="5D2A05E8"/>
    <w:rsid w:val="5D5D2379"/>
    <w:rsid w:val="5DE15070"/>
    <w:rsid w:val="5E0D5654"/>
    <w:rsid w:val="5F338207"/>
    <w:rsid w:val="5F4772F6"/>
    <w:rsid w:val="5F627962"/>
    <w:rsid w:val="5F651586"/>
    <w:rsid w:val="5FC851B9"/>
    <w:rsid w:val="60225BF0"/>
    <w:rsid w:val="60662062"/>
    <w:rsid w:val="60CE2C9B"/>
    <w:rsid w:val="612336E5"/>
    <w:rsid w:val="61E62273"/>
    <w:rsid w:val="628D0698"/>
    <w:rsid w:val="62F0715F"/>
    <w:rsid w:val="63C525C8"/>
    <w:rsid w:val="6430472D"/>
    <w:rsid w:val="64BA6AB0"/>
    <w:rsid w:val="64D34BAE"/>
    <w:rsid w:val="64D4751F"/>
    <w:rsid w:val="66333A39"/>
    <w:rsid w:val="66533CAE"/>
    <w:rsid w:val="66564EF2"/>
    <w:rsid w:val="66B42F29"/>
    <w:rsid w:val="66DA76CA"/>
    <w:rsid w:val="677C0BE4"/>
    <w:rsid w:val="677C552F"/>
    <w:rsid w:val="67BA1256"/>
    <w:rsid w:val="685D07DF"/>
    <w:rsid w:val="687F736A"/>
    <w:rsid w:val="6887510A"/>
    <w:rsid w:val="68DB50FC"/>
    <w:rsid w:val="69C64736"/>
    <w:rsid w:val="69E82C17"/>
    <w:rsid w:val="69FEE7E7"/>
    <w:rsid w:val="6A131496"/>
    <w:rsid w:val="6A280786"/>
    <w:rsid w:val="6AC124E1"/>
    <w:rsid w:val="6AE66C85"/>
    <w:rsid w:val="6C04469A"/>
    <w:rsid w:val="6C931CE2"/>
    <w:rsid w:val="6CD0675A"/>
    <w:rsid w:val="6DBE449A"/>
    <w:rsid w:val="6DCD245E"/>
    <w:rsid w:val="6DCF78A5"/>
    <w:rsid w:val="6ECA5154"/>
    <w:rsid w:val="6EE421E2"/>
    <w:rsid w:val="6F145F90"/>
    <w:rsid w:val="6F1A7636"/>
    <w:rsid w:val="6F5E368C"/>
    <w:rsid w:val="702335E1"/>
    <w:rsid w:val="70502DD8"/>
    <w:rsid w:val="70597573"/>
    <w:rsid w:val="70824E4A"/>
    <w:rsid w:val="710A4199"/>
    <w:rsid w:val="71363A63"/>
    <w:rsid w:val="71AB3B10"/>
    <w:rsid w:val="72622394"/>
    <w:rsid w:val="734E0E87"/>
    <w:rsid w:val="73A836C8"/>
    <w:rsid w:val="73D12CDD"/>
    <w:rsid w:val="73FB42D0"/>
    <w:rsid w:val="74300DAC"/>
    <w:rsid w:val="74936BB3"/>
    <w:rsid w:val="74F72EF3"/>
    <w:rsid w:val="757B56CA"/>
    <w:rsid w:val="760942F2"/>
    <w:rsid w:val="76FD25EF"/>
    <w:rsid w:val="770B2A6B"/>
    <w:rsid w:val="77769659"/>
    <w:rsid w:val="77996730"/>
    <w:rsid w:val="77BE23CE"/>
    <w:rsid w:val="77C042DC"/>
    <w:rsid w:val="77DDBC7C"/>
    <w:rsid w:val="781F6D8D"/>
    <w:rsid w:val="782128B5"/>
    <w:rsid w:val="7863320D"/>
    <w:rsid w:val="78827068"/>
    <w:rsid w:val="791B2061"/>
    <w:rsid w:val="797E2AD3"/>
    <w:rsid w:val="7AA74109"/>
    <w:rsid w:val="7BF53C17"/>
    <w:rsid w:val="7BFE75B8"/>
    <w:rsid w:val="7C2731C4"/>
    <w:rsid w:val="7C656BB9"/>
    <w:rsid w:val="7D0E3EC8"/>
    <w:rsid w:val="7E043D10"/>
    <w:rsid w:val="7E1F6AE5"/>
    <w:rsid w:val="7EFD4846"/>
    <w:rsid w:val="7F3F4749"/>
    <w:rsid w:val="7F4B00AF"/>
    <w:rsid w:val="7F59DD17"/>
    <w:rsid w:val="7F8D7647"/>
    <w:rsid w:val="7FFFD0F9"/>
    <w:rsid w:val="99FE6EBF"/>
    <w:rsid w:val="9BC78EB9"/>
    <w:rsid w:val="B1FB5C96"/>
    <w:rsid w:val="B7B9460E"/>
    <w:rsid w:val="BAF72DC1"/>
    <w:rsid w:val="BC0EB0DF"/>
    <w:rsid w:val="BD92E0D1"/>
    <w:rsid w:val="BDFE057A"/>
    <w:rsid w:val="BF7FEDDF"/>
    <w:rsid w:val="BFDDC0C4"/>
    <w:rsid w:val="C77298BA"/>
    <w:rsid w:val="DBF53B54"/>
    <w:rsid w:val="DF9E5BAA"/>
    <w:rsid w:val="DFF5D2CE"/>
    <w:rsid w:val="E5AF77AE"/>
    <w:rsid w:val="EA6C9C2A"/>
    <w:rsid w:val="EEE7FB34"/>
    <w:rsid w:val="F5FF2CBC"/>
    <w:rsid w:val="F6DF6373"/>
    <w:rsid w:val="FBCF54AE"/>
    <w:rsid w:val="FBEDFDE3"/>
    <w:rsid w:val="FBEED0FF"/>
    <w:rsid w:val="FBFD6EA3"/>
    <w:rsid w:val="FCD4C2CD"/>
    <w:rsid w:val="FCDACCA8"/>
    <w:rsid w:val="FD6F173A"/>
    <w:rsid w:val="FE779788"/>
    <w:rsid w:val="FEE71680"/>
    <w:rsid w:val="FEFBF096"/>
    <w:rsid w:val="FEFD8B09"/>
    <w:rsid w:val="FF7F1FDF"/>
    <w:rsid w:val="FFA962EE"/>
    <w:rsid w:val="FFBBA08D"/>
    <w:rsid w:val="FFDB321D"/>
    <w:rsid w:val="FFEEE215"/>
    <w:rsid w:val="FFFEFA81"/>
    <w:rsid w:val="FFFF04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1"/>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2"/>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46"/>
    <w:semiHidden/>
    <w:unhideWhenUsed/>
    <w:qFormat/>
    <w:uiPriority w:val="99"/>
    <w:rPr>
      <w:rFonts w:ascii="宋体" w:eastAsia="宋体"/>
      <w:sz w:val="18"/>
      <w:szCs w:val="18"/>
    </w:rPr>
  </w:style>
  <w:style w:type="paragraph" w:styleId="9">
    <w:name w:val="annotation text"/>
    <w:basedOn w:val="1"/>
    <w:link w:val="32"/>
    <w:unhideWhenUsed/>
    <w:qFormat/>
    <w:uiPriority w:val="99"/>
    <w:pPr>
      <w:jc w:val="left"/>
    </w:pPr>
  </w:style>
  <w:style w:type="paragraph" w:styleId="10">
    <w:name w:val="toc 3"/>
    <w:basedOn w:val="1"/>
    <w:next w:val="1"/>
    <w:unhideWhenUsed/>
    <w:qFormat/>
    <w:uiPriority w:val="39"/>
    <w:pPr>
      <w:ind w:left="840" w:leftChars="400"/>
    </w:pPr>
  </w:style>
  <w:style w:type="paragraph" w:styleId="11">
    <w:name w:val="Balloon Text"/>
    <w:basedOn w:val="1"/>
    <w:link w:val="31"/>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ind w:left="1260" w:leftChars="600"/>
    </w:pPr>
  </w:style>
  <w:style w:type="paragraph" w:styleId="16">
    <w:name w:val="toc 2"/>
    <w:basedOn w:val="1"/>
    <w:next w:val="1"/>
    <w:unhideWhenUsed/>
    <w:qFormat/>
    <w:uiPriority w:val="39"/>
    <w:pPr>
      <w:ind w:left="420" w:leftChars="200"/>
    </w:pPr>
  </w:style>
  <w:style w:type="paragraph" w:styleId="17">
    <w:name w:val="annotation subject"/>
    <w:basedOn w:val="9"/>
    <w:next w:val="9"/>
    <w:link w:val="33"/>
    <w:semiHidden/>
    <w:unhideWhenUsed/>
    <w:qFormat/>
    <w:uiPriority w:val="99"/>
    <w:rPr>
      <w:b/>
      <w:bCs/>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page number"/>
    <w:basedOn w:val="20"/>
    <w:semiHidden/>
    <w:unhideWhenUsed/>
    <w:qFormat/>
    <w:uiPriority w:val="99"/>
  </w:style>
  <w:style w:type="character" w:styleId="23">
    <w:name w:val="Emphasis"/>
    <w:basedOn w:val="20"/>
    <w:qFormat/>
    <w:uiPriority w:val="20"/>
    <w:rPr>
      <w:i/>
      <w:iCs/>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paragraph" w:customStyle="1" w:styleId="26">
    <w:name w:val="Default"/>
    <w:qFormat/>
    <w:uiPriority w:val="0"/>
    <w:pPr>
      <w:widowControl w:val="0"/>
      <w:autoSpaceDE w:val="0"/>
      <w:autoSpaceDN w:val="0"/>
      <w:adjustRightInd w:val="0"/>
    </w:pPr>
    <w:rPr>
      <w:rFonts w:hint="eastAsia" w:ascii="FZFangSong-Z02" w:hAnsi="FZFangSong-Z02" w:eastAsia="FZFangSong-Z02" w:cs="Times New Roman"/>
      <w:color w:val="000000"/>
      <w:sz w:val="24"/>
      <w:szCs w:val="22"/>
      <w:lang w:val="en-US" w:eastAsia="zh-CN" w:bidi="ar-SA"/>
    </w:rPr>
  </w:style>
  <w:style w:type="paragraph" w:customStyle="1" w:styleId="27">
    <w:name w:val="列出段落1"/>
    <w:basedOn w:val="1"/>
    <w:qFormat/>
    <w:uiPriority w:val="34"/>
    <w:pPr>
      <w:ind w:firstLine="420" w:firstLineChars="200"/>
    </w:pPr>
  </w:style>
  <w:style w:type="character" w:customStyle="1" w:styleId="28">
    <w:name w:val="页眉 字符"/>
    <w:basedOn w:val="20"/>
    <w:link w:val="13"/>
    <w:qFormat/>
    <w:uiPriority w:val="99"/>
    <w:rPr>
      <w:sz w:val="18"/>
      <w:szCs w:val="18"/>
    </w:rPr>
  </w:style>
  <w:style w:type="character" w:customStyle="1" w:styleId="29">
    <w:name w:val="页脚 字符"/>
    <w:basedOn w:val="20"/>
    <w:link w:val="12"/>
    <w:qFormat/>
    <w:uiPriority w:val="99"/>
    <w:rPr>
      <w:sz w:val="18"/>
      <w:szCs w:val="18"/>
    </w:rPr>
  </w:style>
  <w:style w:type="paragraph" w:styleId="30">
    <w:name w:val="List Paragraph"/>
    <w:basedOn w:val="1"/>
    <w:qFormat/>
    <w:uiPriority w:val="99"/>
    <w:pPr>
      <w:ind w:firstLine="420" w:firstLineChars="200"/>
    </w:pPr>
  </w:style>
  <w:style w:type="character" w:customStyle="1" w:styleId="31">
    <w:name w:val="批注框文本 字符"/>
    <w:basedOn w:val="20"/>
    <w:link w:val="11"/>
    <w:semiHidden/>
    <w:qFormat/>
    <w:uiPriority w:val="99"/>
    <w:rPr>
      <w:kern w:val="2"/>
      <w:sz w:val="18"/>
      <w:szCs w:val="18"/>
    </w:rPr>
  </w:style>
  <w:style w:type="character" w:customStyle="1" w:styleId="32">
    <w:name w:val="批注文字 字符"/>
    <w:basedOn w:val="20"/>
    <w:link w:val="9"/>
    <w:qFormat/>
    <w:uiPriority w:val="99"/>
    <w:rPr>
      <w:kern w:val="2"/>
      <w:sz w:val="21"/>
      <w:szCs w:val="22"/>
    </w:rPr>
  </w:style>
  <w:style w:type="character" w:customStyle="1" w:styleId="33">
    <w:name w:val="批注主题 字符"/>
    <w:basedOn w:val="32"/>
    <w:link w:val="17"/>
    <w:semiHidden/>
    <w:qFormat/>
    <w:uiPriority w:val="99"/>
    <w:rPr>
      <w:b/>
      <w:bCs/>
      <w:kern w:val="2"/>
      <w:sz w:val="21"/>
      <w:szCs w:val="22"/>
    </w:rPr>
  </w:style>
  <w:style w:type="character" w:customStyle="1" w:styleId="34">
    <w:name w:val="标题 1 字符"/>
    <w:basedOn w:val="20"/>
    <w:link w:val="2"/>
    <w:qFormat/>
    <w:uiPriority w:val="9"/>
    <w:rPr>
      <w:b/>
      <w:bCs/>
      <w:kern w:val="44"/>
      <w:sz w:val="44"/>
      <w:szCs w:val="44"/>
    </w:rPr>
  </w:style>
  <w:style w:type="paragraph" w:customStyle="1" w:styleId="3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6">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7">
    <w:name w:val="列出段落2"/>
    <w:basedOn w:val="1"/>
    <w:qFormat/>
    <w:uiPriority w:val="99"/>
    <w:pPr>
      <w:ind w:firstLine="420" w:firstLineChars="200"/>
    </w:pPr>
  </w:style>
  <w:style w:type="character" w:customStyle="1" w:styleId="38">
    <w:name w:val="标题 2 字符"/>
    <w:basedOn w:val="20"/>
    <w:link w:val="3"/>
    <w:qFormat/>
    <w:uiPriority w:val="9"/>
    <w:rPr>
      <w:rFonts w:asciiTheme="majorHAnsi" w:hAnsiTheme="majorHAnsi" w:eastAsiaTheme="majorEastAsia" w:cstheme="majorBidi"/>
      <w:b/>
      <w:bCs/>
      <w:kern w:val="2"/>
      <w:sz w:val="32"/>
      <w:szCs w:val="32"/>
    </w:rPr>
  </w:style>
  <w:style w:type="character" w:customStyle="1" w:styleId="39">
    <w:name w:val="标题 3 字符"/>
    <w:basedOn w:val="20"/>
    <w:link w:val="4"/>
    <w:qFormat/>
    <w:uiPriority w:val="9"/>
    <w:rPr>
      <w:b/>
      <w:bCs/>
      <w:kern w:val="2"/>
      <w:sz w:val="32"/>
      <w:szCs w:val="32"/>
    </w:rPr>
  </w:style>
  <w:style w:type="character" w:customStyle="1" w:styleId="40">
    <w:name w:val="标题 4 字符"/>
    <w:basedOn w:val="20"/>
    <w:link w:val="5"/>
    <w:qFormat/>
    <w:uiPriority w:val="9"/>
    <w:rPr>
      <w:rFonts w:asciiTheme="majorHAnsi" w:hAnsiTheme="majorHAnsi" w:eastAsiaTheme="majorEastAsia" w:cstheme="majorBidi"/>
      <w:b/>
      <w:bCs/>
      <w:kern w:val="2"/>
      <w:sz w:val="28"/>
      <w:szCs w:val="28"/>
    </w:rPr>
  </w:style>
  <w:style w:type="character" w:customStyle="1" w:styleId="41">
    <w:name w:val="标题 5 字符"/>
    <w:basedOn w:val="20"/>
    <w:link w:val="6"/>
    <w:qFormat/>
    <w:uiPriority w:val="9"/>
    <w:rPr>
      <w:b/>
      <w:bCs/>
      <w:kern w:val="2"/>
      <w:sz w:val="28"/>
      <w:szCs w:val="28"/>
    </w:rPr>
  </w:style>
  <w:style w:type="character" w:customStyle="1" w:styleId="42">
    <w:name w:val="标题 6 字符"/>
    <w:basedOn w:val="20"/>
    <w:link w:val="7"/>
    <w:qFormat/>
    <w:uiPriority w:val="9"/>
    <w:rPr>
      <w:rFonts w:asciiTheme="majorHAnsi" w:hAnsiTheme="majorHAnsi" w:eastAsiaTheme="majorEastAsia" w:cstheme="majorBidi"/>
      <w:b/>
      <w:bCs/>
      <w:kern w:val="2"/>
      <w:sz w:val="24"/>
      <w:szCs w:val="24"/>
    </w:rPr>
  </w:style>
  <w:style w:type="character" w:customStyle="1" w:styleId="43">
    <w:name w:val="不明显强调1"/>
    <w:basedOn w:val="20"/>
    <w:qFormat/>
    <w:uiPriority w:val="19"/>
    <w:rPr>
      <w:i/>
      <w:iCs/>
      <w:color w:val="404040" w:themeColor="text1" w:themeTint="BF"/>
      <w14:textFill>
        <w14:solidFill>
          <w14:schemeClr w14:val="tx1">
            <w14:lumMod w14:val="75000"/>
            <w14:lumOff w14:val="25000"/>
          </w14:schemeClr>
        </w14:solidFill>
      </w14:textFill>
    </w:rPr>
  </w:style>
  <w:style w:type="paragraph" w:customStyle="1" w:styleId="44">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45">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6">
    <w:name w:val="文档结构图 字符"/>
    <w:basedOn w:val="20"/>
    <w:link w:val="8"/>
    <w:semiHidden/>
    <w:qFormat/>
    <w:uiPriority w:val="99"/>
    <w:rPr>
      <w:rFonts w:ascii="宋体" w:hAnsiTheme="minorHAnsi" w:cstheme="minorBidi"/>
      <w:kern w:val="2"/>
      <w:sz w:val="18"/>
      <w:szCs w:val="18"/>
    </w:rPr>
  </w:style>
  <w:style w:type="paragraph" w:customStyle="1" w:styleId="47">
    <w:name w:val="WPSOffice手动目录 1"/>
    <w:qFormat/>
    <w:uiPriority w:val="0"/>
    <w:rPr>
      <w:rFonts w:ascii="Times New Roman" w:hAnsi="Times New Roman" w:eastAsia="宋体" w:cs="Times New Roman"/>
      <w:lang w:val="en-US" w:eastAsia="zh-CN" w:bidi="ar-SA"/>
    </w:rPr>
  </w:style>
  <w:style w:type="paragraph" w:customStyle="1" w:styleId="48">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glossaryDocument" Target="glossary/document.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df2baf3-cc7a-418b-a15a-4f1fd9df3444}"/>
        <w:style w:val=""/>
        <w:category>
          <w:name w:val="常规"/>
          <w:gallery w:val="placeholder"/>
        </w:category>
        <w:types>
          <w:type w:val="bbPlcHdr"/>
        </w:types>
        <w:behaviors>
          <w:behavior w:val="content"/>
        </w:behaviors>
        <w:description w:val=""/>
        <w:guid w:val="{0DF2BAF3-CC7A-418B-A15A-4F1FD9DF3444}"/>
      </w:docPartPr>
      <w:docPartBody>
        <w:p>
          <w:r>
            <w:rPr>
              <w:color w:val="808080"/>
            </w:rPr>
            <w:t>单击此处输入文字。</w:t>
          </w:r>
        </w:p>
      </w:docPartBody>
    </w:docPart>
    <w:docPart>
      <w:docPartPr>
        <w:name w:val="{fee28415-2968-47ff-99d0-1a32dbb6bb71}"/>
        <w:style w:val=""/>
        <w:category>
          <w:name w:val="常规"/>
          <w:gallery w:val="placeholder"/>
        </w:category>
        <w:types>
          <w:type w:val="bbPlcHdr"/>
        </w:types>
        <w:behaviors>
          <w:behavior w:val="content"/>
        </w:behaviors>
        <w:description w:val=""/>
        <w:guid w:val="{FEE28415-2968-47FF-99D0-1A32DBB6BB71}"/>
      </w:docPartPr>
      <w:docPartBody>
        <w:p>
          <w:r>
            <w:rPr>
              <w:color w:val="808080"/>
            </w:rPr>
            <w:t>单击此处输入文字。</w:t>
          </w:r>
        </w:p>
      </w:docPartBody>
    </w:docPart>
    <w:docPart>
      <w:docPartPr>
        <w:name w:val="{f652dde9-10bb-41b2-bdff-65e870f41dde}"/>
        <w:style w:val=""/>
        <w:category>
          <w:name w:val="常规"/>
          <w:gallery w:val="placeholder"/>
        </w:category>
        <w:types>
          <w:type w:val="bbPlcHdr"/>
        </w:types>
        <w:behaviors>
          <w:behavior w:val="content"/>
        </w:behaviors>
        <w:description w:val=""/>
        <w:guid w:val="{F652DDE9-10BB-41B2-BDFF-65E870F41DDE}"/>
      </w:docPartPr>
      <w:docPartBody>
        <w:p>
          <w:r>
            <w:rPr>
              <w:color w:val="808080"/>
            </w:rPr>
            <w:t>单击此处输入文字。</w:t>
          </w:r>
        </w:p>
      </w:docPartBody>
    </w:docPart>
    <w:docPart>
      <w:docPartPr>
        <w:name w:val="{abb7d5e4-55cd-4fc8-9c0f-6d69ed3c627d}"/>
        <w:style w:val=""/>
        <w:category>
          <w:name w:val="常规"/>
          <w:gallery w:val="placeholder"/>
        </w:category>
        <w:types>
          <w:type w:val="bbPlcHdr"/>
        </w:types>
        <w:behaviors>
          <w:behavior w:val="content"/>
        </w:behaviors>
        <w:description w:val=""/>
        <w:guid w:val="{ABB7D5E4-55CD-4FC8-9C0F-6D69ED3C627D}"/>
      </w:docPartPr>
      <w:docPartBody>
        <w:p>
          <w:r>
            <w:rPr>
              <w:color w:val="808080"/>
            </w:rPr>
            <w:t>单击此处输入文字。</w:t>
          </w:r>
        </w:p>
      </w:docPartBody>
    </w:docPart>
    <w:docPart>
      <w:docPartPr>
        <w:name w:val="{3b8b6166-e4ba-4e62-9336-dad17e3a2e2d}"/>
        <w:style w:val=""/>
        <w:category>
          <w:name w:val="常规"/>
          <w:gallery w:val="placeholder"/>
        </w:category>
        <w:types>
          <w:type w:val="bbPlcHdr"/>
        </w:types>
        <w:behaviors>
          <w:behavior w:val="content"/>
        </w:behaviors>
        <w:description w:val=""/>
        <w:guid w:val="{3B8B6166-E4BA-4E62-9336-DAD17E3A2E2D}"/>
      </w:docPartPr>
      <w:docPartBody>
        <w:p>
          <w:r>
            <w:rPr>
              <w:color w:val="808080"/>
            </w:rPr>
            <w:t>单击此处输入文字。</w:t>
          </w:r>
        </w:p>
      </w:docPartBody>
    </w:docPart>
    <w:docPart>
      <w:docPartPr>
        <w:name w:val="{675c0f1d-5f1f-47c9-84bb-981b8dd32abe}"/>
        <w:style w:val=""/>
        <w:category>
          <w:name w:val="常规"/>
          <w:gallery w:val="placeholder"/>
        </w:category>
        <w:types>
          <w:type w:val="bbPlcHdr"/>
        </w:types>
        <w:behaviors>
          <w:behavior w:val="content"/>
        </w:behaviors>
        <w:description w:val=""/>
        <w:guid w:val="{675C0F1D-5F1F-47C9-84BB-981B8DD32ABE}"/>
      </w:docPartPr>
      <w:docPartBody>
        <w:p>
          <w:r>
            <w:rPr>
              <w:color w:val="808080"/>
            </w:rPr>
            <w:t>单击此处输入文字。</w:t>
          </w:r>
        </w:p>
      </w:docPartBody>
    </w:docPart>
    <w:docPart>
      <w:docPartPr>
        <w:name w:val="{f3e10aef-80b0-4b3f-8cd5-60f9d3847620}"/>
        <w:style w:val=""/>
        <w:category>
          <w:name w:val="常规"/>
          <w:gallery w:val="placeholder"/>
        </w:category>
        <w:types>
          <w:type w:val="bbPlcHdr"/>
        </w:types>
        <w:behaviors>
          <w:behavior w:val="content"/>
        </w:behaviors>
        <w:description w:val=""/>
        <w:guid w:val="{F3E10AEF-80B0-4B3F-8CD5-60F9D3847620}"/>
      </w:docPartPr>
      <w:docPartBody>
        <w:p>
          <w:r>
            <w:rPr>
              <w:color w:val="808080"/>
            </w:rPr>
            <w:t>单击此处输入文字。</w:t>
          </w:r>
        </w:p>
      </w:docPartBody>
    </w:docPart>
    <w:docPart>
      <w:docPartPr>
        <w:name w:val="{bc8c90a4-d934-47d8-aac3-ae07400955f6}"/>
        <w:style w:val=""/>
        <w:category>
          <w:name w:val="常规"/>
          <w:gallery w:val="placeholder"/>
        </w:category>
        <w:types>
          <w:type w:val="bbPlcHdr"/>
        </w:types>
        <w:behaviors>
          <w:behavior w:val="content"/>
        </w:behaviors>
        <w:description w:val=""/>
        <w:guid w:val="{BC8C90A4-D934-47D8-AAC3-AE07400955F6}"/>
      </w:docPartPr>
      <w:docPartBody>
        <w:p>
          <w:r>
            <w:rPr>
              <w:color w:val="808080"/>
            </w:rPr>
            <w:t>单击此处输入文字。</w:t>
          </w:r>
        </w:p>
      </w:docPartBody>
    </w:docPart>
    <w:docPart>
      <w:docPartPr>
        <w:name w:val="{51e4f3f5-058c-419a-9eb9-6a12e05176ea}"/>
        <w:style w:val=""/>
        <w:category>
          <w:name w:val="常规"/>
          <w:gallery w:val="placeholder"/>
        </w:category>
        <w:types>
          <w:type w:val="bbPlcHdr"/>
        </w:types>
        <w:behaviors>
          <w:behavior w:val="content"/>
        </w:behaviors>
        <w:description w:val=""/>
        <w:guid w:val="{51E4F3F5-058C-419A-9EB9-6A12E05176EA}"/>
      </w:docPartPr>
      <w:docPartBody>
        <w:p>
          <w:r>
            <w:rPr>
              <w:color w:val="808080"/>
            </w:rPr>
            <w:t>单击此处输入文字。</w:t>
          </w:r>
        </w:p>
      </w:docPartBody>
    </w:docPart>
    <w:docPart>
      <w:docPartPr>
        <w:name w:val="{0ec28dd7-4426-4cf7-9193-4e1657ebbe0f}"/>
        <w:style w:val=""/>
        <w:category>
          <w:name w:val="常规"/>
          <w:gallery w:val="placeholder"/>
        </w:category>
        <w:types>
          <w:type w:val="bbPlcHdr"/>
        </w:types>
        <w:behaviors>
          <w:behavior w:val="content"/>
        </w:behaviors>
        <w:description w:val=""/>
        <w:guid w:val="{0EC28DD7-4426-4CF7-9193-4E1657EBBE0F}"/>
      </w:docPartPr>
      <w:docPartBody>
        <w:p>
          <w:r>
            <w:rPr>
              <w:color w:val="808080"/>
            </w:rPr>
            <w:t>单击此处输入文字。</w:t>
          </w:r>
        </w:p>
      </w:docPartBody>
    </w:docPart>
    <w:docPart>
      <w:docPartPr>
        <w:name w:val="{3c1f0096-6b4a-4205-880d-ab93c4dc79b7}"/>
        <w:style w:val=""/>
        <w:category>
          <w:name w:val="常规"/>
          <w:gallery w:val="placeholder"/>
        </w:category>
        <w:types>
          <w:type w:val="bbPlcHdr"/>
        </w:types>
        <w:behaviors>
          <w:behavior w:val="content"/>
        </w:behaviors>
        <w:description w:val=""/>
        <w:guid w:val="{3C1F0096-6B4A-4205-880D-AB93C4DC79B7}"/>
      </w:docPartPr>
      <w:docPartBody>
        <w:p>
          <w:r>
            <w:rPr>
              <w:color w:val="808080"/>
            </w:rPr>
            <w:t>单击此处输入文字。</w:t>
          </w:r>
        </w:p>
      </w:docPartBody>
    </w:docPart>
    <w:docPart>
      <w:docPartPr>
        <w:name w:val="{e0fda005-b640-4e81-b985-cae0f00cea14}"/>
        <w:style w:val=""/>
        <w:category>
          <w:name w:val="常规"/>
          <w:gallery w:val="placeholder"/>
        </w:category>
        <w:types>
          <w:type w:val="bbPlcHdr"/>
        </w:types>
        <w:behaviors>
          <w:behavior w:val="content"/>
        </w:behaviors>
        <w:description w:val=""/>
        <w:guid w:val="{E0FDA005-B640-4E81-B985-CAE0F00CEA14}"/>
      </w:docPartPr>
      <w:docPartBody>
        <w:p>
          <w:r>
            <w:rPr>
              <w:color w:val="808080"/>
            </w:rPr>
            <w:t>单击此处输入文字。</w:t>
          </w:r>
        </w:p>
      </w:docPartBody>
    </w:docPart>
    <w:docPart>
      <w:docPartPr>
        <w:name w:val="{14d3d4fc-3778-4a82-8ecc-dc3c58a80466}"/>
        <w:style w:val=""/>
        <w:category>
          <w:name w:val="常规"/>
          <w:gallery w:val="placeholder"/>
        </w:category>
        <w:types>
          <w:type w:val="bbPlcHdr"/>
        </w:types>
        <w:behaviors>
          <w:behavior w:val="content"/>
        </w:behaviors>
        <w:description w:val=""/>
        <w:guid w:val="{14D3D4FC-3778-4A82-8ECC-DC3C58A80466}"/>
      </w:docPartPr>
      <w:docPartBody>
        <w:p>
          <w:r>
            <w:rPr>
              <w:color w:val="808080"/>
            </w:rPr>
            <w:t>单击此处输入文字。</w:t>
          </w:r>
        </w:p>
      </w:docPartBody>
    </w:docPart>
    <w:docPart>
      <w:docPartPr>
        <w:name w:val="{0fe68c0d-50ef-4bef-a20b-b4dd2f6da091}"/>
        <w:style w:val=""/>
        <w:category>
          <w:name w:val="常规"/>
          <w:gallery w:val="placeholder"/>
        </w:category>
        <w:types>
          <w:type w:val="bbPlcHdr"/>
        </w:types>
        <w:behaviors>
          <w:behavior w:val="content"/>
        </w:behaviors>
        <w:description w:val=""/>
        <w:guid w:val="{0FE68C0D-50EF-4BEF-A20B-B4DD2F6DA091}"/>
      </w:docPartPr>
      <w:docPartBody>
        <w:p>
          <w:r>
            <w:rPr>
              <w:color w:val="808080"/>
            </w:rPr>
            <w:t>单击此处输入文字。</w:t>
          </w:r>
        </w:p>
      </w:docPartBody>
    </w:docPart>
    <w:docPart>
      <w:docPartPr>
        <w:name w:val="{9eda64b4-1ee3-4444-af25-a15ee54b08c0}"/>
        <w:style w:val=""/>
        <w:category>
          <w:name w:val="常规"/>
          <w:gallery w:val="placeholder"/>
        </w:category>
        <w:types>
          <w:type w:val="bbPlcHdr"/>
        </w:types>
        <w:behaviors>
          <w:behavior w:val="content"/>
        </w:behaviors>
        <w:description w:val=""/>
        <w:guid w:val="{9EDA64B4-1EE3-4444-AF25-A15EE54B08C0}"/>
      </w:docPartPr>
      <w:docPartBody>
        <w:p>
          <w:r>
            <w:rPr>
              <w:color w:val="808080"/>
            </w:rPr>
            <w:t>单击此处输入文字。</w:t>
          </w:r>
        </w:p>
      </w:docPartBody>
    </w:docPart>
    <w:docPart>
      <w:docPartPr>
        <w:name w:val="{5dbe82fd-e407-4763-981f-031f7c39b946}"/>
        <w:style w:val=""/>
        <w:category>
          <w:name w:val="常规"/>
          <w:gallery w:val="placeholder"/>
        </w:category>
        <w:types>
          <w:type w:val="bbPlcHdr"/>
        </w:types>
        <w:behaviors>
          <w:behavior w:val="content"/>
        </w:behaviors>
        <w:description w:val=""/>
        <w:guid w:val="{5DBE82FD-E407-4763-981F-031F7C39B946}"/>
      </w:docPartPr>
      <w:docPartBody>
        <w:p>
          <w:r>
            <w:rPr>
              <w:color w:val="808080"/>
            </w:rPr>
            <w:t>单击此处输入文字。</w:t>
          </w:r>
        </w:p>
      </w:docPartBody>
    </w:docPart>
    <w:docPart>
      <w:docPartPr>
        <w:name w:val="{2104a35c-53a9-41bb-9ac9-9827b2ad5d44}"/>
        <w:style w:val=""/>
        <w:category>
          <w:name w:val="常规"/>
          <w:gallery w:val="placeholder"/>
        </w:category>
        <w:types>
          <w:type w:val="bbPlcHdr"/>
        </w:types>
        <w:behaviors>
          <w:behavior w:val="content"/>
        </w:behaviors>
        <w:description w:val=""/>
        <w:guid w:val="{2104A35C-53A9-41BB-9AC9-9827B2AD5D44}"/>
      </w:docPartPr>
      <w:docPartBody>
        <w:p>
          <w:r>
            <w:rPr>
              <w:color w:val="808080"/>
            </w:rPr>
            <w:t>单击此处输入文字。</w:t>
          </w:r>
        </w:p>
      </w:docPartBody>
    </w:docPart>
    <w:docPart>
      <w:docPartPr>
        <w:name w:val="{831ea964-9432-4aad-b949-55d41e538771}"/>
        <w:style w:val=""/>
        <w:category>
          <w:name w:val="常规"/>
          <w:gallery w:val="placeholder"/>
        </w:category>
        <w:types>
          <w:type w:val="bbPlcHdr"/>
        </w:types>
        <w:behaviors>
          <w:behavior w:val="content"/>
        </w:behaviors>
        <w:description w:val=""/>
        <w:guid w:val="{831EA964-9432-4AAD-B949-55D41E538771}"/>
      </w:docPartPr>
      <w:docPartBody>
        <w:p>
          <w:r>
            <w:rPr>
              <w:color w:val="808080"/>
            </w:rPr>
            <w:t>单击此处输入文字。</w:t>
          </w:r>
        </w:p>
      </w:docPartBody>
    </w:docPart>
    <w:docPart>
      <w:docPartPr>
        <w:name w:val="{c7072f39-60e1-44e6-bfc0-9c95f9ce61c5}"/>
        <w:style w:val=""/>
        <w:category>
          <w:name w:val="常规"/>
          <w:gallery w:val="placeholder"/>
        </w:category>
        <w:types>
          <w:type w:val="bbPlcHdr"/>
        </w:types>
        <w:behaviors>
          <w:behavior w:val="content"/>
        </w:behaviors>
        <w:description w:val=""/>
        <w:guid w:val="{C7072F39-60E1-44E6-BFC0-9C95F9CE61C5}"/>
      </w:docPartPr>
      <w:docPartBody>
        <w:p>
          <w:r>
            <w:rPr>
              <w:color w:val="808080"/>
            </w:rPr>
            <w:t>单击此处输入文字。</w:t>
          </w:r>
        </w:p>
      </w:docPartBody>
    </w:docPart>
    <w:docPart>
      <w:docPartPr>
        <w:name w:val="{14f9442e-2e43-4c06-9240-5a388ebf7d8a}"/>
        <w:style w:val=""/>
        <w:category>
          <w:name w:val="常规"/>
          <w:gallery w:val="placeholder"/>
        </w:category>
        <w:types>
          <w:type w:val="bbPlcHdr"/>
        </w:types>
        <w:behaviors>
          <w:behavior w:val="content"/>
        </w:behaviors>
        <w:description w:val=""/>
        <w:guid w:val="{14F9442E-2E43-4C06-9240-5A388EBF7D8A}"/>
      </w:docPartPr>
      <w:docPartBody>
        <w:p>
          <w:r>
            <w:rPr>
              <w:color w:val="808080"/>
            </w:rPr>
            <w:t>单击此处输入文字。</w:t>
          </w:r>
        </w:p>
      </w:docPartBody>
    </w:docPart>
    <w:docPart>
      <w:docPartPr>
        <w:name w:val="{00453634-e673-45ee-9e31-16acc02d3274}"/>
        <w:style w:val=""/>
        <w:category>
          <w:name w:val="常规"/>
          <w:gallery w:val="placeholder"/>
        </w:category>
        <w:types>
          <w:type w:val="bbPlcHdr"/>
        </w:types>
        <w:behaviors>
          <w:behavior w:val="content"/>
        </w:behaviors>
        <w:description w:val=""/>
        <w:guid w:val="{00453634-E673-45EE-9E31-16ACC02D3274}"/>
      </w:docPartPr>
      <w:docPartBody>
        <w:p>
          <w:r>
            <w:rPr>
              <w:color w:val="808080"/>
            </w:rPr>
            <w:t>单击此处输入文字。</w:t>
          </w:r>
        </w:p>
      </w:docPartBody>
    </w:docPart>
    <w:docPart>
      <w:docPartPr>
        <w:name w:val="{5a496892-e295-48b0-affe-3f2bf54f3473}"/>
        <w:style w:val=""/>
        <w:category>
          <w:name w:val="常规"/>
          <w:gallery w:val="placeholder"/>
        </w:category>
        <w:types>
          <w:type w:val="bbPlcHdr"/>
        </w:types>
        <w:behaviors>
          <w:behavior w:val="content"/>
        </w:behaviors>
        <w:description w:val=""/>
        <w:guid w:val="{5A496892-E295-48B0-AFFE-3F2BF54F3473}"/>
      </w:docPartPr>
      <w:docPartBody>
        <w:p>
          <w:r>
            <w:rPr>
              <w:color w:val="808080"/>
            </w:rPr>
            <w:t>单击此处输入文字。</w:t>
          </w:r>
        </w:p>
      </w:docPartBody>
    </w:docPart>
    <w:docPart>
      <w:docPartPr>
        <w:name w:val="{7cc04b15-70b4-4ea3-af98-427b773f4f69}"/>
        <w:style w:val=""/>
        <w:category>
          <w:name w:val="常规"/>
          <w:gallery w:val="placeholder"/>
        </w:category>
        <w:types>
          <w:type w:val="bbPlcHdr"/>
        </w:types>
        <w:behaviors>
          <w:behavior w:val="content"/>
        </w:behaviors>
        <w:description w:val=""/>
        <w:guid w:val="{7CC04B15-70B4-4EA3-AF98-427B773F4F69}"/>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Nimbus Roman No9 L">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true"/>
  <w:bordersDoNotSurroundFooter w:val="true"/>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2B8"/>
    <w:rsid w:val="000052B8"/>
    <w:rsid w:val="00374225"/>
    <w:rsid w:val="00963741"/>
    <w:rsid w:val="009F2F8C"/>
    <w:rsid w:val="00E11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CSC</Company>
  <Pages>46</Pages>
  <Words>2830</Words>
  <Characters>16132</Characters>
  <Lines>134</Lines>
  <Paragraphs>37</Paragraphs>
  <TotalTime>679</TotalTime>
  <ScaleCrop>false</ScaleCrop>
  <LinksUpToDate>false</LinksUpToDate>
  <CharactersWithSpaces>18925</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2022-09-26T06:05:00Z</dcterms:created>
  <dc:creator>高翠香</dc:creator>
  <cp:lastModifiedBy> </cp:lastModifiedBy>
  <cp:lastPrinted>2023-02-01T18:06:00Z</cp:lastPrinted>
  <dcterms:modified xsi:type="dcterms:W3CDTF">2023-06-19T10:51:32Z</dcterms:modified>
  <dc:title>中信建投证券股份有限公司</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35AEC46243E74E20AD3755F12E9E6A8E</vt:lpwstr>
  </property>
</Properties>
</file>