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A77" w:rsidRDefault="00623A77" w:rsidP="00623A77">
      <w:pPr>
        <w:spacing w:line="540" w:lineRule="exact"/>
        <w:rPr>
          <w:rFonts w:ascii="仿宋_GB2312" w:eastAsia="仿宋_GB2312"/>
          <w:b/>
          <w:sz w:val="30"/>
          <w:szCs w:val="30"/>
        </w:rPr>
      </w:pPr>
      <w:r>
        <w:rPr>
          <w:rFonts w:ascii="仿宋_GB2312" w:eastAsia="仿宋_GB2312" w:hint="eastAsia"/>
          <w:b/>
          <w:sz w:val="30"/>
          <w:szCs w:val="30"/>
        </w:rPr>
        <w:t>附件1</w:t>
      </w:r>
    </w:p>
    <w:p w:rsidR="00623A77" w:rsidRDefault="00623A77" w:rsidP="00623A77">
      <w:pPr>
        <w:spacing w:line="540" w:lineRule="exact"/>
        <w:rPr>
          <w:rFonts w:ascii="仿宋_GB2312" w:eastAsia="仿宋_GB2312" w:hint="eastAsia"/>
          <w:b/>
          <w:sz w:val="30"/>
          <w:szCs w:val="30"/>
        </w:rPr>
      </w:pPr>
    </w:p>
    <w:p w:rsidR="00623A77" w:rsidRDefault="00623A77" w:rsidP="00623A77">
      <w:pPr>
        <w:spacing w:line="540" w:lineRule="exact"/>
        <w:jc w:val="center"/>
        <w:rPr>
          <w:rFonts w:ascii="方正大标宋简体" w:eastAsia="方正大标宋简体" w:hAnsi="黑体" w:hint="eastAsia"/>
          <w:sz w:val="42"/>
          <w:szCs w:val="42"/>
        </w:rPr>
      </w:pPr>
      <w:r>
        <w:rPr>
          <w:rFonts w:ascii="方正大标宋简体" w:eastAsia="方正大标宋简体" w:hAnsi="黑体" w:hint="eastAsia"/>
          <w:sz w:val="42"/>
          <w:szCs w:val="42"/>
        </w:rPr>
        <w:t>关于××公司××年（×）期债券</w:t>
      </w:r>
    </w:p>
    <w:p w:rsidR="00623A77" w:rsidRDefault="00623A77" w:rsidP="00623A77">
      <w:pPr>
        <w:spacing w:line="540" w:lineRule="exact"/>
        <w:jc w:val="center"/>
        <w:rPr>
          <w:rFonts w:ascii="方正大标宋简体" w:eastAsia="方正大标宋简体" w:hAnsi="黑体" w:hint="eastAsia"/>
          <w:sz w:val="42"/>
          <w:szCs w:val="42"/>
        </w:rPr>
      </w:pPr>
      <w:r>
        <w:rPr>
          <w:rFonts w:ascii="方正大标宋简体" w:eastAsia="方正大标宋简体" w:hAnsi="黑体" w:hint="eastAsia"/>
          <w:sz w:val="42"/>
          <w:szCs w:val="42"/>
        </w:rPr>
        <w:t>竞买转让的公告</w:t>
      </w:r>
    </w:p>
    <w:p w:rsidR="00623A77" w:rsidRPr="003378B3" w:rsidRDefault="00623A77" w:rsidP="00623A77">
      <w:pPr>
        <w:spacing w:line="540" w:lineRule="exact"/>
        <w:jc w:val="center"/>
        <w:rPr>
          <w:rFonts w:ascii="仿宋_GB2312" w:eastAsia="仿宋_GB2312" w:hint="eastAsia"/>
          <w:b/>
          <w:sz w:val="30"/>
          <w:szCs w:val="30"/>
        </w:rPr>
      </w:pPr>
      <w:r w:rsidRPr="003378B3">
        <w:rPr>
          <w:rFonts w:ascii="仿宋_GB2312" w:eastAsia="仿宋_GB2312" w:hint="eastAsia"/>
          <w:b/>
          <w:sz w:val="30"/>
          <w:szCs w:val="30"/>
        </w:rPr>
        <w:t>（格式样张）</w:t>
      </w:r>
    </w:p>
    <w:p w:rsidR="00623A77" w:rsidRPr="00810A15" w:rsidRDefault="00623A77" w:rsidP="00623A77">
      <w:pPr>
        <w:spacing w:line="540" w:lineRule="exact"/>
        <w:jc w:val="center"/>
        <w:rPr>
          <w:rFonts w:ascii="仿宋_GB2312" w:eastAsia="仿宋_GB2312" w:hint="eastAsia"/>
          <w:sz w:val="30"/>
          <w:szCs w:val="30"/>
        </w:rPr>
      </w:pPr>
      <w:r w:rsidRPr="00810A15">
        <w:rPr>
          <w:rFonts w:ascii="仿宋_GB2312" w:eastAsia="仿宋_GB2312" w:hint="eastAsia"/>
          <w:sz w:val="30"/>
          <w:szCs w:val="30"/>
        </w:rPr>
        <w:t>（编号：  ）</w:t>
      </w:r>
    </w:p>
    <w:p w:rsidR="00623A77" w:rsidRPr="003378B3" w:rsidRDefault="00623A77" w:rsidP="00623A77">
      <w:pPr>
        <w:spacing w:line="540" w:lineRule="exact"/>
        <w:jc w:val="center"/>
        <w:rPr>
          <w:rFonts w:ascii="仿宋_GB2312" w:eastAsia="仿宋_GB2312" w:hint="eastAsia"/>
          <w:b/>
          <w:sz w:val="30"/>
          <w:szCs w:val="30"/>
        </w:rPr>
      </w:pPr>
    </w:p>
    <w:p w:rsidR="00623A77" w:rsidRDefault="00623A77" w:rsidP="00623A77">
      <w:pPr>
        <w:spacing w:line="540" w:lineRule="exact"/>
        <w:ind w:firstLineChars="200" w:firstLine="600"/>
        <w:rPr>
          <w:rFonts w:ascii="仿宋_GB2312" w:eastAsia="仿宋_GB2312" w:hint="eastAsia"/>
          <w:color w:val="000000"/>
          <w:sz w:val="30"/>
          <w:szCs w:val="30"/>
        </w:rPr>
      </w:pPr>
      <w:r>
        <w:rPr>
          <w:rFonts w:ascii="仿宋_GB2312" w:eastAsia="仿宋_GB2312" w:hint="eastAsia"/>
          <w:color w:val="000000"/>
          <w:sz w:val="30"/>
          <w:szCs w:val="30"/>
        </w:rPr>
        <w:t>根据《</w:t>
      </w:r>
      <w:r>
        <w:rPr>
          <w:rFonts w:ascii="仿宋_GB2312" w:eastAsia="仿宋_GB2312" w:hint="eastAsia"/>
          <w:sz w:val="30"/>
          <w:szCs w:val="30"/>
        </w:rPr>
        <w:t>关于开展特定债券竞买转让有关事项的通知</w:t>
      </w:r>
      <w:r>
        <w:rPr>
          <w:rFonts w:ascii="仿宋_GB2312" w:eastAsia="仿宋_GB2312" w:hint="eastAsia"/>
          <w:color w:val="000000"/>
          <w:sz w:val="30"/>
          <w:szCs w:val="30"/>
        </w:rPr>
        <w:t>》（以下简称《通知》）有关规定，现就××公司××年（×）期债券竞买转让的事宜公告如下：</w:t>
      </w:r>
    </w:p>
    <w:p w:rsidR="00623A77" w:rsidRDefault="00623A77" w:rsidP="00623A77">
      <w:pPr>
        <w:spacing w:line="540" w:lineRule="exact"/>
        <w:ind w:firstLineChars="200" w:firstLine="602"/>
        <w:rPr>
          <w:rFonts w:ascii="仿宋_GB2312" w:eastAsia="仿宋_GB2312" w:hAnsi="黑体" w:hint="eastAsia"/>
          <w:bCs/>
          <w:color w:val="000000"/>
          <w:sz w:val="30"/>
          <w:szCs w:val="30"/>
        </w:rPr>
      </w:pPr>
      <w:r>
        <w:rPr>
          <w:rFonts w:ascii="黑体" w:eastAsia="黑体" w:hAnsi="黑体" w:hint="eastAsia"/>
          <w:b/>
          <w:bCs/>
          <w:color w:val="000000"/>
          <w:sz w:val="30"/>
          <w:szCs w:val="30"/>
        </w:rPr>
        <w:t>一、拟竞买转让债券相关情况</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6379"/>
      </w:tblGrid>
      <w:tr w:rsidR="00623A77" w:rsidRPr="0068597E" w:rsidTr="001208C9">
        <w:trPr>
          <w:trHeight w:val="284"/>
        </w:trPr>
        <w:tc>
          <w:tcPr>
            <w:tcW w:w="2552" w:type="dxa"/>
            <w:tcBorders>
              <w:top w:val="single" w:sz="4" w:space="0" w:color="auto"/>
              <w:left w:val="single" w:sz="4" w:space="0" w:color="auto"/>
              <w:bottom w:val="single" w:sz="4" w:space="0" w:color="auto"/>
              <w:right w:val="single" w:sz="4" w:space="0" w:color="auto"/>
            </w:tcBorders>
            <w:hideMark/>
          </w:tcPr>
          <w:p w:rsidR="00623A77" w:rsidRPr="0068597E" w:rsidRDefault="00623A77" w:rsidP="001208C9">
            <w:pPr>
              <w:ind w:leftChars="-1" w:left="-1" w:hanging="1"/>
              <w:jc w:val="left"/>
              <w:rPr>
                <w:rFonts w:ascii="仿宋_GB2312" w:eastAsia="仿宋_GB2312"/>
                <w:color w:val="000000"/>
                <w:kern w:val="0"/>
                <w:szCs w:val="21"/>
              </w:rPr>
            </w:pPr>
            <w:r w:rsidRPr="0068597E">
              <w:rPr>
                <w:rFonts w:ascii="仿宋_GB2312" w:eastAsia="仿宋_GB2312" w:hint="eastAsia"/>
                <w:color w:val="000000"/>
                <w:kern w:val="0"/>
                <w:szCs w:val="21"/>
              </w:rPr>
              <w:t>债券代码</w:t>
            </w:r>
          </w:p>
        </w:tc>
        <w:tc>
          <w:tcPr>
            <w:tcW w:w="6379" w:type="dxa"/>
            <w:tcBorders>
              <w:top w:val="single" w:sz="4" w:space="0" w:color="auto"/>
              <w:left w:val="single" w:sz="4" w:space="0" w:color="auto"/>
              <w:bottom w:val="single" w:sz="4" w:space="0" w:color="auto"/>
              <w:right w:val="single" w:sz="4" w:space="0" w:color="auto"/>
            </w:tcBorders>
          </w:tcPr>
          <w:p w:rsidR="00623A77" w:rsidRPr="0068597E" w:rsidRDefault="00623A77" w:rsidP="001208C9">
            <w:pPr>
              <w:jc w:val="left"/>
              <w:rPr>
                <w:rFonts w:ascii="仿宋_GB2312" w:eastAsia="仿宋_GB2312"/>
                <w:color w:val="000000"/>
                <w:kern w:val="0"/>
                <w:szCs w:val="21"/>
              </w:rPr>
            </w:pPr>
          </w:p>
        </w:tc>
      </w:tr>
      <w:tr w:rsidR="00623A77" w:rsidRPr="0068597E" w:rsidTr="001208C9">
        <w:trPr>
          <w:trHeight w:val="284"/>
        </w:trPr>
        <w:tc>
          <w:tcPr>
            <w:tcW w:w="2552" w:type="dxa"/>
            <w:tcBorders>
              <w:top w:val="single" w:sz="4" w:space="0" w:color="auto"/>
              <w:left w:val="single" w:sz="4" w:space="0" w:color="auto"/>
              <w:bottom w:val="single" w:sz="4" w:space="0" w:color="auto"/>
              <w:right w:val="single" w:sz="4" w:space="0" w:color="auto"/>
            </w:tcBorders>
            <w:hideMark/>
          </w:tcPr>
          <w:p w:rsidR="00623A77" w:rsidRPr="0068597E" w:rsidRDefault="00623A77" w:rsidP="001208C9">
            <w:pPr>
              <w:jc w:val="left"/>
              <w:rPr>
                <w:rFonts w:ascii="仿宋_GB2312" w:eastAsia="仿宋_GB2312"/>
                <w:color w:val="000000"/>
                <w:kern w:val="0"/>
                <w:szCs w:val="21"/>
              </w:rPr>
            </w:pPr>
            <w:r w:rsidRPr="0068597E">
              <w:rPr>
                <w:rFonts w:ascii="仿宋_GB2312" w:eastAsia="仿宋_GB2312" w:hint="eastAsia"/>
                <w:color w:val="000000"/>
                <w:kern w:val="0"/>
                <w:szCs w:val="21"/>
              </w:rPr>
              <w:t>债券简称</w:t>
            </w:r>
          </w:p>
        </w:tc>
        <w:tc>
          <w:tcPr>
            <w:tcW w:w="6379" w:type="dxa"/>
            <w:tcBorders>
              <w:top w:val="single" w:sz="4" w:space="0" w:color="auto"/>
              <w:left w:val="single" w:sz="4" w:space="0" w:color="auto"/>
              <w:bottom w:val="single" w:sz="4" w:space="0" w:color="auto"/>
              <w:right w:val="single" w:sz="4" w:space="0" w:color="auto"/>
            </w:tcBorders>
          </w:tcPr>
          <w:p w:rsidR="00623A77" w:rsidRPr="0068597E" w:rsidRDefault="00623A77" w:rsidP="001208C9">
            <w:pPr>
              <w:jc w:val="left"/>
              <w:rPr>
                <w:rFonts w:ascii="仿宋_GB2312" w:eastAsia="仿宋_GB2312"/>
                <w:color w:val="000000"/>
                <w:kern w:val="0"/>
                <w:szCs w:val="21"/>
              </w:rPr>
            </w:pPr>
          </w:p>
        </w:tc>
      </w:tr>
      <w:tr w:rsidR="00623A77" w:rsidRPr="0068597E" w:rsidTr="001208C9">
        <w:trPr>
          <w:trHeight w:val="284"/>
        </w:trPr>
        <w:tc>
          <w:tcPr>
            <w:tcW w:w="2552" w:type="dxa"/>
            <w:tcBorders>
              <w:top w:val="single" w:sz="4" w:space="0" w:color="auto"/>
              <w:left w:val="single" w:sz="4" w:space="0" w:color="auto"/>
              <w:bottom w:val="single" w:sz="4" w:space="0" w:color="auto"/>
              <w:right w:val="single" w:sz="4" w:space="0" w:color="auto"/>
            </w:tcBorders>
            <w:hideMark/>
          </w:tcPr>
          <w:p w:rsidR="00623A77" w:rsidRPr="0068597E" w:rsidRDefault="00623A77" w:rsidP="001208C9">
            <w:pPr>
              <w:jc w:val="left"/>
              <w:rPr>
                <w:rFonts w:ascii="仿宋_GB2312" w:eastAsia="仿宋_GB2312"/>
                <w:color w:val="000000"/>
                <w:kern w:val="0"/>
                <w:szCs w:val="21"/>
              </w:rPr>
            </w:pPr>
            <w:r w:rsidRPr="0068597E">
              <w:rPr>
                <w:rFonts w:ascii="仿宋_GB2312" w:eastAsia="仿宋_GB2312" w:hint="eastAsia"/>
                <w:color w:val="000000"/>
                <w:kern w:val="0"/>
                <w:szCs w:val="21"/>
              </w:rPr>
              <w:t>发行人名称</w:t>
            </w:r>
          </w:p>
        </w:tc>
        <w:tc>
          <w:tcPr>
            <w:tcW w:w="6379" w:type="dxa"/>
            <w:tcBorders>
              <w:top w:val="single" w:sz="4" w:space="0" w:color="auto"/>
              <w:left w:val="single" w:sz="4" w:space="0" w:color="auto"/>
              <w:bottom w:val="single" w:sz="4" w:space="0" w:color="auto"/>
              <w:right w:val="single" w:sz="4" w:space="0" w:color="auto"/>
            </w:tcBorders>
          </w:tcPr>
          <w:p w:rsidR="00623A77" w:rsidRPr="0068597E" w:rsidRDefault="00623A77" w:rsidP="001208C9">
            <w:pPr>
              <w:jc w:val="left"/>
              <w:rPr>
                <w:rFonts w:ascii="仿宋_GB2312" w:eastAsia="仿宋_GB2312"/>
                <w:color w:val="000000"/>
                <w:kern w:val="0"/>
                <w:szCs w:val="21"/>
              </w:rPr>
            </w:pPr>
          </w:p>
        </w:tc>
      </w:tr>
      <w:tr w:rsidR="00623A77" w:rsidRPr="0068597E" w:rsidTr="001208C9">
        <w:trPr>
          <w:trHeight w:val="284"/>
        </w:trPr>
        <w:tc>
          <w:tcPr>
            <w:tcW w:w="2552" w:type="dxa"/>
            <w:tcBorders>
              <w:top w:val="single" w:sz="4" w:space="0" w:color="auto"/>
              <w:left w:val="single" w:sz="4" w:space="0" w:color="auto"/>
              <w:bottom w:val="single" w:sz="4" w:space="0" w:color="auto"/>
              <w:right w:val="single" w:sz="4" w:space="0" w:color="auto"/>
            </w:tcBorders>
            <w:hideMark/>
          </w:tcPr>
          <w:p w:rsidR="00623A77" w:rsidRPr="0068597E" w:rsidRDefault="00623A77" w:rsidP="001208C9">
            <w:pPr>
              <w:jc w:val="left"/>
              <w:rPr>
                <w:rFonts w:ascii="仿宋_GB2312" w:eastAsia="仿宋_GB2312"/>
                <w:color w:val="000000"/>
                <w:kern w:val="0"/>
                <w:szCs w:val="21"/>
              </w:rPr>
            </w:pPr>
            <w:r w:rsidRPr="0068597E">
              <w:rPr>
                <w:rFonts w:ascii="仿宋_GB2312" w:eastAsia="仿宋_GB2312" w:hint="eastAsia"/>
                <w:color w:val="000000"/>
                <w:kern w:val="0"/>
                <w:szCs w:val="21"/>
              </w:rPr>
              <w:t>债项评级</w:t>
            </w:r>
          </w:p>
        </w:tc>
        <w:tc>
          <w:tcPr>
            <w:tcW w:w="6379" w:type="dxa"/>
            <w:tcBorders>
              <w:top w:val="single" w:sz="4" w:space="0" w:color="auto"/>
              <w:left w:val="single" w:sz="4" w:space="0" w:color="auto"/>
              <w:bottom w:val="single" w:sz="4" w:space="0" w:color="auto"/>
              <w:right w:val="single" w:sz="4" w:space="0" w:color="auto"/>
            </w:tcBorders>
          </w:tcPr>
          <w:p w:rsidR="00623A77" w:rsidRPr="0068597E" w:rsidRDefault="00623A77" w:rsidP="001208C9">
            <w:pPr>
              <w:jc w:val="left"/>
              <w:rPr>
                <w:rFonts w:ascii="仿宋_GB2312" w:eastAsia="仿宋_GB2312"/>
                <w:color w:val="000000"/>
                <w:kern w:val="0"/>
                <w:szCs w:val="21"/>
              </w:rPr>
            </w:pPr>
          </w:p>
        </w:tc>
      </w:tr>
      <w:tr w:rsidR="00623A77" w:rsidRPr="0068597E" w:rsidTr="001208C9">
        <w:trPr>
          <w:trHeight w:val="284"/>
        </w:trPr>
        <w:tc>
          <w:tcPr>
            <w:tcW w:w="2552" w:type="dxa"/>
            <w:tcBorders>
              <w:top w:val="single" w:sz="4" w:space="0" w:color="auto"/>
              <w:left w:val="single" w:sz="4" w:space="0" w:color="auto"/>
              <w:bottom w:val="single" w:sz="4" w:space="0" w:color="auto"/>
              <w:right w:val="single" w:sz="4" w:space="0" w:color="auto"/>
            </w:tcBorders>
            <w:hideMark/>
          </w:tcPr>
          <w:p w:rsidR="00623A77" w:rsidRPr="0068597E" w:rsidRDefault="00623A77" w:rsidP="001208C9">
            <w:pPr>
              <w:jc w:val="left"/>
              <w:rPr>
                <w:rFonts w:ascii="仿宋_GB2312" w:eastAsia="仿宋_GB2312"/>
                <w:color w:val="000000"/>
                <w:kern w:val="0"/>
                <w:szCs w:val="21"/>
              </w:rPr>
            </w:pPr>
            <w:r w:rsidRPr="0068597E">
              <w:rPr>
                <w:rFonts w:ascii="仿宋_GB2312" w:eastAsia="仿宋_GB2312" w:hint="eastAsia"/>
                <w:color w:val="000000"/>
                <w:kern w:val="0"/>
                <w:szCs w:val="21"/>
              </w:rPr>
              <w:t>单张债券面值（元）</w:t>
            </w:r>
          </w:p>
        </w:tc>
        <w:tc>
          <w:tcPr>
            <w:tcW w:w="6379" w:type="dxa"/>
            <w:tcBorders>
              <w:top w:val="single" w:sz="4" w:space="0" w:color="auto"/>
              <w:left w:val="single" w:sz="4" w:space="0" w:color="auto"/>
              <w:bottom w:val="single" w:sz="4" w:space="0" w:color="auto"/>
              <w:right w:val="single" w:sz="4" w:space="0" w:color="auto"/>
            </w:tcBorders>
          </w:tcPr>
          <w:p w:rsidR="00623A77" w:rsidRPr="0068597E" w:rsidRDefault="00623A77" w:rsidP="001208C9">
            <w:pPr>
              <w:jc w:val="left"/>
              <w:rPr>
                <w:rFonts w:ascii="仿宋_GB2312" w:eastAsia="仿宋_GB2312"/>
                <w:color w:val="000000"/>
                <w:kern w:val="0"/>
                <w:szCs w:val="21"/>
              </w:rPr>
            </w:pPr>
          </w:p>
        </w:tc>
      </w:tr>
      <w:tr w:rsidR="00623A77" w:rsidRPr="0068597E" w:rsidTr="001208C9">
        <w:trPr>
          <w:trHeight w:val="284"/>
        </w:trPr>
        <w:tc>
          <w:tcPr>
            <w:tcW w:w="2552" w:type="dxa"/>
            <w:tcBorders>
              <w:top w:val="single" w:sz="4" w:space="0" w:color="auto"/>
              <w:left w:val="single" w:sz="4" w:space="0" w:color="auto"/>
              <w:bottom w:val="single" w:sz="4" w:space="0" w:color="auto"/>
              <w:right w:val="single" w:sz="4" w:space="0" w:color="auto"/>
            </w:tcBorders>
            <w:hideMark/>
          </w:tcPr>
          <w:p w:rsidR="00623A77" w:rsidRPr="0068597E" w:rsidRDefault="00623A77" w:rsidP="001208C9">
            <w:pPr>
              <w:jc w:val="left"/>
              <w:rPr>
                <w:rFonts w:ascii="仿宋_GB2312" w:eastAsia="仿宋_GB2312"/>
                <w:color w:val="000000"/>
                <w:kern w:val="0"/>
                <w:szCs w:val="21"/>
              </w:rPr>
            </w:pPr>
            <w:r w:rsidRPr="0068597E">
              <w:rPr>
                <w:rFonts w:ascii="仿宋_GB2312" w:eastAsia="仿宋_GB2312" w:hint="eastAsia"/>
                <w:color w:val="000000"/>
                <w:kern w:val="0"/>
                <w:szCs w:val="21"/>
              </w:rPr>
              <w:t>票面利率（%）</w:t>
            </w:r>
          </w:p>
        </w:tc>
        <w:tc>
          <w:tcPr>
            <w:tcW w:w="6379" w:type="dxa"/>
            <w:tcBorders>
              <w:top w:val="single" w:sz="4" w:space="0" w:color="auto"/>
              <w:left w:val="single" w:sz="4" w:space="0" w:color="auto"/>
              <w:bottom w:val="single" w:sz="4" w:space="0" w:color="auto"/>
              <w:right w:val="single" w:sz="4" w:space="0" w:color="auto"/>
            </w:tcBorders>
          </w:tcPr>
          <w:p w:rsidR="00623A77" w:rsidRPr="0068597E" w:rsidRDefault="00623A77" w:rsidP="001208C9">
            <w:pPr>
              <w:jc w:val="left"/>
              <w:rPr>
                <w:rFonts w:ascii="仿宋_GB2312" w:eastAsia="仿宋_GB2312"/>
                <w:color w:val="000000"/>
                <w:kern w:val="0"/>
                <w:szCs w:val="21"/>
              </w:rPr>
            </w:pPr>
          </w:p>
        </w:tc>
      </w:tr>
      <w:tr w:rsidR="00623A77" w:rsidRPr="0068597E" w:rsidTr="001208C9">
        <w:trPr>
          <w:trHeight w:val="284"/>
        </w:trPr>
        <w:tc>
          <w:tcPr>
            <w:tcW w:w="2552" w:type="dxa"/>
            <w:tcBorders>
              <w:top w:val="single" w:sz="4" w:space="0" w:color="auto"/>
              <w:left w:val="single" w:sz="4" w:space="0" w:color="auto"/>
              <w:bottom w:val="single" w:sz="4" w:space="0" w:color="auto"/>
              <w:right w:val="single" w:sz="4" w:space="0" w:color="auto"/>
            </w:tcBorders>
            <w:hideMark/>
          </w:tcPr>
          <w:p w:rsidR="00623A77" w:rsidRPr="0068597E" w:rsidRDefault="00623A77" w:rsidP="001208C9">
            <w:pPr>
              <w:jc w:val="left"/>
              <w:rPr>
                <w:rFonts w:ascii="仿宋_GB2312" w:eastAsia="仿宋_GB2312"/>
                <w:color w:val="000000"/>
                <w:kern w:val="0"/>
                <w:szCs w:val="21"/>
              </w:rPr>
            </w:pPr>
            <w:r w:rsidRPr="0068597E">
              <w:rPr>
                <w:rFonts w:ascii="仿宋_GB2312" w:eastAsia="仿宋_GB2312" w:hint="eastAsia"/>
                <w:color w:val="000000"/>
                <w:kern w:val="0"/>
                <w:szCs w:val="21"/>
              </w:rPr>
              <w:t>债券起息日</w:t>
            </w:r>
          </w:p>
        </w:tc>
        <w:tc>
          <w:tcPr>
            <w:tcW w:w="6379" w:type="dxa"/>
            <w:tcBorders>
              <w:top w:val="single" w:sz="4" w:space="0" w:color="auto"/>
              <w:left w:val="single" w:sz="4" w:space="0" w:color="auto"/>
              <w:bottom w:val="single" w:sz="4" w:space="0" w:color="auto"/>
              <w:right w:val="single" w:sz="4" w:space="0" w:color="auto"/>
            </w:tcBorders>
          </w:tcPr>
          <w:p w:rsidR="00623A77" w:rsidRPr="0068597E" w:rsidRDefault="00623A77" w:rsidP="001208C9">
            <w:pPr>
              <w:jc w:val="left"/>
              <w:rPr>
                <w:rFonts w:ascii="仿宋_GB2312" w:eastAsia="仿宋_GB2312"/>
                <w:color w:val="000000"/>
                <w:kern w:val="0"/>
                <w:szCs w:val="21"/>
              </w:rPr>
            </w:pPr>
          </w:p>
        </w:tc>
      </w:tr>
      <w:tr w:rsidR="00623A77" w:rsidRPr="0068597E" w:rsidTr="001208C9">
        <w:trPr>
          <w:trHeight w:val="284"/>
        </w:trPr>
        <w:tc>
          <w:tcPr>
            <w:tcW w:w="2552" w:type="dxa"/>
            <w:tcBorders>
              <w:top w:val="single" w:sz="4" w:space="0" w:color="auto"/>
              <w:left w:val="single" w:sz="4" w:space="0" w:color="auto"/>
              <w:bottom w:val="single" w:sz="4" w:space="0" w:color="auto"/>
              <w:right w:val="single" w:sz="4" w:space="0" w:color="auto"/>
            </w:tcBorders>
            <w:hideMark/>
          </w:tcPr>
          <w:p w:rsidR="00623A77" w:rsidRPr="0068597E" w:rsidRDefault="00623A77" w:rsidP="001208C9">
            <w:pPr>
              <w:jc w:val="left"/>
              <w:rPr>
                <w:rFonts w:ascii="仿宋_GB2312" w:eastAsia="仿宋_GB2312"/>
                <w:color w:val="000000"/>
                <w:kern w:val="0"/>
                <w:szCs w:val="21"/>
              </w:rPr>
            </w:pPr>
            <w:r w:rsidRPr="0068597E">
              <w:rPr>
                <w:rFonts w:ascii="仿宋_GB2312" w:eastAsia="仿宋_GB2312" w:hint="eastAsia"/>
                <w:color w:val="000000"/>
                <w:kern w:val="0"/>
                <w:szCs w:val="21"/>
              </w:rPr>
              <w:t>债券到期日</w:t>
            </w:r>
          </w:p>
        </w:tc>
        <w:tc>
          <w:tcPr>
            <w:tcW w:w="6379" w:type="dxa"/>
            <w:tcBorders>
              <w:top w:val="single" w:sz="4" w:space="0" w:color="auto"/>
              <w:left w:val="single" w:sz="4" w:space="0" w:color="auto"/>
              <w:bottom w:val="single" w:sz="4" w:space="0" w:color="auto"/>
              <w:right w:val="single" w:sz="4" w:space="0" w:color="auto"/>
            </w:tcBorders>
          </w:tcPr>
          <w:p w:rsidR="00623A77" w:rsidRPr="0068597E" w:rsidRDefault="00623A77" w:rsidP="001208C9">
            <w:pPr>
              <w:jc w:val="left"/>
              <w:rPr>
                <w:rFonts w:ascii="仿宋_GB2312" w:eastAsia="仿宋_GB2312"/>
                <w:color w:val="000000"/>
                <w:kern w:val="0"/>
                <w:szCs w:val="21"/>
              </w:rPr>
            </w:pPr>
          </w:p>
        </w:tc>
      </w:tr>
      <w:tr w:rsidR="00623A77" w:rsidRPr="0068597E" w:rsidTr="001208C9">
        <w:trPr>
          <w:trHeight w:val="284"/>
        </w:trPr>
        <w:tc>
          <w:tcPr>
            <w:tcW w:w="2552" w:type="dxa"/>
            <w:tcBorders>
              <w:top w:val="single" w:sz="4" w:space="0" w:color="auto"/>
              <w:left w:val="single" w:sz="4" w:space="0" w:color="auto"/>
              <w:bottom w:val="single" w:sz="4" w:space="0" w:color="auto"/>
              <w:right w:val="single" w:sz="4" w:space="0" w:color="auto"/>
            </w:tcBorders>
            <w:hideMark/>
          </w:tcPr>
          <w:p w:rsidR="00623A77" w:rsidRPr="0068597E" w:rsidRDefault="00623A77" w:rsidP="001208C9">
            <w:pPr>
              <w:jc w:val="left"/>
              <w:rPr>
                <w:rFonts w:ascii="仿宋_GB2312" w:eastAsia="仿宋_GB2312"/>
                <w:color w:val="000000"/>
                <w:szCs w:val="21"/>
              </w:rPr>
            </w:pPr>
            <w:r w:rsidRPr="0068597E">
              <w:rPr>
                <w:rFonts w:ascii="仿宋_GB2312" w:eastAsia="仿宋_GB2312" w:hint="eastAsia"/>
                <w:color w:val="000000"/>
                <w:kern w:val="0"/>
                <w:szCs w:val="21"/>
              </w:rPr>
              <w:t>是否存在担保</w:t>
            </w:r>
          </w:p>
        </w:tc>
        <w:tc>
          <w:tcPr>
            <w:tcW w:w="6379" w:type="dxa"/>
            <w:tcBorders>
              <w:top w:val="single" w:sz="4" w:space="0" w:color="auto"/>
              <w:left w:val="single" w:sz="4" w:space="0" w:color="auto"/>
              <w:bottom w:val="single" w:sz="4" w:space="0" w:color="auto"/>
              <w:right w:val="single" w:sz="4" w:space="0" w:color="auto"/>
            </w:tcBorders>
            <w:hideMark/>
          </w:tcPr>
          <w:p w:rsidR="00623A77" w:rsidRPr="0068597E" w:rsidRDefault="00623A77" w:rsidP="001208C9">
            <w:pPr>
              <w:jc w:val="left"/>
              <w:rPr>
                <w:rFonts w:ascii="仿宋_GB2312" w:eastAsia="仿宋_GB2312"/>
                <w:color w:val="000000"/>
                <w:kern w:val="0"/>
                <w:szCs w:val="21"/>
              </w:rPr>
            </w:pPr>
            <w:r w:rsidRPr="0068597E">
              <w:rPr>
                <w:rFonts w:ascii="仿宋_GB2312" w:eastAsia="仿宋_GB2312" w:hint="eastAsia"/>
                <w:color w:val="000000"/>
                <w:kern w:val="0"/>
                <w:szCs w:val="21"/>
              </w:rPr>
              <w:t>□有担保    □无担保</w:t>
            </w:r>
          </w:p>
        </w:tc>
      </w:tr>
      <w:tr w:rsidR="00623A77" w:rsidRPr="0068597E" w:rsidTr="001208C9">
        <w:trPr>
          <w:trHeight w:val="284"/>
        </w:trPr>
        <w:tc>
          <w:tcPr>
            <w:tcW w:w="2552" w:type="dxa"/>
            <w:tcBorders>
              <w:top w:val="single" w:sz="4" w:space="0" w:color="auto"/>
              <w:left w:val="single" w:sz="4" w:space="0" w:color="auto"/>
              <w:bottom w:val="single" w:sz="4" w:space="0" w:color="auto"/>
              <w:right w:val="single" w:sz="4" w:space="0" w:color="auto"/>
            </w:tcBorders>
            <w:hideMark/>
          </w:tcPr>
          <w:p w:rsidR="00623A77" w:rsidRPr="0068597E" w:rsidRDefault="00623A77" w:rsidP="001208C9">
            <w:pPr>
              <w:jc w:val="left"/>
              <w:rPr>
                <w:rFonts w:ascii="仿宋_GB2312" w:eastAsia="仿宋_GB2312"/>
                <w:color w:val="000000"/>
                <w:kern w:val="0"/>
                <w:szCs w:val="21"/>
              </w:rPr>
            </w:pPr>
            <w:r w:rsidRPr="0068597E">
              <w:rPr>
                <w:rFonts w:ascii="仿宋_GB2312" w:eastAsia="仿宋_GB2312" w:hint="eastAsia"/>
                <w:color w:val="000000"/>
                <w:kern w:val="0"/>
                <w:szCs w:val="21"/>
              </w:rPr>
              <w:t>债券发行方式</w:t>
            </w:r>
          </w:p>
        </w:tc>
        <w:tc>
          <w:tcPr>
            <w:tcW w:w="6379" w:type="dxa"/>
            <w:tcBorders>
              <w:top w:val="single" w:sz="4" w:space="0" w:color="auto"/>
              <w:left w:val="single" w:sz="4" w:space="0" w:color="auto"/>
              <w:bottom w:val="single" w:sz="4" w:space="0" w:color="auto"/>
              <w:right w:val="single" w:sz="4" w:space="0" w:color="auto"/>
            </w:tcBorders>
            <w:hideMark/>
          </w:tcPr>
          <w:p w:rsidR="00623A77" w:rsidRPr="0068597E" w:rsidRDefault="00623A77" w:rsidP="001208C9">
            <w:pPr>
              <w:jc w:val="left"/>
              <w:rPr>
                <w:rFonts w:ascii="仿宋_GB2312" w:eastAsia="仿宋_GB2312"/>
                <w:color w:val="000000"/>
                <w:kern w:val="0"/>
                <w:szCs w:val="21"/>
              </w:rPr>
            </w:pPr>
            <w:r w:rsidRPr="0068597E">
              <w:rPr>
                <w:rFonts w:ascii="仿宋_GB2312" w:eastAsia="仿宋_GB2312" w:hint="eastAsia"/>
                <w:color w:val="000000"/>
                <w:kern w:val="0"/>
                <w:szCs w:val="21"/>
              </w:rPr>
              <w:t>□公开发行  □非公开发行</w:t>
            </w:r>
          </w:p>
        </w:tc>
      </w:tr>
      <w:tr w:rsidR="00623A77" w:rsidRPr="0068597E" w:rsidTr="001208C9">
        <w:trPr>
          <w:trHeight w:val="284"/>
        </w:trPr>
        <w:tc>
          <w:tcPr>
            <w:tcW w:w="2552" w:type="dxa"/>
            <w:tcBorders>
              <w:top w:val="single" w:sz="4" w:space="0" w:color="auto"/>
              <w:left w:val="single" w:sz="4" w:space="0" w:color="auto"/>
              <w:bottom w:val="single" w:sz="4" w:space="0" w:color="auto"/>
              <w:right w:val="single" w:sz="4" w:space="0" w:color="auto"/>
            </w:tcBorders>
            <w:hideMark/>
          </w:tcPr>
          <w:p w:rsidR="00623A77" w:rsidRPr="0068597E" w:rsidRDefault="00623A77" w:rsidP="001208C9">
            <w:pPr>
              <w:jc w:val="left"/>
              <w:rPr>
                <w:rFonts w:ascii="仿宋_GB2312" w:eastAsia="仿宋_GB2312"/>
                <w:color w:val="000000"/>
                <w:kern w:val="0"/>
                <w:szCs w:val="21"/>
              </w:rPr>
            </w:pPr>
            <w:r w:rsidRPr="0068597E">
              <w:rPr>
                <w:rFonts w:ascii="仿宋_GB2312" w:eastAsia="仿宋_GB2312" w:hint="eastAsia"/>
                <w:color w:val="000000"/>
                <w:kern w:val="0"/>
                <w:szCs w:val="21"/>
              </w:rPr>
              <w:t>债券风险情况</w:t>
            </w:r>
          </w:p>
        </w:tc>
        <w:tc>
          <w:tcPr>
            <w:tcW w:w="6379" w:type="dxa"/>
            <w:tcBorders>
              <w:top w:val="single" w:sz="4" w:space="0" w:color="auto"/>
              <w:left w:val="single" w:sz="4" w:space="0" w:color="auto"/>
              <w:bottom w:val="single" w:sz="4" w:space="0" w:color="auto"/>
              <w:right w:val="single" w:sz="4" w:space="0" w:color="auto"/>
            </w:tcBorders>
            <w:hideMark/>
          </w:tcPr>
          <w:p w:rsidR="00623A77" w:rsidRPr="0068597E" w:rsidRDefault="00623A77" w:rsidP="001208C9">
            <w:pPr>
              <w:widowControl/>
              <w:jc w:val="left"/>
              <w:rPr>
                <w:rFonts w:ascii="Calibri" w:hAnsi="Calibri"/>
                <w:szCs w:val="21"/>
              </w:rPr>
            </w:pPr>
          </w:p>
        </w:tc>
      </w:tr>
      <w:tr w:rsidR="00623A77" w:rsidRPr="0068597E" w:rsidTr="001208C9">
        <w:trPr>
          <w:trHeight w:val="284"/>
        </w:trPr>
        <w:tc>
          <w:tcPr>
            <w:tcW w:w="2552" w:type="dxa"/>
            <w:tcBorders>
              <w:top w:val="single" w:sz="4" w:space="0" w:color="auto"/>
              <w:left w:val="single" w:sz="4" w:space="0" w:color="auto"/>
              <w:bottom w:val="single" w:sz="4" w:space="0" w:color="auto"/>
              <w:right w:val="single" w:sz="4" w:space="0" w:color="auto"/>
            </w:tcBorders>
            <w:hideMark/>
          </w:tcPr>
          <w:p w:rsidR="00623A77" w:rsidRPr="0068597E" w:rsidRDefault="00623A77" w:rsidP="001208C9">
            <w:pPr>
              <w:jc w:val="left"/>
              <w:rPr>
                <w:rFonts w:ascii="仿宋_GB2312" w:eastAsia="仿宋_GB2312"/>
                <w:color w:val="000000"/>
                <w:kern w:val="0"/>
                <w:szCs w:val="21"/>
              </w:rPr>
            </w:pPr>
            <w:r w:rsidRPr="0068597E">
              <w:rPr>
                <w:rFonts w:ascii="仿宋_GB2312" w:eastAsia="仿宋_GB2312" w:hint="eastAsia"/>
                <w:color w:val="000000"/>
                <w:kern w:val="0"/>
                <w:szCs w:val="21"/>
              </w:rPr>
              <w:t>债券现有信息披露渠道</w:t>
            </w:r>
          </w:p>
        </w:tc>
        <w:tc>
          <w:tcPr>
            <w:tcW w:w="6379" w:type="dxa"/>
            <w:tcBorders>
              <w:top w:val="single" w:sz="4" w:space="0" w:color="auto"/>
              <w:left w:val="single" w:sz="4" w:space="0" w:color="auto"/>
              <w:bottom w:val="single" w:sz="4" w:space="0" w:color="auto"/>
              <w:right w:val="single" w:sz="4" w:space="0" w:color="auto"/>
            </w:tcBorders>
          </w:tcPr>
          <w:p w:rsidR="00623A77" w:rsidRPr="0068597E" w:rsidRDefault="00623A77" w:rsidP="001208C9">
            <w:pPr>
              <w:jc w:val="left"/>
              <w:rPr>
                <w:rFonts w:ascii="仿宋_GB2312" w:eastAsia="仿宋_GB2312"/>
                <w:color w:val="000000"/>
                <w:kern w:val="0"/>
                <w:szCs w:val="21"/>
              </w:rPr>
            </w:pPr>
          </w:p>
        </w:tc>
      </w:tr>
      <w:tr w:rsidR="00623A77" w:rsidRPr="0068597E" w:rsidTr="001208C9">
        <w:trPr>
          <w:trHeight w:val="284"/>
        </w:trPr>
        <w:tc>
          <w:tcPr>
            <w:tcW w:w="2552" w:type="dxa"/>
            <w:tcBorders>
              <w:top w:val="single" w:sz="4" w:space="0" w:color="auto"/>
              <w:left w:val="single" w:sz="4" w:space="0" w:color="auto"/>
              <w:bottom w:val="single" w:sz="4" w:space="0" w:color="auto"/>
              <w:right w:val="single" w:sz="4" w:space="0" w:color="auto"/>
            </w:tcBorders>
            <w:hideMark/>
          </w:tcPr>
          <w:p w:rsidR="00623A77" w:rsidRPr="0068597E" w:rsidRDefault="00623A77" w:rsidP="001208C9">
            <w:pPr>
              <w:jc w:val="left"/>
              <w:rPr>
                <w:rFonts w:ascii="仿宋_GB2312" w:eastAsia="仿宋_GB2312"/>
                <w:color w:val="000000"/>
                <w:kern w:val="0"/>
                <w:szCs w:val="21"/>
              </w:rPr>
            </w:pPr>
            <w:r w:rsidRPr="0068597E">
              <w:rPr>
                <w:rFonts w:ascii="仿宋_GB2312" w:eastAsia="仿宋_GB2312" w:hint="eastAsia"/>
                <w:szCs w:val="21"/>
              </w:rPr>
              <w:t>历次债券持有人会议决议及其他具备法律效力的文件约定的对债券持有人生效的权利义务事项</w:t>
            </w:r>
          </w:p>
        </w:tc>
        <w:tc>
          <w:tcPr>
            <w:tcW w:w="6379" w:type="dxa"/>
            <w:tcBorders>
              <w:top w:val="single" w:sz="4" w:space="0" w:color="auto"/>
              <w:left w:val="single" w:sz="4" w:space="0" w:color="auto"/>
              <w:bottom w:val="single" w:sz="4" w:space="0" w:color="auto"/>
              <w:right w:val="single" w:sz="4" w:space="0" w:color="auto"/>
            </w:tcBorders>
          </w:tcPr>
          <w:p w:rsidR="00623A77" w:rsidRDefault="00623A77" w:rsidP="001208C9">
            <w:pPr>
              <w:rPr>
                <w:rFonts w:ascii="仿宋_GB2312" w:eastAsia="仿宋_GB2312" w:hint="eastAsia"/>
                <w:b/>
                <w:szCs w:val="21"/>
              </w:rPr>
            </w:pPr>
          </w:p>
          <w:p w:rsidR="00623A77" w:rsidRDefault="00623A77" w:rsidP="001208C9">
            <w:pPr>
              <w:rPr>
                <w:rFonts w:ascii="仿宋_GB2312" w:eastAsia="仿宋_GB2312" w:hint="eastAsia"/>
                <w:b/>
                <w:szCs w:val="21"/>
              </w:rPr>
            </w:pPr>
          </w:p>
          <w:p w:rsidR="00623A77" w:rsidRPr="0068597E" w:rsidRDefault="00623A77" w:rsidP="001208C9">
            <w:pPr>
              <w:rPr>
                <w:rFonts w:ascii="仿宋_GB2312" w:eastAsia="仿宋_GB2312" w:hint="eastAsia"/>
                <w:b/>
                <w:szCs w:val="21"/>
              </w:rPr>
            </w:pPr>
          </w:p>
          <w:p w:rsidR="00623A77" w:rsidRPr="0068597E" w:rsidRDefault="00623A77" w:rsidP="001208C9">
            <w:pPr>
              <w:rPr>
                <w:rFonts w:ascii="仿宋_GB2312" w:eastAsia="仿宋_GB2312"/>
                <w:color w:val="000000"/>
                <w:kern w:val="0"/>
                <w:szCs w:val="21"/>
              </w:rPr>
            </w:pPr>
            <w:r w:rsidRPr="0068597E">
              <w:rPr>
                <w:rFonts w:ascii="仿宋_GB2312" w:eastAsia="仿宋_GB2312" w:hint="eastAsia"/>
                <w:b/>
                <w:szCs w:val="21"/>
              </w:rPr>
              <w:t>特别提示：投资者受让××债券，视为同意承接有关权利义务事项</w:t>
            </w:r>
          </w:p>
        </w:tc>
      </w:tr>
      <w:tr w:rsidR="00623A77" w:rsidRPr="0068597E" w:rsidTr="001208C9">
        <w:trPr>
          <w:trHeight w:val="54"/>
        </w:trPr>
        <w:tc>
          <w:tcPr>
            <w:tcW w:w="2552" w:type="dxa"/>
            <w:tcBorders>
              <w:top w:val="single" w:sz="4" w:space="0" w:color="auto"/>
              <w:left w:val="single" w:sz="4" w:space="0" w:color="auto"/>
              <w:bottom w:val="single" w:sz="4" w:space="0" w:color="auto"/>
              <w:right w:val="single" w:sz="4" w:space="0" w:color="auto"/>
            </w:tcBorders>
            <w:hideMark/>
          </w:tcPr>
          <w:p w:rsidR="00623A77" w:rsidRPr="0068597E" w:rsidRDefault="00623A77" w:rsidP="001208C9">
            <w:pPr>
              <w:jc w:val="left"/>
              <w:rPr>
                <w:rFonts w:ascii="仿宋_GB2312" w:eastAsia="仿宋_GB2312"/>
                <w:color w:val="000000"/>
                <w:kern w:val="0"/>
                <w:szCs w:val="21"/>
              </w:rPr>
            </w:pPr>
            <w:r w:rsidRPr="0068597E">
              <w:rPr>
                <w:rFonts w:ascii="仿宋_GB2312" w:eastAsia="仿宋_GB2312" w:hint="eastAsia"/>
                <w:color w:val="000000"/>
                <w:kern w:val="0"/>
                <w:szCs w:val="21"/>
              </w:rPr>
              <w:t>备注</w:t>
            </w:r>
          </w:p>
        </w:tc>
        <w:tc>
          <w:tcPr>
            <w:tcW w:w="6379" w:type="dxa"/>
            <w:tcBorders>
              <w:top w:val="single" w:sz="4" w:space="0" w:color="auto"/>
              <w:left w:val="single" w:sz="4" w:space="0" w:color="auto"/>
              <w:bottom w:val="single" w:sz="4" w:space="0" w:color="auto"/>
              <w:right w:val="single" w:sz="4" w:space="0" w:color="auto"/>
            </w:tcBorders>
            <w:hideMark/>
          </w:tcPr>
          <w:p w:rsidR="00623A77" w:rsidRPr="0068597E" w:rsidRDefault="00623A77" w:rsidP="001208C9">
            <w:pPr>
              <w:jc w:val="left"/>
              <w:rPr>
                <w:rFonts w:ascii="仿宋_GB2312" w:eastAsia="仿宋_GB2312"/>
                <w:color w:val="000000"/>
                <w:kern w:val="0"/>
                <w:szCs w:val="21"/>
              </w:rPr>
            </w:pPr>
            <w:r w:rsidRPr="0068597E">
              <w:rPr>
                <w:rFonts w:ascii="仿宋_GB2312" w:eastAsia="仿宋_GB2312" w:hint="eastAsia"/>
                <w:color w:val="000000"/>
                <w:kern w:val="0"/>
                <w:szCs w:val="21"/>
              </w:rPr>
              <w:t>（其他可能影响债券转让或债券价格的重要事项）</w:t>
            </w:r>
          </w:p>
        </w:tc>
      </w:tr>
    </w:tbl>
    <w:p w:rsidR="00623A77" w:rsidRDefault="00623A77" w:rsidP="00623A77">
      <w:pPr>
        <w:spacing w:line="540" w:lineRule="exact"/>
        <w:ind w:firstLineChars="200" w:firstLine="602"/>
        <w:rPr>
          <w:rFonts w:ascii="黑体" w:eastAsia="黑体" w:hAnsi="黑体" w:hint="eastAsia"/>
          <w:b/>
          <w:bCs/>
          <w:color w:val="000000"/>
          <w:sz w:val="30"/>
          <w:szCs w:val="30"/>
        </w:rPr>
      </w:pPr>
      <w:r>
        <w:rPr>
          <w:rFonts w:ascii="黑体" w:eastAsia="黑体" w:hAnsi="黑体" w:hint="eastAsia"/>
          <w:b/>
          <w:bCs/>
          <w:color w:val="000000"/>
          <w:sz w:val="30"/>
          <w:szCs w:val="30"/>
        </w:rPr>
        <w:t>二、竞买转让相关安排</w:t>
      </w:r>
    </w:p>
    <w:p w:rsidR="00623A77" w:rsidRDefault="00623A77" w:rsidP="00623A77">
      <w:pPr>
        <w:spacing w:line="540" w:lineRule="exact"/>
        <w:ind w:firstLineChars="200" w:firstLine="600"/>
        <w:rPr>
          <w:rFonts w:ascii="仿宋_GB2312" w:eastAsia="仿宋_GB2312" w:hAnsi="等线" w:hint="eastAsia"/>
          <w:color w:val="000000"/>
          <w:sz w:val="30"/>
          <w:szCs w:val="30"/>
        </w:rPr>
      </w:pPr>
      <w:r>
        <w:rPr>
          <w:rFonts w:ascii="仿宋_GB2312" w:eastAsia="仿宋_GB2312" w:hint="eastAsia"/>
          <w:color w:val="000000"/>
          <w:sz w:val="30"/>
          <w:szCs w:val="30"/>
        </w:rPr>
        <w:t>名称：××公司××年（×）期债券竞买转让（编号：  ）</w:t>
      </w:r>
    </w:p>
    <w:p w:rsidR="00623A77" w:rsidRDefault="00623A77" w:rsidP="00623A77">
      <w:pPr>
        <w:spacing w:line="540" w:lineRule="exact"/>
        <w:ind w:firstLineChars="200" w:firstLine="600"/>
        <w:rPr>
          <w:rFonts w:ascii="仿宋_GB2312" w:eastAsia="仿宋_GB2312" w:hint="eastAsia"/>
          <w:color w:val="000000"/>
          <w:sz w:val="30"/>
          <w:szCs w:val="30"/>
        </w:rPr>
      </w:pPr>
      <w:r>
        <w:rPr>
          <w:rFonts w:ascii="仿宋_GB2312" w:eastAsia="仿宋_GB2312" w:hint="eastAsia"/>
          <w:color w:val="000000"/>
          <w:sz w:val="30"/>
          <w:szCs w:val="30"/>
        </w:rPr>
        <w:t>竞买转让债券数额：本期竞买转让总额为××万元面值（最低为10万元）</w:t>
      </w:r>
    </w:p>
    <w:p w:rsidR="00623A77" w:rsidRDefault="00623A77" w:rsidP="00623A77">
      <w:pPr>
        <w:spacing w:line="540" w:lineRule="exact"/>
        <w:ind w:firstLineChars="200" w:firstLine="600"/>
        <w:rPr>
          <w:rFonts w:ascii="仿宋_GB2312" w:eastAsia="仿宋_GB2312" w:hint="eastAsia"/>
          <w:color w:val="000000"/>
          <w:sz w:val="30"/>
          <w:szCs w:val="30"/>
        </w:rPr>
      </w:pPr>
      <w:r>
        <w:rPr>
          <w:rFonts w:ascii="仿宋_GB2312" w:eastAsia="仿宋_GB2312" w:hint="eastAsia"/>
          <w:color w:val="000000"/>
          <w:sz w:val="30"/>
          <w:szCs w:val="30"/>
        </w:rPr>
        <w:lastRenderedPageBreak/>
        <w:t>竞买时间：××年××月××日 10:00-11:30</w:t>
      </w:r>
    </w:p>
    <w:p w:rsidR="00623A77" w:rsidRDefault="00623A77" w:rsidP="00623A77">
      <w:pPr>
        <w:spacing w:line="540" w:lineRule="exact"/>
        <w:ind w:firstLineChars="200" w:firstLine="600"/>
        <w:rPr>
          <w:rFonts w:ascii="仿宋_GB2312" w:eastAsia="仿宋_GB2312" w:hint="eastAsia"/>
          <w:color w:val="000000"/>
          <w:sz w:val="30"/>
          <w:szCs w:val="30"/>
        </w:rPr>
      </w:pPr>
      <w:r>
        <w:rPr>
          <w:rFonts w:ascii="仿宋_GB2312" w:eastAsia="仿宋_GB2312" w:hint="eastAsia"/>
          <w:color w:val="000000"/>
          <w:sz w:val="30"/>
          <w:szCs w:val="30"/>
        </w:rPr>
        <w:t>竞买方式：</w:t>
      </w:r>
      <w:r>
        <w:rPr>
          <w:rFonts w:ascii="仿宋_GB2312" w:eastAsia="仿宋_GB2312" w:hint="eastAsia"/>
          <w:sz w:val="30"/>
          <w:szCs w:val="30"/>
        </w:rPr>
        <w:t>单一主体中标/多主体中标</w:t>
      </w:r>
    </w:p>
    <w:p w:rsidR="00623A77" w:rsidRDefault="00623A77" w:rsidP="00623A77">
      <w:pPr>
        <w:spacing w:line="540" w:lineRule="exact"/>
        <w:ind w:firstLineChars="200" w:firstLine="600"/>
        <w:rPr>
          <w:rFonts w:ascii="仿宋_GB2312" w:eastAsia="仿宋_GB2312" w:hint="eastAsia"/>
          <w:color w:val="000000"/>
          <w:sz w:val="30"/>
          <w:szCs w:val="30"/>
        </w:rPr>
      </w:pPr>
      <w:r>
        <w:rPr>
          <w:rFonts w:ascii="仿宋_GB2312" w:eastAsia="仿宋_GB2312" w:hint="eastAsia"/>
          <w:color w:val="000000"/>
          <w:sz w:val="30"/>
          <w:szCs w:val="30"/>
        </w:rPr>
        <w:t>申报要求：</w:t>
      </w:r>
    </w:p>
    <w:p w:rsidR="00623A77" w:rsidRDefault="00623A77" w:rsidP="00623A77">
      <w:pPr>
        <w:spacing w:line="540" w:lineRule="exact"/>
        <w:ind w:firstLineChars="200" w:firstLine="600"/>
        <w:rPr>
          <w:rFonts w:ascii="仿宋_GB2312" w:eastAsia="仿宋_GB2312" w:hint="eastAsia"/>
          <w:color w:val="000000"/>
          <w:sz w:val="30"/>
          <w:szCs w:val="30"/>
        </w:rPr>
      </w:pPr>
      <w:r>
        <w:rPr>
          <w:rFonts w:ascii="仿宋_GB2312" w:eastAsia="仿宋_GB2312" w:hint="eastAsia"/>
          <w:sz w:val="30"/>
          <w:szCs w:val="30"/>
        </w:rPr>
        <w:t>（如为单一主体中标）申报要素为债券价格，申报量固定为此次竞买转让的债券总量。</w:t>
      </w:r>
    </w:p>
    <w:p w:rsidR="00623A77" w:rsidRDefault="00623A77" w:rsidP="00623A77">
      <w:pPr>
        <w:spacing w:line="540" w:lineRule="exact"/>
        <w:ind w:firstLineChars="200" w:firstLine="600"/>
        <w:rPr>
          <w:rFonts w:ascii="仿宋_GB2312" w:eastAsia="仿宋_GB2312" w:hint="eastAsia"/>
          <w:sz w:val="30"/>
          <w:szCs w:val="30"/>
        </w:rPr>
      </w:pPr>
      <w:r>
        <w:rPr>
          <w:rFonts w:ascii="仿宋_GB2312" w:eastAsia="仿宋_GB2312" w:hint="eastAsia"/>
          <w:color w:val="000000"/>
          <w:sz w:val="30"/>
          <w:szCs w:val="30"/>
        </w:rPr>
        <w:t>（如为多主体中标）</w:t>
      </w:r>
      <w:r>
        <w:rPr>
          <w:rFonts w:ascii="仿宋_GB2312" w:eastAsia="仿宋_GB2312" w:hint="eastAsia"/>
          <w:sz w:val="30"/>
          <w:szCs w:val="30"/>
        </w:rPr>
        <w:t>申报要素为债券价格和对应的申报量，单次最低申报数量为××万元面值。</w:t>
      </w:r>
    </w:p>
    <w:p w:rsidR="00623A77" w:rsidRDefault="00623A77" w:rsidP="00623A77">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竞买申报的价格区间为××元-××元，价格最小变动单位为0.01元。应价方只能在一个价格上进行申报，该价格为全价/净价价格，计价单位为“每张债券的价格”。在有效申报时间段内，应价方可以对申报进行修改。</w:t>
      </w:r>
    </w:p>
    <w:p w:rsidR="00623A77" w:rsidRDefault="00623A77" w:rsidP="00623A77">
      <w:pPr>
        <w:spacing w:line="540" w:lineRule="exact"/>
        <w:ind w:firstLineChars="200" w:firstLine="602"/>
        <w:rPr>
          <w:rFonts w:ascii="黑体" w:eastAsia="黑体" w:hAnsi="黑体" w:hint="eastAsia"/>
          <w:b/>
          <w:bCs/>
          <w:color w:val="000000"/>
          <w:sz w:val="30"/>
          <w:szCs w:val="30"/>
        </w:rPr>
      </w:pPr>
      <w:r>
        <w:rPr>
          <w:rFonts w:ascii="黑体" w:eastAsia="黑体" w:hAnsi="黑体" w:hint="eastAsia"/>
          <w:b/>
          <w:bCs/>
          <w:color w:val="000000"/>
          <w:sz w:val="30"/>
          <w:szCs w:val="30"/>
        </w:rPr>
        <w:t>三、竞买结果的产生方式及结算安排</w:t>
      </w:r>
    </w:p>
    <w:p w:rsidR="00623A77" w:rsidRDefault="00623A77" w:rsidP="00623A77">
      <w:pPr>
        <w:spacing w:line="540" w:lineRule="exact"/>
        <w:ind w:firstLineChars="200" w:firstLine="600"/>
        <w:rPr>
          <w:rFonts w:ascii="仿宋_GB2312" w:eastAsia="仿宋_GB2312" w:hAnsi="等线" w:hint="eastAsia"/>
          <w:bCs/>
          <w:sz w:val="30"/>
          <w:szCs w:val="30"/>
        </w:rPr>
      </w:pPr>
      <w:r>
        <w:rPr>
          <w:rFonts w:ascii="仿宋_GB2312" w:eastAsia="仿宋_GB2312" w:hint="eastAsia"/>
          <w:bCs/>
          <w:sz w:val="30"/>
          <w:szCs w:val="30"/>
        </w:rPr>
        <w:t>（一）竞买结果产生方式</w:t>
      </w:r>
    </w:p>
    <w:p w:rsidR="00623A77" w:rsidRDefault="00623A77" w:rsidP="00623A77">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（如为单一主体中标）</w:t>
      </w:r>
      <w:r>
        <w:rPr>
          <w:rFonts w:ascii="仿宋_GB2312" w:eastAsia="仿宋_GB2312" w:hint="eastAsia"/>
          <w:color w:val="000000"/>
          <w:sz w:val="30"/>
          <w:szCs w:val="30"/>
        </w:rPr>
        <w:t>本次竞买转让特定债券，采取单一主体中标的竞买方式，</w:t>
      </w:r>
      <w:r>
        <w:rPr>
          <w:rFonts w:ascii="仿宋_GB2312" w:eastAsia="仿宋_GB2312" w:hint="eastAsia"/>
          <w:sz w:val="30"/>
          <w:szCs w:val="30"/>
        </w:rPr>
        <w:t>由最优出价的应价方按该笔竞买的全部数量达成成交。若最优出价存在多笔申报的，按时间优先原则进行成交。</w:t>
      </w:r>
    </w:p>
    <w:p w:rsidR="00623A77" w:rsidRDefault="00623A77" w:rsidP="00623A77">
      <w:pPr>
        <w:spacing w:line="540" w:lineRule="exact"/>
        <w:ind w:firstLineChars="200" w:firstLine="600"/>
        <w:rPr>
          <w:rFonts w:ascii="仿宋_GB2312" w:eastAsia="仿宋_GB2312" w:hint="eastAsia"/>
          <w:color w:val="000000"/>
          <w:sz w:val="30"/>
          <w:szCs w:val="30"/>
        </w:rPr>
      </w:pPr>
      <w:r>
        <w:rPr>
          <w:rFonts w:ascii="仿宋_GB2312" w:eastAsia="仿宋_GB2312" w:hint="eastAsia"/>
          <w:color w:val="000000"/>
          <w:sz w:val="30"/>
          <w:szCs w:val="30"/>
        </w:rPr>
        <w:t>（如为多主体中标）本次竞买转让特定债券，采取多主体中标方式。上海证券交易所相关系统将</w:t>
      </w:r>
      <w:r>
        <w:rPr>
          <w:rFonts w:ascii="仿宋_GB2312" w:eastAsia="仿宋_GB2312" w:hint="eastAsia"/>
          <w:sz w:val="30"/>
          <w:szCs w:val="30"/>
        </w:rPr>
        <w:t>各有效申报按价格</w:t>
      </w:r>
      <w:proofErr w:type="gramStart"/>
      <w:r>
        <w:rPr>
          <w:rFonts w:ascii="仿宋_GB2312" w:eastAsia="仿宋_GB2312" w:hint="eastAsia"/>
          <w:sz w:val="30"/>
          <w:szCs w:val="30"/>
        </w:rPr>
        <w:t>从优到劣排序</w:t>
      </w:r>
      <w:proofErr w:type="gramEnd"/>
      <w:r>
        <w:rPr>
          <w:rFonts w:ascii="仿宋_GB2312" w:eastAsia="仿宋_GB2312" w:hint="eastAsia"/>
          <w:sz w:val="30"/>
          <w:szCs w:val="30"/>
        </w:rPr>
        <w:t>，并汇总申报累计数量。申报累计数量未达到竞买总量的，最低申报为边际价格，全部申报均按其申报数量达成成交。申报累计数量达到竞买总量的，以达到竞买总量的价格为边际价格。价格优于边际价格的申报全部成交，其成交数量为申报数量。价格等于边际价格的申报部分或者全部成交，中标量以各申报数量为权重按舍去法进行边际中标量的初次分配。初次分配完成后，</w:t>
      </w:r>
      <w:r>
        <w:rPr>
          <w:rFonts w:ascii="仿宋_GB2312" w:eastAsia="仿宋_GB2312" w:hint="eastAsia"/>
          <w:sz w:val="30"/>
          <w:szCs w:val="30"/>
        </w:rPr>
        <w:lastRenderedPageBreak/>
        <w:t>若有尾量剩余，则遵循时间优先原则</w:t>
      </w:r>
      <w:proofErr w:type="gramStart"/>
      <w:r>
        <w:rPr>
          <w:rFonts w:ascii="仿宋_GB2312" w:eastAsia="仿宋_GB2312" w:hint="eastAsia"/>
          <w:sz w:val="30"/>
          <w:szCs w:val="30"/>
        </w:rPr>
        <w:t>进行尾量分配</w:t>
      </w:r>
      <w:proofErr w:type="gramEnd"/>
      <w:r>
        <w:rPr>
          <w:rFonts w:ascii="仿宋_GB2312" w:eastAsia="仿宋_GB2312" w:hint="eastAsia"/>
          <w:sz w:val="30"/>
          <w:szCs w:val="30"/>
        </w:rPr>
        <w:t>。</w:t>
      </w:r>
    </w:p>
    <w:p w:rsidR="00623A77" w:rsidRDefault="00623A77" w:rsidP="00623A77">
      <w:pPr>
        <w:spacing w:line="540" w:lineRule="exact"/>
        <w:ind w:firstLineChars="200" w:firstLine="600"/>
        <w:rPr>
          <w:rFonts w:ascii="仿宋_GB2312" w:eastAsia="仿宋_GB2312" w:hint="eastAsia"/>
          <w:color w:val="000000"/>
          <w:sz w:val="30"/>
          <w:szCs w:val="30"/>
        </w:rPr>
      </w:pPr>
      <w:r>
        <w:rPr>
          <w:rFonts w:ascii="仿宋_GB2312" w:eastAsia="仿宋_GB2312" w:hint="eastAsia"/>
          <w:color w:val="000000"/>
          <w:sz w:val="30"/>
          <w:szCs w:val="30"/>
        </w:rPr>
        <w:t>中标</w:t>
      </w:r>
      <w:r>
        <w:rPr>
          <w:rFonts w:ascii="仿宋_GB2312" w:eastAsia="仿宋_GB2312" w:hint="eastAsia"/>
          <w:sz w:val="30"/>
          <w:szCs w:val="30"/>
        </w:rPr>
        <w:t>的应价</w:t>
      </w:r>
      <w:proofErr w:type="gramStart"/>
      <w:r>
        <w:rPr>
          <w:rFonts w:ascii="仿宋_GB2312" w:eastAsia="仿宋_GB2312" w:hint="eastAsia"/>
          <w:sz w:val="30"/>
          <w:szCs w:val="30"/>
        </w:rPr>
        <w:t>方数量</w:t>
      </w:r>
      <w:proofErr w:type="gramEnd"/>
      <w:r>
        <w:rPr>
          <w:rFonts w:ascii="仿宋_GB2312" w:eastAsia="仿宋_GB2312" w:hint="eastAsia"/>
          <w:sz w:val="30"/>
          <w:szCs w:val="30"/>
        </w:rPr>
        <w:t>应当</w:t>
      </w:r>
      <w:r>
        <w:rPr>
          <w:rFonts w:ascii="仿宋_GB2312" w:eastAsia="仿宋_GB2312" w:hint="eastAsia"/>
          <w:color w:val="000000"/>
          <w:sz w:val="30"/>
          <w:szCs w:val="30"/>
        </w:rPr>
        <w:t>符合法律法规、部门规章、规范性文件、上海证券交易所业务规则对债券持有人数量的要求。</w:t>
      </w:r>
    </w:p>
    <w:p w:rsidR="00623A77" w:rsidRDefault="00623A77" w:rsidP="00623A77">
      <w:pPr>
        <w:spacing w:line="540" w:lineRule="exact"/>
        <w:ind w:firstLineChars="200" w:firstLine="600"/>
        <w:rPr>
          <w:rFonts w:ascii="仿宋_GB2312" w:eastAsia="仿宋_GB2312" w:hint="eastAsia"/>
          <w:bCs/>
          <w:color w:val="000000"/>
          <w:sz w:val="30"/>
          <w:szCs w:val="30"/>
        </w:rPr>
      </w:pPr>
      <w:r>
        <w:rPr>
          <w:rFonts w:ascii="仿宋_GB2312" w:eastAsia="仿宋_GB2312" w:hint="eastAsia"/>
          <w:bCs/>
          <w:color w:val="000000"/>
          <w:sz w:val="30"/>
          <w:szCs w:val="30"/>
        </w:rPr>
        <w:t>（二）竞买结果的结算交收</w:t>
      </w:r>
    </w:p>
    <w:p w:rsidR="00623A77" w:rsidRDefault="00623A77" w:rsidP="00623A77">
      <w:pPr>
        <w:spacing w:line="540" w:lineRule="exact"/>
        <w:ind w:firstLineChars="200" w:firstLine="600"/>
        <w:rPr>
          <w:rFonts w:ascii="仿宋_GB2312" w:eastAsia="仿宋_GB2312" w:hint="eastAsia"/>
          <w:sz w:val="30"/>
          <w:szCs w:val="30"/>
        </w:rPr>
      </w:pPr>
      <w:r>
        <w:rPr>
          <w:rFonts w:ascii="仿宋_GB2312" w:eastAsia="仿宋_GB2312" w:hint="eastAsia"/>
          <w:color w:val="000000"/>
          <w:sz w:val="30"/>
          <w:szCs w:val="30"/>
        </w:rPr>
        <w:t>竞买结果产生后，由上海证券交易所向</w:t>
      </w:r>
      <w:r>
        <w:rPr>
          <w:rFonts w:ascii="仿宋_GB2312" w:eastAsia="仿宋_GB2312" w:hint="eastAsia"/>
          <w:sz w:val="30"/>
          <w:szCs w:val="30"/>
        </w:rPr>
        <w:t>中国证券登记结算有限责任公司（以下简称中国结算）发送竞买转让数据，中国结算为特定债券的转让提供逐笔全额结算服务。</w:t>
      </w:r>
    </w:p>
    <w:p w:rsidR="00623A77" w:rsidRDefault="00623A77" w:rsidP="00623A77">
      <w:pPr>
        <w:spacing w:line="540" w:lineRule="exact"/>
        <w:ind w:firstLineChars="200" w:firstLine="602"/>
        <w:rPr>
          <w:rFonts w:ascii="黑体" w:eastAsia="黑体" w:hAnsi="黑体" w:hint="eastAsia"/>
          <w:b/>
          <w:bCs/>
          <w:color w:val="000000"/>
          <w:sz w:val="30"/>
          <w:szCs w:val="30"/>
        </w:rPr>
      </w:pPr>
      <w:r>
        <w:rPr>
          <w:rFonts w:ascii="黑体" w:eastAsia="黑体" w:hAnsi="黑体" w:hint="eastAsia"/>
          <w:b/>
          <w:bCs/>
          <w:color w:val="000000"/>
          <w:sz w:val="30"/>
          <w:szCs w:val="30"/>
        </w:rPr>
        <w:t>四、卖方声明及承诺</w:t>
      </w:r>
    </w:p>
    <w:p w:rsidR="00623A77" w:rsidRDefault="00623A77" w:rsidP="00623A77">
      <w:pPr>
        <w:spacing w:line="540" w:lineRule="exact"/>
        <w:ind w:firstLineChars="200" w:firstLine="600"/>
        <w:rPr>
          <w:rFonts w:ascii="仿宋_GB2312" w:eastAsia="仿宋_GB2312" w:hAnsi="等线" w:hint="eastAsia"/>
          <w:sz w:val="30"/>
          <w:szCs w:val="30"/>
        </w:rPr>
      </w:pPr>
      <w:r>
        <w:rPr>
          <w:rFonts w:ascii="仿宋_GB2312" w:eastAsia="仿宋_GB2312" w:hint="eastAsia"/>
          <w:sz w:val="30"/>
          <w:szCs w:val="30"/>
        </w:rPr>
        <w:t>（一）遵守法律、法规、规章、规范性文件及上海证券交易所相关业务规则的规定。</w:t>
      </w:r>
    </w:p>
    <w:p w:rsidR="00623A77" w:rsidRDefault="00623A77" w:rsidP="00623A77">
      <w:pPr>
        <w:spacing w:line="540" w:lineRule="exact"/>
        <w:ind w:firstLineChars="200" w:firstLine="600"/>
        <w:rPr>
          <w:rFonts w:ascii="仿宋_GB2312" w:eastAsia="仿宋_GB2312" w:hAnsi="Arial" w:hint="eastAsia"/>
          <w:kern w:val="0"/>
          <w:sz w:val="30"/>
          <w:szCs w:val="30"/>
        </w:rPr>
      </w:pPr>
      <w:r>
        <w:rPr>
          <w:rFonts w:ascii="仿宋_GB2312" w:eastAsia="仿宋_GB2312" w:hint="eastAsia"/>
          <w:sz w:val="30"/>
          <w:szCs w:val="30"/>
        </w:rPr>
        <w:t>（二）账户中合法持有足量</w:t>
      </w:r>
      <w:r>
        <w:rPr>
          <w:rFonts w:ascii="仿宋_GB2312" w:eastAsia="仿宋_GB2312" w:hAnsi="Arial" w:hint="eastAsia"/>
          <w:kern w:val="0"/>
          <w:sz w:val="30"/>
          <w:szCs w:val="30"/>
        </w:rPr>
        <w:t>拟转让的特定债券。</w:t>
      </w:r>
    </w:p>
    <w:p w:rsidR="00623A77" w:rsidRDefault="00623A77" w:rsidP="00623A77">
      <w:pPr>
        <w:spacing w:line="540" w:lineRule="exact"/>
        <w:ind w:firstLineChars="200" w:firstLine="600"/>
        <w:rPr>
          <w:rFonts w:ascii="仿宋_GB2312" w:eastAsia="仿宋_GB2312" w:hAnsi="Arial" w:hint="eastAsia"/>
          <w:kern w:val="0"/>
          <w:sz w:val="30"/>
          <w:szCs w:val="30"/>
        </w:rPr>
      </w:pPr>
      <w:r>
        <w:rPr>
          <w:rFonts w:ascii="仿宋_GB2312" w:eastAsia="仿宋_GB2312" w:hAnsi="Arial" w:hint="eastAsia"/>
          <w:kern w:val="0"/>
          <w:sz w:val="30"/>
          <w:szCs w:val="30"/>
        </w:rPr>
        <w:t>（三）</w:t>
      </w:r>
      <w:r>
        <w:rPr>
          <w:rFonts w:ascii="仿宋_GB2312" w:eastAsia="仿宋_GB2312" w:hint="eastAsia"/>
          <w:sz w:val="30"/>
          <w:szCs w:val="30"/>
        </w:rPr>
        <w:t>认可转让结果，配合履行结算交收义务，自</w:t>
      </w:r>
      <w:r>
        <w:rPr>
          <w:rFonts w:ascii="仿宋_GB2312" w:eastAsia="仿宋_GB2312" w:hAnsi="Arial" w:hint="eastAsia"/>
          <w:kern w:val="0"/>
          <w:sz w:val="30"/>
          <w:szCs w:val="30"/>
        </w:rPr>
        <w:t>愿承担</w:t>
      </w:r>
      <w:r>
        <w:rPr>
          <w:rFonts w:ascii="仿宋_GB2312" w:eastAsia="仿宋_GB2312" w:hint="eastAsia"/>
          <w:sz w:val="30"/>
          <w:szCs w:val="30"/>
        </w:rPr>
        <w:t>参与竞买转让可能产生的</w:t>
      </w:r>
      <w:r>
        <w:rPr>
          <w:rFonts w:ascii="仿宋_GB2312" w:eastAsia="仿宋_GB2312" w:hAnsi="Arial" w:hint="eastAsia"/>
          <w:kern w:val="0"/>
          <w:sz w:val="30"/>
          <w:szCs w:val="30"/>
        </w:rPr>
        <w:t>相关风险及一切法律后果。</w:t>
      </w:r>
    </w:p>
    <w:p w:rsidR="00623A77" w:rsidRDefault="00623A77" w:rsidP="00623A77">
      <w:pPr>
        <w:spacing w:line="540" w:lineRule="exact"/>
        <w:ind w:firstLineChars="200" w:firstLine="600"/>
        <w:rPr>
          <w:rFonts w:ascii="仿宋_GB2312" w:eastAsia="仿宋_GB2312" w:hAnsi="等线" w:hint="eastAsia"/>
          <w:sz w:val="30"/>
          <w:szCs w:val="30"/>
        </w:rPr>
      </w:pPr>
      <w:r>
        <w:rPr>
          <w:rFonts w:ascii="仿宋_GB2312" w:eastAsia="仿宋_GB2312" w:hint="eastAsia"/>
          <w:sz w:val="30"/>
          <w:szCs w:val="30"/>
        </w:rPr>
        <w:t>（四）本公告及向上海证券交易所提交的其他文件内容真实、准确、完整，不存在虚假记载、误导性陈述或者重大遗漏，并对相关信息承担全部法律责任。</w:t>
      </w:r>
    </w:p>
    <w:p w:rsidR="00623A77" w:rsidRDefault="00623A77" w:rsidP="00623A77">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（五）拟转让的特定债券发行人未被申请破产。</w:t>
      </w:r>
    </w:p>
    <w:p w:rsidR="00623A77" w:rsidRDefault="00623A77" w:rsidP="00623A77">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（六）拟转让的特定债券具备同等权利义务事项及风险特征。</w:t>
      </w:r>
    </w:p>
    <w:p w:rsidR="00623A77" w:rsidRDefault="00623A77" w:rsidP="00623A77">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（七）拟转让的特定债券不存在被司法冻结等权利瑕疵。</w:t>
      </w:r>
    </w:p>
    <w:p w:rsidR="00623A77" w:rsidRDefault="00623A77" w:rsidP="00623A77">
      <w:pPr>
        <w:spacing w:line="540" w:lineRule="exact"/>
        <w:ind w:firstLineChars="200" w:firstLine="600"/>
        <w:rPr>
          <w:rFonts w:ascii="仿宋_GB2312" w:eastAsia="仿宋_GB2312" w:hAnsi="Arial" w:hint="eastAsia"/>
          <w:kern w:val="0"/>
          <w:sz w:val="30"/>
          <w:szCs w:val="30"/>
        </w:rPr>
      </w:pPr>
      <w:r>
        <w:rPr>
          <w:rFonts w:ascii="仿宋_GB2312" w:eastAsia="仿宋_GB2312" w:hAnsi="Arial" w:hint="eastAsia"/>
          <w:kern w:val="0"/>
          <w:sz w:val="30"/>
          <w:szCs w:val="30"/>
        </w:rPr>
        <w:t>（八）</w:t>
      </w:r>
      <w:r>
        <w:rPr>
          <w:rFonts w:ascii="仿宋_GB2312" w:eastAsia="仿宋_GB2312" w:hint="eastAsia"/>
          <w:sz w:val="30"/>
          <w:szCs w:val="30"/>
        </w:rPr>
        <w:t>拟转让的特定债券</w:t>
      </w:r>
      <w:r>
        <w:rPr>
          <w:rFonts w:ascii="仿宋_GB2312" w:eastAsia="仿宋_GB2312" w:hAnsi="Arial" w:hint="eastAsia"/>
          <w:kern w:val="0"/>
          <w:sz w:val="30"/>
          <w:szCs w:val="30"/>
        </w:rPr>
        <w:t>不存在《通知》规定的其他不适于进行竞买转让的情形。</w:t>
      </w:r>
    </w:p>
    <w:p w:rsidR="00623A77" w:rsidRDefault="00623A77" w:rsidP="00623A77">
      <w:pPr>
        <w:spacing w:line="600" w:lineRule="exact"/>
        <w:ind w:firstLineChars="200" w:firstLine="600"/>
        <w:rPr>
          <w:rFonts w:ascii="仿宋_GB2312" w:eastAsia="仿宋_GB2312" w:hAnsi="等线" w:hint="eastAsia"/>
          <w:sz w:val="30"/>
          <w:szCs w:val="30"/>
        </w:rPr>
      </w:pPr>
    </w:p>
    <w:p w:rsidR="00623A77" w:rsidRDefault="00623A77" w:rsidP="00623A77">
      <w:pPr>
        <w:spacing w:line="600" w:lineRule="exact"/>
        <w:ind w:firstLineChars="200" w:firstLine="600"/>
        <w:rPr>
          <w:rFonts w:ascii="仿宋_GB2312" w:eastAsia="仿宋_GB2312" w:hint="eastAsia"/>
          <w:sz w:val="30"/>
          <w:szCs w:val="30"/>
        </w:rPr>
      </w:pPr>
    </w:p>
    <w:p w:rsidR="00623A77" w:rsidRDefault="00623A77" w:rsidP="00623A77">
      <w:pPr>
        <w:rPr>
          <w:rFonts w:ascii="等线" w:eastAsia="等线" w:hint="eastAsia"/>
          <w:szCs w:val="22"/>
        </w:rPr>
      </w:pPr>
    </w:p>
    <w:p w:rsidR="001566AB" w:rsidRPr="00623A77" w:rsidRDefault="001566AB"/>
    <w:sectPr w:rsidR="001566AB" w:rsidRPr="00623A77" w:rsidSect="001566A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大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23A77"/>
    <w:rsid w:val="001566AB"/>
    <w:rsid w:val="00623A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A7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yliu</dc:creator>
  <cp:lastModifiedBy>yliu</cp:lastModifiedBy>
  <cp:revision>1</cp:revision>
  <dcterms:created xsi:type="dcterms:W3CDTF">2020-07-03T06:12:00Z</dcterms:created>
  <dcterms:modified xsi:type="dcterms:W3CDTF">2020-07-03T06:12:00Z</dcterms:modified>
</cp:coreProperties>
</file>