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19" w:rsidRDefault="002A0319" w:rsidP="004C75A5">
      <w:pPr>
        <w:spacing w:line="600" w:lineRule="exact"/>
        <w:rPr>
          <w:rFonts w:ascii="仿宋_GB2312" w:eastAsia="仿宋_GB2312" w:hint="eastAsia"/>
          <w:b/>
          <w:bCs/>
          <w:color w:val="000000"/>
          <w:sz w:val="30"/>
          <w:szCs w:val="30"/>
        </w:rPr>
      </w:pPr>
      <w:r w:rsidRPr="002A0319">
        <w:rPr>
          <w:rFonts w:ascii="仿宋_GB2312" w:eastAsia="仿宋_GB2312" w:hint="eastAsia"/>
          <w:b/>
          <w:bCs/>
          <w:color w:val="000000"/>
          <w:sz w:val="30"/>
          <w:szCs w:val="30"/>
        </w:rPr>
        <w:t>附件</w:t>
      </w:r>
    </w:p>
    <w:p w:rsidR="004C75A5" w:rsidRDefault="004C75A5" w:rsidP="004C75A5">
      <w:pPr>
        <w:spacing w:line="600" w:lineRule="exact"/>
        <w:rPr>
          <w:rFonts w:ascii="仿宋_GB2312" w:eastAsia="仿宋_GB2312" w:hint="eastAsia"/>
          <w:b/>
          <w:bCs/>
          <w:color w:val="000000"/>
          <w:sz w:val="30"/>
          <w:szCs w:val="30"/>
        </w:rPr>
      </w:pPr>
    </w:p>
    <w:p w:rsidR="004C75A5" w:rsidRPr="004C75A5" w:rsidRDefault="004C75A5" w:rsidP="004C75A5">
      <w:pPr>
        <w:spacing w:line="600" w:lineRule="exact"/>
        <w:jc w:val="center"/>
        <w:rPr>
          <w:rFonts w:ascii="方正大标宋简体" w:eastAsia="方正大标宋简体" w:hAnsi="黑体" w:hint="eastAsia"/>
          <w:sz w:val="42"/>
          <w:szCs w:val="42"/>
        </w:rPr>
      </w:pPr>
      <w:r w:rsidRPr="004C75A5">
        <w:rPr>
          <w:rFonts w:ascii="方正大标宋简体" w:eastAsia="方正大标宋简体" w:hAnsi="黑体" w:hint="eastAsia"/>
          <w:sz w:val="42"/>
          <w:szCs w:val="42"/>
        </w:rPr>
        <w:t>上海证券交易所证券交易规则适用指引第1号——合格境外机构投资者和人民币合格境外机构投资者</w:t>
      </w:r>
    </w:p>
    <w:p w:rsidR="004C75A5" w:rsidRDefault="004C75A5" w:rsidP="004C75A5">
      <w:pPr>
        <w:spacing w:line="600" w:lineRule="exact"/>
      </w:pP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第一条 为规范符合条件的合格境外机构投资者和人民币合格境外机构投资者（以下合称合格境外投资者）在上海证券交易所（以下简称本所）的证券及其衍生品种交易行为，维护市场秩序，根据《合格境外机构投资者</w:t>
      </w:r>
      <w:r>
        <w:rPr>
          <w:rFonts w:ascii="仿宋_GB2312" w:eastAsia="仿宋_GB2312" w:hint="eastAsia"/>
          <w:sz w:val="30"/>
          <w:szCs w:val="30"/>
        </w:rPr>
        <w:t>和</w:t>
      </w:r>
      <w:r w:rsidRPr="004E5E7B">
        <w:rPr>
          <w:rFonts w:ascii="仿宋_GB2312" w:eastAsia="仿宋_GB2312" w:hint="eastAsia"/>
          <w:sz w:val="30"/>
          <w:szCs w:val="30"/>
        </w:rPr>
        <w:t>人民币合格境外机构投资者境内证券期货投资管理办法》《关于实施&lt;合格境外机构投资者</w:t>
      </w:r>
      <w:r>
        <w:rPr>
          <w:rFonts w:ascii="仿宋_GB2312" w:eastAsia="仿宋_GB2312" w:hint="eastAsia"/>
          <w:sz w:val="30"/>
          <w:szCs w:val="30"/>
        </w:rPr>
        <w:t>和</w:t>
      </w:r>
      <w:r w:rsidRPr="004E5E7B">
        <w:rPr>
          <w:rFonts w:ascii="仿宋_GB2312" w:eastAsia="仿宋_GB2312" w:hint="eastAsia"/>
          <w:sz w:val="30"/>
          <w:szCs w:val="30"/>
        </w:rPr>
        <w:t>人民币合格境外机构投资者境内证券期货投资管理办法&gt;有关问题的规定》和本所相关业务规则，制定本</w:t>
      </w:r>
      <w:r>
        <w:rPr>
          <w:rFonts w:ascii="仿宋_GB2312" w:eastAsia="仿宋_GB2312" w:hint="eastAsia"/>
          <w:sz w:val="30"/>
          <w:szCs w:val="30"/>
        </w:rPr>
        <w:t>指引</w:t>
      </w:r>
      <w:r w:rsidRPr="004E5E7B">
        <w:rPr>
          <w:rFonts w:ascii="仿宋_GB2312" w:eastAsia="仿宋_GB2312" w:hint="eastAsia"/>
          <w:sz w:val="30"/>
          <w:szCs w:val="30"/>
        </w:rPr>
        <w:t>。</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第二条 合格境外投资者在本所的证券及其衍生品种交易活动适用本</w:t>
      </w:r>
      <w:r>
        <w:rPr>
          <w:rFonts w:ascii="仿宋_GB2312" w:eastAsia="仿宋_GB2312" w:hint="eastAsia"/>
          <w:sz w:val="30"/>
          <w:szCs w:val="30"/>
        </w:rPr>
        <w:t>指引</w:t>
      </w:r>
      <w:r w:rsidRPr="004E5E7B">
        <w:rPr>
          <w:rFonts w:ascii="仿宋_GB2312" w:eastAsia="仿宋_GB2312" w:hint="eastAsia"/>
          <w:sz w:val="30"/>
          <w:szCs w:val="30"/>
        </w:rPr>
        <w:t>。本</w:t>
      </w:r>
      <w:r>
        <w:rPr>
          <w:rFonts w:ascii="仿宋_GB2312" w:eastAsia="仿宋_GB2312" w:hint="eastAsia"/>
          <w:sz w:val="30"/>
          <w:szCs w:val="30"/>
        </w:rPr>
        <w:t>指引</w:t>
      </w:r>
      <w:r w:rsidRPr="004E5E7B">
        <w:rPr>
          <w:rFonts w:ascii="仿宋_GB2312" w:eastAsia="仿宋_GB2312" w:hint="eastAsia"/>
          <w:sz w:val="30"/>
          <w:szCs w:val="30"/>
        </w:rPr>
        <w:t>未作规定的，适用《上海证券交易所交易规则》《上海证券交易所会员管理规则》及本所其他相关规定。</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第三条 合格境外投资者及其境内托管人、证券公司、期货公司参与本所证券及其衍生品种交易应当遵守法律法规、行政规章以及本所业务规则，不得违反有关持股比例限制、信息披露要求以及交易行为监督等规定。</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第四条 合格境外投资者参与本所证券及其衍生品种交易的登记和结算事宜，由本所指定的证券登记结算机构按其业务规则办理。</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lastRenderedPageBreak/>
        <w:t>第五条 合格境外投资者应当依法委托具有本所会员资格的境内证券公司办理本所证券交易业务，应当依法委托具有本所股票期权交易参与人资格的境内证券公司、期货公司办理本所股票期权交易业务。</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合格境外投资者开立多个证券账户或衍生品合约账户参与本所证券及其衍生品种交易的，一个账户只能指定在一家境内证券公司或期货公司。</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第六条 接受合格境外投资者委托的证券公司、期货公司（以下合称受托证券期货经营机构）应当勤勉尽责，加强对合格境外投资者交易行为的管理，持续监控合格境外投资者的交易行为。如发现合格境外投资者的证券及其衍生品种交易活动存在可能严重影响正常交易秩序的异常交易行为或涉嫌违法违规的交易行为，应当依据委托代理协议采取措施并及时向本所报告。</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受托证券期货经营机构应当在委托代理协议中与合格境外投资者约定，如果合格境外投资者违法违规使用账户，或者存在可能严重影响正常交易秩序的异常交易行为、涉嫌违法违规的交易行为等情形的，受托证券期货经营机构可以拒绝其申报委托、根据本所的要求实施平仓，或者终止双方的委托关系。</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第七条 受托证券期货经营机构保存合格境外投资者的委托记录、交易记录等资料的时间应当不少于20年。</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第八条 合格境外投资者托管人应按本所规定或要求报送合格境外投资者、合格境外投资者托管人及受托证券期货经营机构</w:t>
      </w:r>
      <w:r>
        <w:rPr>
          <w:rFonts w:ascii="仿宋_GB2312" w:eastAsia="仿宋_GB2312" w:hint="eastAsia"/>
          <w:sz w:val="30"/>
          <w:szCs w:val="30"/>
        </w:rPr>
        <w:t>相关</w:t>
      </w:r>
      <w:r w:rsidRPr="004E5E7B">
        <w:rPr>
          <w:rFonts w:ascii="仿宋_GB2312" w:eastAsia="仿宋_GB2312" w:hint="eastAsia"/>
          <w:sz w:val="30"/>
          <w:szCs w:val="30"/>
        </w:rPr>
        <w:t>信息。</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lastRenderedPageBreak/>
        <w:t>受托证券期货经营机构应按本所规定或要求报送合格境外投资者持仓、平仓及</w:t>
      </w:r>
      <w:r w:rsidRPr="004C5D42">
        <w:rPr>
          <w:rFonts w:ascii="仿宋_GB2312" w:eastAsia="仿宋_GB2312" w:hint="eastAsia"/>
          <w:sz w:val="30"/>
          <w:szCs w:val="30"/>
        </w:rPr>
        <w:t>其他</w:t>
      </w:r>
      <w:r>
        <w:rPr>
          <w:rFonts w:ascii="仿宋_GB2312" w:eastAsia="仿宋_GB2312" w:hint="eastAsia"/>
          <w:sz w:val="30"/>
          <w:szCs w:val="30"/>
        </w:rPr>
        <w:t>相关</w:t>
      </w:r>
      <w:r w:rsidRPr="004E5E7B">
        <w:rPr>
          <w:rFonts w:ascii="仿宋_GB2312" w:eastAsia="仿宋_GB2312" w:hint="eastAsia"/>
          <w:sz w:val="30"/>
          <w:szCs w:val="30"/>
        </w:rPr>
        <w:t>信息。</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w:t>
      </w:r>
      <w:r>
        <w:rPr>
          <w:rFonts w:ascii="仿宋_GB2312" w:eastAsia="仿宋_GB2312" w:hint="eastAsia"/>
          <w:sz w:val="30"/>
          <w:szCs w:val="30"/>
        </w:rPr>
        <w:t>九</w:t>
      </w:r>
      <w:r w:rsidRPr="004E5E7B">
        <w:rPr>
          <w:rFonts w:ascii="仿宋_GB2312" w:eastAsia="仿宋_GB2312" w:hint="eastAsia"/>
          <w:sz w:val="30"/>
          <w:szCs w:val="30"/>
        </w:rPr>
        <w:t>条 合格境外投资者的督察员应当监督合格境外投资者的投资交易活动和信息披露行为。</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督察员应当及时制止合格境外投资者违反证券及其衍生品种交易相关法律法规、行政规章及本所业务规则的行为，并在10个交易日内向本所报告。</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w:t>
      </w:r>
      <w:r>
        <w:rPr>
          <w:rFonts w:ascii="仿宋_GB2312" w:eastAsia="仿宋_GB2312" w:hint="eastAsia"/>
          <w:sz w:val="30"/>
          <w:szCs w:val="30"/>
        </w:rPr>
        <w:t>十</w:t>
      </w:r>
      <w:r w:rsidRPr="004E5E7B">
        <w:rPr>
          <w:rFonts w:ascii="仿宋_GB2312" w:eastAsia="仿宋_GB2312" w:hint="eastAsia"/>
          <w:sz w:val="30"/>
          <w:szCs w:val="30"/>
        </w:rPr>
        <w:t>条 本所对发生的可能严重影响正常交易秩序的异常交易行为或者涉嫌违法违规的交易行为，可以要求合格境外投资者及时报告其名下境外投资者的证券、衍生品种交易及其股份持有情况。</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第十</w:t>
      </w:r>
      <w:r>
        <w:rPr>
          <w:rFonts w:ascii="仿宋_GB2312" w:eastAsia="仿宋_GB2312" w:hint="eastAsia"/>
          <w:sz w:val="30"/>
          <w:szCs w:val="30"/>
        </w:rPr>
        <w:t>一</w:t>
      </w:r>
      <w:r w:rsidRPr="004E5E7B">
        <w:rPr>
          <w:rFonts w:ascii="仿宋_GB2312" w:eastAsia="仿宋_GB2312" w:hint="eastAsia"/>
          <w:sz w:val="30"/>
          <w:szCs w:val="30"/>
        </w:rPr>
        <w:t>条 合格境外投资者可以投资于在本所交易或者转让的以下证券及其衍生品种：</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（一）股票，包括普通股、优先股和本所认可的其他股票；</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（二）存托凭证；</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（三）债券，包括国债、国债预发行、地方政府债、政府支持债券、公司债券、企业债券、可转换公司债券、分离交易可转换公司债券、可交换公司债券、政策性金融债、次级债和本所认可的其他债券品种；</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（四）资产支持证券；</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（五）基金，包括各类交易型开放式指数基金（ETF）、封闭式基金、上市开放式基金（LOF）、货币市场基金和本所认可的其他基金品种；</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lastRenderedPageBreak/>
        <w:t>（六）股票期权；</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（七）中国证监会允许的其他证券及其衍生品种。</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合格境外投资者可以参与新股发行、债券发行、资产支持证券发行、股票增发和配股的申购，可以参与融资融券交易、转融通证券出借交易以及债券回购交易。</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第十</w:t>
      </w:r>
      <w:r>
        <w:rPr>
          <w:rFonts w:ascii="仿宋_GB2312" w:eastAsia="仿宋_GB2312" w:hint="eastAsia"/>
          <w:sz w:val="30"/>
          <w:szCs w:val="30"/>
        </w:rPr>
        <w:t>二</w:t>
      </w:r>
      <w:r w:rsidRPr="004E5E7B">
        <w:rPr>
          <w:rFonts w:ascii="仿宋_GB2312" w:eastAsia="仿宋_GB2312" w:hint="eastAsia"/>
          <w:sz w:val="30"/>
          <w:szCs w:val="30"/>
        </w:rPr>
        <w:t>条 合格境外投资者名下的境外投资者开展本所证券及其衍生品种投资的，合格境外投资者应当向其名下的境外投资者充分揭示境内证券及其衍生品种投资风险，并要求其名下的境外投资者遵守境内证券及其衍生品种投资的法律法规、行政规章以及本所业务规则，接受本所监管。</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合格境外投资者应当与其名下的境外投资者约定，如果其名下的境外投资者违反有关持股比例限制以及信息披露要求，或者存在可能严重影响正常交易秩序的其他异常交易行为，合格境外投资者可以拒绝提供服务、根据本所的要求实施平仓，或者采取其他制止和改正措施。</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第十</w:t>
      </w:r>
      <w:r>
        <w:rPr>
          <w:rFonts w:ascii="仿宋_GB2312" w:eastAsia="仿宋_GB2312" w:hint="eastAsia"/>
          <w:sz w:val="30"/>
          <w:szCs w:val="30"/>
        </w:rPr>
        <w:t>三</w:t>
      </w:r>
      <w:r w:rsidRPr="004E5E7B">
        <w:rPr>
          <w:rFonts w:ascii="仿宋_GB2312" w:eastAsia="仿宋_GB2312" w:hint="eastAsia"/>
          <w:sz w:val="30"/>
          <w:szCs w:val="30"/>
        </w:rPr>
        <w:t>条 合格境外投资者名下的境外投资者开展本所证券及其衍生品种投资达到信息披露要求的，作为信息披露义务人，应当通过合格境外投资者向本所提交信息披露文件。</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合格境外投资者应当充分了解其名下的境外投资者的境内证券及其衍生品种持仓情况，并督促其严格履行信息披露的有关规定。</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第十</w:t>
      </w:r>
      <w:r>
        <w:rPr>
          <w:rFonts w:ascii="仿宋_GB2312" w:eastAsia="仿宋_GB2312" w:hint="eastAsia"/>
          <w:sz w:val="30"/>
          <w:szCs w:val="30"/>
        </w:rPr>
        <w:t>四</w:t>
      </w:r>
      <w:r w:rsidRPr="004E5E7B">
        <w:rPr>
          <w:rFonts w:ascii="仿宋_GB2312" w:eastAsia="仿宋_GB2312" w:hint="eastAsia"/>
          <w:sz w:val="30"/>
          <w:szCs w:val="30"/>
        </w:rPr>
        <w:t>条 合格境外投资者及其名下的境外投资者履行信息披露义务时，应当依法各自合并计算其拥有的同一公司的境内上</w:t>
      </w:r>
      <w:r w:rsidRPr="004E5E7B">
        <w:rPr>
          <w:rFonts w:ascii="仿宋_GB2312" w:eastAsia="仿宋_GB2312" w:hint="eastAsia"/>
          <w:sz w:val="30"/>
          <w:szCs w:val="30"/>
        </w:rPr>
        <w:lastRenderedPageBreak/>
        <w:t>市和境外上市外资股的权益，并遵守信息披露的有关法律法规。</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合格境外投资者及其名下的境外投资者应当按照上市公司信息披露规则合并披露一致行动人的相关证券及其衍生品种投资信息。</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第十</w:t>
      </w:r>
      <w:r>
        <w:rPr>
          <w:rFonts w:ascii="仿宋_GB2312" w:eastAsia="仿宋_GB2312" w:hint="eastAsia"/>
          <w:sz w:val="30"/>
          <w:szCs w:val="30"/>
        </w:rPr>
        <w:t>五</w:t>
      </w:r>
      <w:r w:rsidRPr="004E5E7B">
        <w:rPr>
          <w:rFonts w:ascii="仿宋_GB2312" w:eastAsia="仿宋_GB2312" w:hint="eastAsia"/>
          <w:sz w:val="30"/>
          <w:szCs w:val="30"/>
        </w:rPr>
        <w:t>条 合格境外投资者及其他境外投资者的境内证券投资，应当遵循下列持股比例限制：</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（一）单个合格境外投资者或其他境外投资者持有单个上市公司的股份，不得超过该公司股份总数的10%；</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（二）全部合格境外投资者及其他境外投资者持有单个上市公司A股股份的总和，不得超过该公司股份总数的30%。</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合格境外投资者及其他境外投资者依法对上市公司战略投资的，其战略投资的持股不受前款规定的比例限制。</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境内有关法律、行政法规、产业政策对合格境外投资者及其他境外投资者的持股比例有更严格规定的，从其规定。</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第十</w:t>
      </w:r>
      <w:r>
        <w:rPr>
          <w:rFonts w:ascii="仿宋_GB2312" w:eastAsia="仿宋_GB2312" w:hint="eastAsia"/>
          <w:sz w:val="30"/>
          <w:szCs w:val="30"/>
        </w:rPr>
        <w:t>六</w:t>
      </w:r>
      <w:r w:rsidRPr="004E5E7B">
        <w:rPr>
          <w:rFonts w:ascii="仿宋_GB2312" w:eastAsia="仿宋_GB2312" w:hint="eastAsia"/>
          <w:sz w:val="30"/>
          <w:szCs w:val="30"/>
        </w:rPr>
        <w:t>条 全部合格境外投资者及其他境外投资者持有单个上市公司A股股份合计达到或超过该公司股份总数的24%时，本所于次一交易日开市前通过本所网站公布其已持有该公司A股股份的总数及占公司股份总数的比例。</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第十</w:t>
      </w:r>
      <w:r>
        <w:rPr>
          <w:rFonts w:ascii="仿宋_GB2312" w:eastAsia="仿宋_GB2312" w:hint="eastAsia"/>
          <w:sz w:val="30"/>
          <w:szCs w:val="30"/>
        </w:rPr>
        <w:t>七</w:t>
      </w:r>
      <w:r w:rsidRPr="004E5E7B">
        <w:rPr>
          <w:rFonts w:ascii="仿宋_GB2312" w:eastAsia="仿宋_GB2312" w:hint="eastAsia"/>
          <w:sz w:val="30"/>
          <w:szCs w:val="30"/>
        </w:rPr>
        <w:t>条 当日交易结束后，单个合格境外投资者或其他境外投资者持有单个上市公司股票超过限定比例的，该合格境外投资者或其他境外投资者应当在5个交易日内对超过限制的部分予以平仓，并按照有关规定及时履行信息披露义务。</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第十</w:t>
      </w:r>
      <w:r>
        <w:rPr>
          <w:rFonts w:ascii="仿宋_GB2312" w:eastAsia="仿宋_GB2312" w:hint="eastAsia"/>
          <w:sz w:val="30"/>
          <w:szCs w:val="30"/>
        </w:rPr>
        <w:t>八</w:t>
      </w:r>
      <w:r w:rsidRPr="004E5E7B">
        <w:rPr>
          <w:rFonts w:ascii="仿宋_GB2312" w:eastAsia="仿宋_GB2312" w:hint="eastAsia"/>
          <w:sz w:val="30"/>
          <w:szCs w:val="30"/>
        </w:rPr>
        <w:t>条 当日交易结束后，如遇全部合格境外投资者及其</w:t>
      </w:r>
      <w:r w:rsidRPr="004E5E7B">
        <w:rPr>
          <w:rFonts w:ascii="仿宋_GB2312" w:eastAsia="仿宋_GB2312" w:hint="eastAsia"/>
          <w:sz w:val="30"/>
          <w:szCs w:val="30"/>
        </w:rPr>
        <w:lastRenderedPageBreak/>
        <w:t>他境外投资者持有单个上市公司A股股份合计超过限定比例的，本所将于次一交易日向受托证券期货经营机构及托管人发出平仓通知。</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合格境外投资者及其他境外投资者应当自接到通知之日起的5个交易日内，对超出限定比例的部分，根据股份类别按照以下顺序予以平仓：</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（一）当日非通过本款第二</w:t>
      </w:r>
      <w:r w:rsidR="0051598C">
        <w:rPr>
          <w:rFonts w:ascii="仿宋_GB2312" w:eastAsia="仿宋_GB2312" w:hint="eastAsia"/>
          <w:sz w:val="30"/>
          <w:szCs w:val="30"/>
        </w:rPr>
        <w:t>项</w:t>
      </w:r>
      <w:r w:rsidRPr="004E5E7B">
        <w:rPr>
          <w:rFonts w:ascii="仿宋_GB2312" w:eastAsia="仿宋_GB2312" w:hint="eastAsia"/>
          <w:sz w:val="30"/>
          <w:szCs w:val="30"/>
        </w:rPr>
        <w:t>至</w:t>
      </w:r>
      <w:r w:rsidR="0051598C">
        <w:rPr>
          <w:rFonts w:ascii="仿宋_GB2312" w:eastAsia="仿宋_GB2312" w:hint="eastAsia"/>
          <w:sz w:val="30"/>
          <w:szCs w:val="30"/>
        </w:rPr>
        <w:t>第</w:t>
      </w:r>
      <w:r w:rsidRPr="004E5E7B">
        <w:rPr>
          <w:rFonts w:ascii="仿宋_GB2312" w:eastAsia="仿宋_GB2312" w:hint="eastAsia"/>
          <w:sz w:val="30"/>
          <w:szCs w:val="30"/>
        </w:rPr>
        <w:t>四项方式取得的股份（含参与配股、增发、网下配售等取得的可流通未上市股份，通过股票期权业务、可转换债券转股、转融通归还等方式获得的股份）；</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（二）当日通过大宗交易方式获得的股份；</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（三）当日通过盘后固定价格交易方式获得的股份；</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（四）当日通过集中竞价交易方式获得的股份。</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当日前款所列第一</w:t>
      </w:r>
      <w:r w:rsidR="0051598C">
        <w:rPr>
          <w:rFonts w:ascii="仿宋_GB2312" w:eastAsia="仿宋_GB2312" w:hint="eastAsia"/>
          <w:sz w:val="30"/>
          <w:szCs w:val="30"/>
        </w:rPr>
        <w:t>项</w:t>
      </w:r>
      <w:r w:rsidRPr="004E5E7B">
        <w:rPr>
          <w:rFonts w:ascii="仿宋_GB2312" w:eastAsia="仿宋_GB2312" w:hint="eastAsia"/>
          <w:sz w:val="30"/>
          <w:szCs w:val="30"/>
        </w:rPr>
        <w:t>或第二</w:t>
      </w:r>
      <w:r>
        <w:rPr>
          <w:rFonts w:ascii="仿宋_GB2312" w:eastAsia="仿宋_GB2312" w:hint="eastAsia"/>
          <w:sz w:val="30"/>
          <w:szCs w:val="30"/>
        </w:rPr>
        <w:t>项</w:t>
      </w:r>
      <w:r w:rsidRPr="004E5E7B">
        <w:rPr>
          <w:rFonts w:ascii="仿宋_GB2312" w:eastAsia="仿宋_GB2312" w:hint="eastAsia"/>
          <w:sz w:val="30"/>
          <w:szCs w:val="30"/>
        </w:rPr>
        <w:t>股份数额超出当日合计应予平仓股份总额的，由各个合格境外投资者或其他境外投资者按照各自当日新增持有第一</w:t>
      </w:r>
      <w:r w:rsidR="0051598C">
        <w:rPr>
          <w:rFonts w:ascii="仿宋_GB2312" w:eastAsia="仿宋_GB2312" w:hint="eastAsia"/>
          <w:sz w:val="30"/>
          <w:szCs w:val="30"/>
        </w:rPr>
        <w:t>项</w:t>
      </w:r>
      <w:r w:rsidRPr="004E5E7B">
        <w:rPr>
          <w:rFonts w:ascii="仿宋_GB2312" w:eastAsia="仿宋_GB2312" w:hint="eastAsia"/>
          <w:sz w:val="30"/>
          <w:szCs w:val="30"/>
        </w:rPr>
        <w:t>或第二</w:t>
      </w:r>
      <w:r>
        <w:rPr>
          <w:rFonts w:ascii="仿宋_GB2312" w:eastAsia="仿宋_GB2312" w:hint="eastAsia"/>
          <w:sz w:val="30"/>
          <w:szCs w:val="30"/>
        </w:rPr>
        <w:t>项</w:t>
      </w:r>
      <w:r w:rsidRPr="004E5E7B">
        <w:rPr>
          <w:rFonts w:ascii="仿宋_GB2312" w:eastAsia="仿宋_GB2312" w:hint="eastAsia"/>
          <w:sz w:val="30"/>
          <w:szCs w:val="30"/>
        </w:rPr>
        <w:t>股份占所有合格境外投资者及其他境外投资者合计当日新增持有第一</w:t>
      </w:r>
      <w:r w:rsidR="0051598C">
        <w:rPr>
          <w:rFonts w:ascii="仿宋_GB2312" w:eastAsia="仿宋_GB2312" w:hint="eastAsia"/>
          <w:sz w:val="30"/>
          <w:szCs w:val="30"/>
        </w:rPr>
        <w:t>项</w:t>
      </w:r>
      <w:r w:rsidRPr="004E5E7B">
        <w:rPr>
          <w:rFonts w:ascii="仿宋_GB2312" w:eastAsia="仿宋_GB2312" w:hint="eastAsia"/>
          <w:sz w:val="30"/>
          <w:szCs w:val="30"/>
        </w:rPr>
        <w:t>或第二</w:t>
      </w:r>
      <w:r>
        <w:rPr>
          <w:rFonts w:ascii="仿宋_GB2312" w:eastAsia="仿宋_GB2312" w:hint="eastAsia"/>
          <w:sz w:val="30"/>
          <w:szCs w:val="30"/>
        </w:rPr>
        <w:t>项</w:t>
      </w:r>
      <w:r w:rsidRPr="004E5E7B">
        <w:rPr>
          <w:rFonts w:ascii="仿宋_GB2312" w:eastAsia="仿宋_GB2312" w:hint="eastAsia"/>
          <w:sz w:val="30"/>
          <w:szCs w:val="30"/>
        </w:rPr>
        <w:t>股份的比例进行平仓；第一</w:t>
      </w:r>
      <w:r w:rsidR="0051598C">
        <w:rPr>
          <w:rFonts w:ascii="仿宋_GB2312" w:eastAsia="仿宋_GB2312" w:hint="eastAsia"/>
          <w:sz w:val="30"/>
          <w:szCs w:val="30"/>
        </w:rPr>
        <w:t>项</w:t>
      </w:r>
      <w:r w:rsidRPr="004E5E7B">
        <w:rPr>
          <w:rFonts w:ascii="仿宋_GB2312" w:eastAsia="仿宋_GB2312" w:hint="eastAsia"/>
          <w:sz w:val="30"/>
          <w:szCs w:val="30"/>
        </w:rPr>
        <w:t>、</w:t>
      </w:r>
      <w:r w:rsidR="0051598C">
        <w:rPr>
          <w:rFonts w:ascii="仿宋_GB2312" w:eastAsia="仿宋_GB2312" w:hint="eastAsia"/>
          <w:sz w:val="30"/>
          <w:szCs w:val="30"/>
        </w:rPr>
        <w:t>第</w:t>
      </w:r>
      <w:r w:rsidRPr="004E5E7B">
        <w:rPr>
          <w:rFonts w:ascii="仿宋_GB2312" w:eastAsia="仿宋_GB2312" w:hint="eastAsia"/>
          <w:sz w:val="30"/>
          <w:szCs w:val="30"/>
        </w:rPr>
        <w:t>二</w:t>
      </w:r>
      <w:r>
        <w:rPr>
          <w:rFonts w:ascii="仿宋_GB2312" w:eastAsia="仿宋_GB2312" w:hint="eastAsia"/>
          <w:sz w:val="30"/>
          <w:szCs w:val="30"/>
        </w:rPr>
        <w:t>项</w:t>
      </w:r>
      <w:r w:rsidRPr="004E5E7B">
        <w:rPr>
          <w:rFonts w:ascii="仿宋_GB2312" w:eastAsia="仿宋_GB2312" w:hint="eastAsia"/>
          <w:sz w:val="30"/>
          <w:szCs w:val="30"/>
        </w:rPr>
        <w:t>股份总额不足合计应予平仓股份总额的，对第三</w:t>
      </w:r>
      <w:r w:rsidR="0051598C">
        <w:rPr>
          <w:rFonts w:ascii="仿宋_GB2312" w:eastAsia="仿宋_GB2312" w:hint="eastAsia"/>
          <w:sz w:val="30"/>
          <w:szCs w:val="30"/>
        </w:rPr>
        <w:t>项</w:t>
      </w:r>
      <w:r w:rsidRPr="004E5E7B">
        <w:rPr>
          <w:rFonts w:ascii="仿宋_GB2312" w:eastAsia="仿宋_GB2312" w:hint="eastAsia"/>
          <w:sz w:val="30"/>
          <w:szCs w:val="30"/>
        </w:rPr>
        <w:t>、</w:t>
      </w:r>
      <w:r w:rsidR="0051598C">
        <w:rPr>
          <w:rFonts w:ascii="仿宋_GB2312" w:eastAsia="仿宋_GB2312" w:hint="eastAsia"/>
          <w:sz w:val="30"/>
          <w:szCs w:val="30"/>
        </w:rPr>
        <w:t>第</w:t>
      </w:r>
      <w:r w:rsidRPr="004E5E7B">
        <w:rPr>
          <w:rFonts w:ascii="仿宋_GB2312" w:eastAsia="仿宋_GB2312" w:hint="eastAsia"/>
          <w:sz w:val="30"/>
          <w:szCs w:val="30"/>
        </w:rPr>
        <w:t>四</w:t>
      </w:r>
      <w:r>
        <w:rPr>
          <w:rFonts w:ascii="仿宋_GB2312" w:eastAsia="仿宋_GB2312" w:hint="eastAsia"/>
          <w:sz w:val="30"/>
          <w:szCs w:val="30"/>
        </w:rPr>
        <w:t>项</w:t>
      </w:r>
      <w:r w:rsidRPr="004E5E7B">
        <w:rPr>
          <w:rFonts w:ascii="仿宋_GB2312" w:eastAsia="仿宋_GB2312" w:hint="eastAsia"/>
          <w:sz w:val="30"/>
          <w:szCs w:val="30"/>
        </w:rPr>
        <w:t>股份按照后买先卖的原则确定平仓顺序。</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本所对股份减持另有规定的，平仓顺序的确定从其规定。</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其他投资者在5个交易日内自行减持等导致上述持股总数降至限定比例以下的，被通知减持的合格境外投资者或其他境外投资者可向本所申请继续持有原股份。</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w:t>
      </w:r>
      <w:r>
        <w:rPr>
          <w:rFonts w:ascii="仿宋_GB2312" w:eastAsia="仿宋_GB2312" w:hint="eastAsia"/>
          <w:sz w:val="30"/>
          <w:szCs w:val="30"/>
        </w:rPr>
        <w:t>十九</w:t>
      </w:r>
      <w:r w:rsidRPr="004E5E7B">
        <w:rPr>
          <w:rFonts w:ascii="仿宋_GB2312" w:eastAsia="仿宋_GB2312" w:hint="eastAsia"/>
          <w:sz w:val="30"/>
          <w:szCs w:val="30"/>
        </w:rPr>
        <w:t>条 因上市公司减少注册资本等原因，导致全部合格</w:t>
      </w:r>
      <w:r w:rsidRPr="004E5E7B">
        <w:rPr>
          <w:rFonts w:ascii="仿宋_GB2312" w:eastAsia="仿宋_GB2312" w:hint="eastAsia"/>
          <w:sz w:val="30"/>
          <w:szCs w:val="30"/>
        </w:rPr>
        <w:lastRenderedPageBreak/>
        <w:t>境外投资者及其他境外投资者合计持股比例被动超过30%的，合格境外投资者及其他境外投资者可以继续持有原股份，但不得继续增持，直至全部合格境外投资者及其他境外投资者合计持股比例低于30%后方可恢复增持。</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w:t>
      </w:r>
      <w:r>
        <w:rPr>
          <w:rFonts w:ascii="仿宋_GB2312" w:eastAsia="仿宋_GB2312" w:hint="eastAsia"/>
          <w:sz w:val="30"/>
          <w:szCs w:val="30"/>
        </w:rPr>
        <w:t>二十</w:t>
      </w:r>
      <w:r w:rsidRPr="004E5E7B">
        <w:rPr>
          <w:rFonts w:ascii="仿宋_GB2312" w:eastAsia="仿宋_GB2312" w:hint="eastAsia"/>
          <w:sz w:val="30"/>
          <w:szCs w:val="30"/>
        </w:rPr>
        <w:t>条 合格境外投资者协议转让所持上市公司股份的，按照上市公司股份协议转让相关业务规则办理。</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合格境外投资者因发生同一控制下变更业务开展主体、同一合格境外投资者调整账户安排、基金产品或账户变更管理人等情形，有助于提高投资运作效率或明晰账户结构的，可以按照证券登记结算机构的有关规定，办理证券非交易过户。</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第二十</w:t>
      </w:r>
      <w:r>
        <w:rPr>
          <w:rFonts w:ascii="仿宋_GB2312" w:eastAsia="仿宋_GB2312" w:hint="eastAsia"/>
          <w:sz w:val="30"/>
          <w:szCs w:val="30"/>
        </w:rPr>
        <w:t>一</w:t>
      </w:r>
      <w:r w:rsidRPr="004E5E7B">
        <w:rPr>
          <w:rFonts w:ascii="仿宋_GB2312" w:eastAsia="仿宋_GB2312" w:hint="eastAsia"/>
          <w:sz w:val="30"/>
          <w:szCs w:val="30"/>
        </w:rPr>
        <w:t>条 本所依法对合格境外投资者的证券及其衍生品种交易活动进行实时监控，对其异常交易行为予以监控分析。合格境外投资者出现异常交易行为或违法违规行为的，本所对其采取相应的监管措施或纪律处分，情节严重的，报中国证监会查处。</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第二十</w:t>
      </w:r>
      <w:r>
        <w:rPr>
          <w:rFonts w:ascii="仿宋_GB2312" w:eastAsia="仿宋_GB2312" w:hint="eastAsia"/>
          <w:sz w:val="30"/>
          <w:szCs w:val="30"/>
        </w:rPr>
        <w:t>二</w:t>
      </w:r>
      <w:r w:rsidRPr="004E5E7B">
        <w:rPr>
          <w:rFonts w:ascii="仿宋_GB2312" w:eastAsia="仿宋_GB2312" w:hint="eastAsia"/>
          <w:sz w:val="30"/>
          <w:szCs w:val="30"/>
        </w:rPr>
        <w:t>条 合格境外投资者违反持股比例限制，对超过持股限定比例的股份未按规定进行处理的，本所有权通知受托证券期货经营机构及托管人实施平仓，并可对该合格境外投资者采取监管措施或纪律处分，情节严重的，报中国证监会查处。</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第二十</w:t>
      </w:r>
      <w:r>
        <w:rPr>
          <w:rFonts w:ascii="仿宋_GB2312" w:eastAsia="仿宋_GB2312" w:hint="eastAsia"/>
          <w:sz w:val="30"/>
          <w:szCs w:val="30"/>
        </w:rPr>
        <w:t>三</w:t>
      </w:r>
      <w:r w:rsidRPr="004E5E7B">
        <w:rPr>
          <w:rFonts w:ascii="仿宋_GB2312" w:eastAsia="仿宋_GB2312" w:hint="eastAsia"/>
          <w:sz w:val="30"/>
          <w:szCs w:val="30"/>
        </w:rPr>
        <w:t>条 合格境外投资者出现以下情形的，本所可对其采取监管措施或纪律处分，情节严重的，报中国证监会查处：</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（一）未及时向本所报送有关信息；</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（二）未按规定履行信息披露义务；</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（三）未采取有效措施督促其名下的境外投资者按照规定履</w:t>
      </w:r>
      <w:r w:rsidRPr="004E5E7B">
        <w:rPr>
          <w:rFonts w:ascii="仿宋_GB2312" w:eastAsia="仿宋_GB2312" w:hint="eastAsia"/>
          <w:sz w:val="30"/>
          <w:szCs w:val="30"/>
        </w:rPr>
        <w:lastRenderedPageBreak/>
        <w:t>行平仓或信息披露等义务；</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（四）违反本</w:t>
      </w:r>
      <w:r>
        <w:rPr>
          <w:rFonts w:ascii="仿宋_GB2312" w:eastAsia="仿宋_GB2312" w:hint="eastAsia"/>
          <w:sz w:val="30"/>
          <w:szCs w:val="30"/>
        </w:rPr>
        <w:t>指引</w:t>
      </w:r>
      <w:r w:rsidRPr="004E5E7B">
        <w:rPr>
          <w:rFonts w:ascii="仿宋_GB2312" w:eastAsia="仿宋_GB2312" w:hint="eastAsia"/>
          <w:sz w:val="30"/>
          <w:szCs w:val="30"/>
        </w:rPr>
        <w:t>的其他规定。</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第二十</w:t>
      </w:r>
      <w:r>
        <w:rPr>
          <w:rFonts w:ascii="仿宋_GB2312" w:eastAsia="仿宋_GB2312" w:hint="eastAsia"/>
          <w:sz w:val="30"/>
          <w:szCs w:val="30"/>
        </w:rPr>
        <w:t>四</w:t>
      </w:r>
      <w:r w:rsidRPr="004E5E7B">
        <w:rPr>
          <w:rFonts w:ascii="仿宋_GB2312" w:eastAsia="仿宋_GB2312" w:hint="eastAsia"/>
          <w:sz w:val="30"/>
          <w:szCs w:val="30"/>
        </w:rPr>
        <w:t>条 合格境外投资者名下的境外投资者违反持股比例限制、信息披露要求或者本</w:t>
      </w:r>
      <w:r>
        <w:rPr>
          <w:rFonts w:ascii="仿宋_GB2312" w:eastAsia="仿宋_GB2312" w:hint="eastAsia"/>
          <w:sz w:val="30"/>
          <w:szCs w:val="30"/>
        </w:rPr>
        <w:t>指引</w:t>
      </w:r>
      <w:r w:rsidRPr="004E5E7B">
        <w:rPr>
          <w:rFonts w:ascii="仿宋_GB2312" w:eastAsia="仿宋_GB2312" w:hint="eastAsia"/>
          <w:sz w:val="30"/>
          <w:szCs w:val="30"/>
        </w:rPr>
        <w:t>其他规定的，本所可对该境外投资者采取监管措施或纪律处分，情节严重的，报中国证监会查处。</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第二十</w:t>
      </w:r>
      <w:r>
        <w:rPr>
          <w:rFonts w:ascii="仿宋_GB2312" w:eastAsia="仿宋_GB2312" w:hint="eastAsia"/>
          <w:sz w:val="30"/>
          <w:szCs w:val="30"/>
        </w:rPr>
        <w:t>五</w:t>
      </w:r>
      <w:r w:rsidRPr="004E5E7B">
        <w:rPr>
          <w:rFonts w:ascii="仿宋_GB2312" w:eastAsia="仿宋_GB2312" w:hint="eastAsia"/>
          <w:sz w:val="30"/>
          <w:szCs w:val="30"/>
        </w:rPr>
        <w:t>条 受托证券期货经营机构及托管人违反本</w:t>
      </w:r>
      <w:r>
        <w:rPr>
          <w:rFonts w:ascii="仿宋_GB2312" w:eastAsia="仿宋_GB2312" w:hint="eastAsia"/>
          <w:sz w:val="30"/>
          <w:szCs w:val="30"/>
        </w:rPr>
        <w:t>指引</w:t>
      </w:r>
      <w:r w:rsidRPr="004E5E7B">
        <w:rPr>
          <w:rFonts w:ascii="仿宋_GB2312" w:eastAsia="仿宋_GB2312" w:hint="eastAsia"/>
          <w:sz w:val="30"/>
          <w:szCs w:val="30"/>
        </w:rPr>
        <w:t>，未尽勤勉尽责义务的，本所有权依据有关业务规则的规定对其采取相应监管措施或纪律处分。</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第二十</w:t>
      </w:r>
      <w:r>
        <w:rPr>
          <w:rFonts w:ascii="仿宋_GB2312" w:eastAsia="仿宋_GB2312" w:hint="eastAsia"/>
          <w:sz w:val="30"/>
          <w:szCs w:val="30"/>
        </w:rPr>
        <w:t>六</w:t>
      </w:r>
      <w:r w:rsidRPr="004E5E7B">
        <w:rPr>
          <w:rFonts w:ascii="仿宋_GB2312" w:eastAsia="仿宋_GB2312" w:hint="eastAsia"/>
          <w:sz w:val="30"/>
          <w:szCs w:val="30"/>
        </w:rPr>
        <w:t>条 本</w:t>
      </w:r>
      <w:r>
        <w:rPr>
          <w:rFonts w:ascii="仿宋_GB2312" w:eastAsia="仿宋_GB2312" w:hint="eastAsia"/>
          <w:sz w:val="30"/>
          <w:szCs w:val="30"/>
        </w:rPr>
        <w:t>指引</w:t>
      </w:r>
      <w:r w:rsidRPr="004E5E7B">
        <w:rPr>
          <w:rFonts w:ascii="仿宋_GB2312" w:eastAsia="仿宋_GB2312" w:hint="eastAsia"/>
          <w:sz w:val="30"/>
          <w:szCs w:val="30"/>
        </w:rPr>
        <w:t>所称公司股份总数，是指上市公司人民币普通股票（A股）、人民币特种股票（B股）、境外上市股票（含H股）的股份数量之和。</w:t>
      </w:r>
    </w:p>
    <w:p w:rsidR="004C75A5" w:rsidRPr="004E5E7B" w:rsidRDefault="004C75A5" w:rsidP="004C75A5">
      <w:pPr>
        <w:adjustRightInd w:val="0"/>
        <w:snapToGrid w:val="0"/>
        <w:spacing w:line="600" w:lineRule="exact"/>
        <w:ind w:firstLineChars="200" w:firstLine="600"/>
        <w:rPr>
          <w:rFonts w:ascii="仿宋_GB2312" w:eastAsia="仿宋_GB2312"/>
          <w:sz w:val="30"/>
          <w:szCs w:val="30"/>
        </w:rPr>
      </w:pPr>
      <w:r w:rsidRPr="004E5E7B">
        <w:rPr>
          <w:rFonts w:ascii="仿宋_GB2312" w:eastAsia="仿宋_GB2312" w:hint="eastAsia"/>
          <w:sz w:val="30"/>
          <w:szCs w:val="30"/>
        </w:rPr>
        <w:t>第二十</w:t>
      </w:r>
      <w:r>
        <w:rPr>
          <w:rFonts w:ascii="仿宋_GB2312" w:eastAsia="仿宋_GB2312" w:hint="eastAsia"/>
          <w:sz w:val="30"/>
          <w:szCs w:val="30"/>
        </w:rPr>
        <w:t>七</w:t>
      </w:r>
      <w:r w:rsidRPr="004E5E7B">
        <w:rPr>
          <w:rFonts w:ascii="仿宋_GB2312" w:eastAsia="仿宋_GB2312" w:hint="eastAsia"/>
          <w:sz w:val="30"/>
          <w:szCs w:val="30"/>
        </w:rPr>
        <w:t>条 本</w:t>
      </w:r>
      <w:r>
        <w:rPr>
          <w:rFonts w:ascii="仿宋_GB2312" w:eastAsia="仿宋_GB2312" w:hint="eastAsia"/>
          <w:sz w:val="30"/>
          <w:szCs w:val="30"/>
        </w:rPr>
        <w:t>指引</w:t>
      </w:r>
      <w:r w:rsidRPr="004E5E7B">
        <w:rPr>
          <w:rFonts w:ascii="仿宋_GB2312" w:eastAsia="仿宋_GB2312" w:hint="eastAsia"/>
          <w:sz w:val="30"/>
          <w:szCs w:val="30"/>
        </w:rPr>
        <w:t>自</w:t>
      </w:r>
      <w:r>
        <w:rPr>
          <w:rFonts w:ascii="仿宋_GB2312" w:eastAsia="仿宋_GB2312" w:hint="eastAsia"/>
          <w:sz w:val="30"/>
          <w:szCs w:val="30"/>
        </w:rPr>
        <w:t>2020年11月1日</w:t>
      </w:r>
      <w:r w:rsidRPr="004E5E7B">
        <w:rPr>
          <w:rFonts w:ascii="仿宋_GB2312" w:eastAsia="仿宋_GB2312" w:hint="eastAsia"/>
          <w:sz w:val="30"/>
          <w:szCs w:val="30"/>
        </w:rPr>
        <w:t>起实施。本所于2014年1月13日发布的《关于加强合格境外机构投资者和人民币合格境外机构投资者证券交易行为管理有关事项的通知》、2014年3月19日发布的《上海证券交易所合格境外机构投资者和人民币合格境外机构投资者证券交易实施细则》同时废止。</w:t>
      </w:r>
    </w:p>
    <w:p w:rsidR="004C75A5" w:rsidRDefault="004C75A5" w:rsidP="004C75A5">
      <w:pPr>
        <w:adjustRightInd w:val="0"/>
        <w:snapToGrid w:val="0"/>
        <w:spacing w:line="600" w:lineRule="exact"/>
        <w:ind w:firstLineChars="200" w:firstLine="600"/>
        <w:rPr>
          <w:rFonts w:ascii="仿宋_GB2312" w:eastAsia="仿宋_GB2312" w:hAnsi="微软雅黑" w:cs="宋体"/>
          <w:color w:val="000000"/>
          <w:kern w:val="0"/>
          <w:sz w:val="30"/>
          <w:szCs w:val="30"/>
        </w:rPr>
      </w:pPr>
      <w:r w:rsidRPr="004E5E7B">
        <w:rPr>
          <w:rFonts w:ascii="仿宋_GB2312" w:eastAsia="仿宋_GB2312" w:hint="eastAsia"/>
          <w:sz w:val="30"/>
          <w:szCs w:val="30"/>
        </w:rPr>
        <w:t>第二十</w:t>
      </w:r>
      <w:r>
        <w:rPr>
          <w:rFonts w:ascii="仿宋_GB2312" w:eastAsia="仿宋_GB2312" w:hint="eastAsia"/>
          <w:sz w:val="30"/>
          <w:szCs w:val="30"/>
        </w:rPr>
        <w:t>八</w:t>
      </w:r>
      <w:r w:rsidRPr="004E5E7B">
        <w:rPr>
          <w:rFonts w:ascii="仿宋_GB2312" w:eastAsia="仿宋_GB2312" w:hint="eastAsia"/>
          <w:sz w:val="30"/>
          <w:szCs w:val="30"/>
        </w:rPr>
        <w:t>条 本</w:t>
      </w:r>
      <w:r>
        <w:rPr>
          <w:rFonts w:ascii="仿宋_GB2312" w:eastAsia="仿宋_GB2312" w:hint="eastAsia"/>
          <w:sz w:val="30"/>
          <w:szCs w:val="30"/>
        </w:rPr>
        <w:t>指引</w:t>
      </w:r>
      <w:r w:rsidRPr="004E5E7B">
        <w:rPr>
          <w:rFonts w:ascii="仿宋_GB2312" w:eastAsia="仿宋_GB2312" w:hint="eastAsia"/>
          <w:sz w:val="30"/>
          <w:szCs w:val="30"/>
        </w:rPr>
        <w:t>由本所负责解释。</w:t>
      </w:r>
    </w:p>
    <w:p w:rsidR="00141A5B" w:rsidRPr="004C75A5" w:rsidRDefault="00141A5B" w:rsidP="004C75A5">
      <w:pPr>
        <w:spacing w:line="600" w:lineRule="exact"/>
        <w:rPr>
          <w:rFonts w:ascii="仿宋_GB2312" w:eastAsia="仿宋_GB2312" w:hint="eastAsia"/>
          <w:b/>
          <w:bCs/>
          <w:color w:val="000000"/>
          <w:sz w:val="30"/>
          <w:szCs w:val="30"/>
        </w:rPr>
      </w:pPr>
    </w:p>
    <w:sectPr w:rsidR="00141A5B" w:rsidRPr="004C75A5"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B70" w:rsidRDefault="005A4B70">
      <w:r>
        <w:separator/>
      </w:r>
    </w:p>
  </w:endnote>
  <w:endnote w:type="continuationSeparator" w:id="1">
    <w:p w:rsidR="005A4B70" w:rsidRDefault="005A4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汉仪中等线简">
    <w:altName w:val="Arial Unicode MS"/>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等线">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4A358D">
      <w:rPr>
        <w:noProof/>
        <w:sz w:val="28"/>
      </w:rPr>
      <w:t>8</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4A358D">
      <w:rPr>
        <w:noProof/>
        <w:sz w:val="28"/>
      </w:rPr>
      <w:t>7</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B70" w:rsidRDefault="005A4B70">
      <w:r>
        <w:separator/>
      </w:r>
    </w:p>
  </w:footnote>
  <w:footnote w:type="continuationSeparator" w:id="1">
    <w:p w:rsidR="005A4B70" w:rsidRDefault="005A4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101C2295"/>
    <w:multiLevelType w:val="hybridMultilevel"/>
    <w:tmpl w:val="B91C010C"/>
    <w:lvl w:ilvl="0" w:tplc="04090013">
      <w:start w:val="1"/>
      <w:numFmt w:val="chineseCountingThousand"/>
      <w:lvlText w:val="%1、"/>
      <w:lvlJc w:val="left"/>
      <w:pPr>
        <w:ind w:left="4389"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8">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9">
    <w:nsid w:val="1F6E03AB"/>
    <w:multiLevelType w:val="hybridMultilevel"/>
    <w:tmpl w:val="EE8611B8"/>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0433F08"/>
    <w:multiLevelType w:val="hybridMultilevel"/>
    <w:tmpl w:val="A028A712"/>
    <w:lvl w:ilvl="0" w:tplc="7668053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12">
    <w:nsid w:val="6BA45391"/>
    <w:multiLevelType w:val="hybridMultilevel"/>
    <w:tmpl w:val="7D76868E"/>
    <w:lvl w:ilvl="0" w:tplc="5444462A">
      <w:start w:val="1"/>
      <w:numFmt w:val="japaneseCounting"/>
      <w:lvlText w:val="第%1条"/>
      <w:lvlJc w:val="left"/>
      <w:pPr>
        <w:ind w:left="1617" w:hanging="1050"/>
      </w:pPr>
      <w:rPr>
        <w:rFonts w:ascii="仿宋_GB2312" w:eastAsia="仿宋_GB2312" w:hint="default"/>
        <w:b w:val="0"/>
        <w:bCs/>
        <w:sz w:val="30"/>
        <w:lang w:val="en-US"/>
      </w:rPr>
    </w:lvl>
    <w:lvl w:ilvl="1" w:tplc="04090019" w:tentative="1">
      <w:start w:val="1"/>
      <w:numFmt w:val="lowerLetter"/>
      <w:lvlText w:val="%2)"/>
      <w:lvlJc w:val="left"/>
      <w:pPr>
        <w:ind w:left="-5823" w:hanging="420"/>
      </w:pPr>
    </w:lvl>
    <w:lvl w:ilvl="2" w:tplc="0409001B" w:tentative="1">
      <w:start w:val="1"/>
      <w:numFmt w:val="lowerRoman"/>
      <w:lvlText w:val="%3."/>
      <w:lvlJc w:val="right"/>
      <w:pPr>
        <w:ind w:left="-5403" w:hanging="420"/>
      </w:pPr>
    </w:lvl>
    <w:lvl w:ilvl="3" w:tplc="0409000F" w:tentative="1">
      <w:start w:val="1"/>
      <w:numFmt w:val="decimal"/>
      <w:lvlText w:val="%4."/>
      <w:lvlJc w:val="left"/>
      <w:pPr>
        <w:ind w:left="-4983" w:hanging="420"/>
      </w:pPr>
    </w:lvl>
    <w:lvl w:ilvl="4" w:tplc="04090019" w:tentative="1">
      <w:start w:val="1"/>
      <w:numFmt w:val="lowerLetter"/>
      <w:lvlText w:val="%5)"/>
      <w:lvlJc w:val="left"/>
      <w:pPr>
        <w:ind w:left="-4563" w:hanging="420"/>
      </w:pPr>
    </w:lvl>
    <w:lvl w:ilvl="5" w:tplc="0409001B" w:tentative="1">
      <w:start w:val="1"/>
      <w:numFmt w:val="lowerRoman"/>
      <w:lvlText w:val="%6."/>
      <w:lvlJc w:val="right"/>
      <w:pPr>
        <w:ind w:left="-4143" w:hanging="420"/>
      </w:pPr>
    </w:lvl>
    <w:lvl w:ilvl="6" w:tplc="0409000F" w:tentative="1">
      <w:start w:val="1"/>
      <w:numFmt w:val="decimal"/>
      <w:lvlText w:val="%7."/>
      <w:lvlJc w:val="left"/>
      <w:pPr>
        <w:ind w:left="-3723" w:hanging="420"/>
      </w:pPr>
    </w:lvl>
    <w:lvl w:ilvl="7" w:tplc="04090019" w:tentative="1">
      <w:start w:val="1"/>
      <w:numFmt w:val="lowerLetter"/>
      <w:lvlText w:val="%8)"/>
      <w:lvlJc w:val="left"/>
      <w:pPr>
        <w:ind w:left="-3303" w:hanging="420"/>
      </w:pPr>
    </w:lvl>
    <w:lvl w:ilvl="8" w:tplc="0409001B" w:tentative="1">
      <w:start w:val="1"/>
      <w:numFmt w:val="lowerRoman"/>
      <w:lvlText w:val="%9."/>
      <w:lvlJc w:val="right"/>
      <w:pPr>
        <w:ind w:left="-2883" w:hanging="420"/>
      </w:pPr>
    </w:lvl>
  </w:abstractNum>
  <w:abstractNum w:abstractNumId="13">
    <w:nsid w:val="7A2E7D29"/>
    <w:multiLevelType w:val="hybridMultilevel"/>
    <w:tmpl w:val="E0BADC4A"/>
    <w:lvl w:ilvl="0" w:tplc="2204520C">
      <w:start w:val="66"/>
      <w:numFmt w:val="chineseCountingThousand"/>
      <w:lvlText w:val="第%1条"/>
      <w:lvlJc w:val="left"/>
      <w:pPr>
        <w:ind w:left="1500" w:hanging="420"/>
      </w:pPr>
      <w:rPr>
        <w:rFonts w:ascii="仿宋_GB2312" w:eastAsia="仿宋_GB2312" w:cs="Times New Roman" w:hint="eastAsia"/>
        <w:b/>
        <w:color w:val="auto"/>
        <w:sz w:val="30"/>
        <w:szCs w:val="3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11"/>
  </w:num>
  <w:num w:numId="4">
    <w:abstractNumId w:val="0"/>
  </w:num>
  <w:num w:numId="5">
    <w:abstractNumId w:val="13"/>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0"/>
  </w:num>
  <w:num w:numId="10">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B4B"/>
    <w:rsid w:val="00001C7D"/>
    <w:rsid w:val="00004247"/>
    <w:rsid w:val="00007153"/>
    <w:rsid w:val="000123C7"/>
    <w:rsid w:val="00015CF8"/>
    <w:rsid w:val="00023C6B"/>
    <w:rsid w:val="00023D06"/>
    <w:rsid w:val="00024D17"/>
    <w:rsid w:val="00025A12"/>
    <w:rsid w:val="00025D14"/>
    <w:rsid w:val="00030A3E"/>
    <w:rsid w:val="00032A04"/>
    <w:rsid w:val="00034D02"/>
    <w:rsid w:val="000373C8"/>
    <w:rsid w:val="00040EBC"/>
    <w:rsid w:val="00041A60"/>
    <w:rsid w:val="00042926"/>
    <w:rsid w:val="000432C6"/>
    <w:rsid w:val="00044E84"/>
    <w:rsid w:val="00045B5A"/>
    <w:rsid w:val="00052CA3"/>
    <w:rsid w:val="00055B23"/>
    <w:rsid w:val="00055D8A"/>
    <w:rsid w:val="00056418"/>
    <w:rsid w:val="000575D2"/>
    <w:rsid w:val="00057D6A"/>
    <w:rsid w:val="0006008F"/>
    <w:rsid w:val="00060722"/>
    <w:rsid w:val="00065144"/>
    <w:rsid w:val="00065822"/>
    <w:rsid w:val="00066E70"/>
    <w:rsid w:val="00067FF1"/>
    <w:rsid w:val="000715CD"/>
    <w:rsid w:val="00072088"/>
    <w:rsid w:val="000747FA"/>
    <w:rsid w:val="00075702"/>
    <w:rsid w:val="0007649E"/>
    <w:rsid w:val="00076F96"/>
    <w:rsid w:val="00081D93"/>
    <w:rsid w:val="000825BD"/>
    <w:rsid w:val="000829BB"/>
    <w:rsid w:val="00084847"/>
    <w:rsid w:val="0008558C"/>
    <w:rsid w:val="0008603B"/>
    <w:rsid w:val="00092467"/>
    <w:rsid w:val="000926AA"/>
    <w:rsid w:val="000932C8"/>
    <w:rsid w:val="00094F31"/>
    <w:rsid w:val="000A2AE9"/>
    <w:rsid w:val="000A36F5"/>
    <w:rsid w:val="000A3859"/>
    <w:rsid w:val="000A4874"/>
    <w:rsid w:val="000A4E05"/>
    <w:rsid w:val="000A5BC9"/>
    <w:rsid w:val="000A5CA0"/>
    <w:rsid w:val="000A78EC"/>
    <w:rsid w:val="000B135F"/>
    <w:rsid w:val="000B19DE"/>
    <w:rsid w:val="000B1C87"/>
    <w:rsid w:val="000B1CA3"/>
    <w:rsid w:val="000B2003"/>
    <w:rsid w:val="000B233F"/>
    <w:rsid w:val="000D3E58"/>
    <w:rsid w:val="000D5E80"/>
    <w:rsid w:val="000E0C54"/>
    <w:rsid w:val="000E0F35"/>
    <w:rsid w:val="000E1D7A"/>
    <w:rsid w:val="000E28C6"/>
    <w:rsid w:val="000E3BF1"/>
    <w:rsid w:val="000E75BE"/>
    <w:rsid w:val="000E7A26"/>
    <w:rsid w:val="000E7A4C"/>
    <w:rsid w:val="000F1729"/>
    <w:rsid w:val="000F234A"/>
    <w:rsid w:val="000F3A20"/>
    <w:rsid w:val="000F3DDE"/>
    <w:rsid w:val="000F52A2"/>
    <w:rsid w:val="000F7690"/>
    <w:rsid w:val="00103077"/>
    <w:rsid w:val="00104481"/>
    <w:rsid w:val="0010553A"/>
    <w:rsid w:val="00106537"/>
    <w:rsid w:val="00106E5E"/>
    <w:rsid w:val="00112324"/>
    <w:rsid w:val="0011790D"/>
    <w:rsid w:val="00120EA1"/>
    <w:rsid w:val="00121D8C"/>
    <w:rsid w:val="00126898"/>
    <w:rsid w:val="00127BB8"/>
    <w:rsid w:val="001303BE"/>
    <w:rsid w:val="001313FC"/>
    <w:rsid w:val="001320F9"/>
    <w:rsid w:val="0013265E"/>
    <w:rsid w:val="00132F87"/>
    <w:rsid w:val="00135048"/>
    <w:rsid w:val="00135676"/>
    <w:rsid w:val="00136D79"/>
    <w:rsid w:val="00136E1D"/>
    <w:rsid w:val="00141A5B"/>
    <w:rsid w:val="00143741"/>
    <w:rsid w:val="00144741"/>
    <w:rsid w:val="00145463"/>
    <w:rsid w:val="00145E5C"/>
    <w:rsid w:val="00152423"/>
    <w:rsid w:val="00156E9B"/>
    <w:rsid w:val="001607D9"/>
    <w:rsid w:val="00160C0B"/>
    <w:rsid w:val="0016249D"/>
    <w:rsid w:val="001628DD"/>
    <w:rsid w:val="00162B2D"/>
    <w:rsid w:val="001636A4"/>
    <w:rsid w:val="00163F0D"/>
    <w:rsid w:val="00165363"/>
    <w:rsid w:val="001675AF"/>
    <w:rsid w:val="0017731B"/>
    <w:rsid w:val="00177844"/>
    <w:rsid w:val="00185194"/>
    <w:rsid w:val="00186386"/>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7F0"/>
    <w:rsid w:val="001E2BC7"/>
    <w:rsid w:val="001E2F7B"/>
    <w:rsid w:val="001E52DC"/>
    <w:rsid w:val="001E53A2"/>
    <w:rsid w:val="001E55F0"/>
    <w:rsid w:val="001E594A"/>
    <w:rsid w:val="001E7729"/>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0E4E"/>
    <w:rsid w:val="00232702"/>
    <w:rsid w:val="00232F16"/>
    <w:rsid w:val="00233149"/>
    <w:rsid w:val="002344BE"/>
    <w:rsid w:val="00234A4F"/>
    <w:rsid w:val="00234E30"/>
    <w:rsid w:val="00235263"/>
    <w:rsid w:val="00240656"/>
    <w:rsid w:val="00241C94"/>
    <w:rsid w:val="002436E6"/>
    <w:rsid w:val="00243E11"/>
    <w:rsid w:val="002441E9"/>
    <w:rsid w:val="00244718"/>
    <w:rsid w:val="00245FED"/>
    <w:rsid w:val="00247A8F"/>
    <w:rsid w:val="002549B0"/>
    <w:rsid w:val="00256A60"/>
    <w:rsid w:val="00260879"/>
    <w:rsid w:val="00260FCD"/>
    <w:rsid w:val="002616D1"/>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CBD"/>
    <w:rsid w:val="00275FED"/>
    <w:rsid w:val="00277FFE"/>
    <w:rsid w:val="00280575"/>
    <w:rsid w:val="00281615"/>
    <w:rsid w:val="002839B7"/>
    <w:rsid w:val="0028470E"/>
    <w:rsid w:val="002850BA"/>
    <w:rsid w:val="00291DB3"/>
    <w:rsid w:val="002939FC"/>
    <w:rsid w:val="002948E6"/>
    <w:rsid w:val="00294A2C"/>
    <w:rsid w:val="00296697"/>
    <w:rsid w:val="002A028B"/>
    <w:rsid w:val="002A0319"/>
    <w:rsid w:val="002A0A0B"/>
    <w:rsid w:val="002A0FC5"/>
    <w:rsid w:val="002A239C"/>
    <w:rsid w:val="002A3524"/>
    <w:rsid w:val="002A38C3"/>
    <w:rsid w:val="002A5B12"/>
    <w:rsid w:val="002A7D56"/>
    <w:rsid w:val="002B0D2D"/>
    <w:rsid w:val="002B1931"/>
    <w:rsid w:val="002B34E9"/>
    <w:rsid w:val="002B3909"/>
    <w:rsid w:val="002B7FB9"/>
    <w:rsid w:val="002C44E0"/>
    <w:rsid w:val="002C5145"/>
    <w:rsid w:val="002C7AC9"/>
    <w:rsid w:val="002C7EF9"/>
    <w:rsid w:val="002D03C3"/>
    <w:rsid w:val="002D247D"/>
    <w:rsid w:val="002D5D60"/>
    <w:rsid w:val="002D7AA5"/>
    <w:rsid w:val="002E07CD"/>
    <w:rsid w:val="002E2810"/>
    <w:rsid w:val="002E2C77"/>
    <w:rsid w:val="002E3469"/>
    <w:rsid w:val="002E42D0"/>
    <w:rsid w:val="002E4C05"/>
    <w:rsid w:val="002E4D4C"/>
    <w:rsid w:val="002E7143"/>
    <w:rsid w:val="002E7C38"/>
    <w:rsid w:val="002F0D79"/>
    <w:rsid w:val="002F19CD"/>
    <w:rsid w:val="002F3D59"/>
    <w:rsid w:val="002F6B5E"/>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6C6B"/>
    <w:rsid w:val="00327E4E"/>
    <w:rsid w:val="003317AD"/>
    <w:rsid w:val="00333B5A"/>
    <w:rsid w:val="003369A0"/>
    <w:rsid w:val="0034251F"/>
    <w:rsid w:val="00343987"/>
    <w:rsid w:val="003459FC"/>
    <w:rsid w:val="00350A49"/>
    <w:rsid w:val="0035170E"/>
    <w:rsid w:val="0035204B"/>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2BD"/>
    <w:rsid w:val="003714B3"/>
    <w:rsid w:val="003721BA"/>
    <w:rsid w:val="0037348E"/>
    <w:rsid w:val="00373B90"/>
    <w:rsid w:val="00375CB8"/>
    <w:rsid w:val="003825B7"/>
    <w:rsid w:val="003844D8"/>
    <w:rsid w:val="0038457C"/>
    <w:rsid w:val="00386A61"/>
    <w:rsid w:val="0038722F"/>
    <w:rsid w:val="00387B66"/>
    <w:rsid w:val="0039017A"/>
    <w:rsid w:val="003935C7"/>
    <w:rsid w:val="00393AC8"/>
    <w:rsid w:val="00397420"/>
    <w:rsid w:val="003A2017"/>
    <w:rsid w:val="003A4275"/>
    <w:rsid w:val="003A46E9"/>
    <w:rsid w:val="003A4957"/>
    <w:rsid w:val="003A5630"/>
    <w:rsid w:val="003A5A71"/>
    <w:rsid w:val="003A646D"/>
    <w:rsid w:val="003B1962"/>
    <w:rsid w:val="003B1B87"/>
    <w:rsid w:val="003B1ED9"/>
    <w:rsid w:val="003B2F8E"/>
    <w:rsid w:val="003B45A3"/>
    <w:rsid w:val="003B6094"/>
    <w:rsid w:val="003B65E2"/>
    <w:rsid w:val="003B7D3A"/>
    <w:rsid w:val="003C23AD"/>
    <w:rsid w:val="003C293C"/>
    <w:rsid w:val="003C37A4"/>
    <w:rsid w:val="003C37A5"/>
    <w:rsid w:val="003C5E90"/>
    <w:rsid w:val="003C7171"/>
    <w:rsid w:val="003D24C9"/>
    <w:rsid w:val="003D3027"/>
    <w:rsid w:val="003D4890"/>
    <w:rsid w:val="003D5445"/>
    <w:rsid w:val="003D73C7"/>
    <w:rsid w:val="003D7920"/>
    <w:rsid w:val="003E06D1"/>
    <w:rsid w:val="003E100F"/>
    <w:rsid w:val="003E75F6"/>
    <w:rsid w:val="003E785F"/>
    <w:rsid w:val="003F318F"/>
    <w:rsid w:val="003F6CCE"/>
    <w:rsid w:val="0040193F"/>
    <w:rsid w:val="00401D7B"/>
    <w:rsid w:val="00401ED0"/>
    <w:rsid w:val="004050CB"/>
    <w:rsid w:val="0040559C"/>
    <w:rsid w:val="00412C9B"/>
    <w:rsid w:val="0041372A"/>
    <w:rsid w:val="00413BDA"/>
    <w:rsid w:val="00414DA6"/>
    <w:rsid w:val="004156A9"/>
    <w:rsid w:val="00415ABF"/>
    <w:rsid w:val="004161E0"/>
    <w:rsid w:val="0041714A"/>
    <w:rsid w:val="004221B0"/>
    <w:rsid w:val="004223D9"/>
    <w:rsid w:val="004235D3"/>
    <w:rsid w:val="0042579A"/>
    <w:rsid w:val="00425B16"/>
    <w:rsid w:val="0042799E"/>
    <w:rsid w:val="004318A5"/>
    <w:rsid w:val="00433D0E"/>
    <w:rsid w:val="004342BF"/>
    <w:rsid w:val="004347DB"/>
    <w:rsid w:val="0043610F"/>
    <w:rsid w:val="00436F3C"/>
    <w:rsid w:val="00440411"/>
    <w:rsid w:val="004473CB"/>
    <w:rsid w:val="004503F5"/>
    <w:rsid w:val="00450748"/>
    <w:rsid w:val="004512D0"/>
    <w:rsid w:val="00451DE9"/>
    <w:rsid w:val="00454698"/>
    <w:rsid w:val="00455485"/>
    <w:rsid w:val="00456542"/>
    <w:rsid w:val="00456CC6"/>
    <w:rsid w:val="00460CC9"/>
    <w:rsid w:val="00461CCC"/>
    <w:rsid w:val="00462577"/>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358D"/>
    <w:rsid w:val="004A4E70"/>
    <w:rsid w:val="004A7413"/>
    <w:rsid w:val="004B02FE"/>
    <w:rsid w:val="004B093C"/>
    <w:rsid w:val="004B2CC4"/>
    <w:rsid w:val="004B7CA4"/>
    <w:rsid w:val="004C19B8"/>
    <w:rsid w:val="004C2EB9"/>
    <w:rsid w:val="004C3061"/>
    <w:rsid w:val="004C30AE"/>
    <w:rsid w:val="004C36A0"/>
    <w:rsid w:val="004C3E81"/>
    <w:rsid w:val="004C5C9E"/>
    <w:rsid w:val="004C6332"/>
    <w:rsid w:val="004C75A5"/>
    <w:rsid w:val="004C7695"/>
    <w:rsid w:val="004C7A14"/>
    <w:rsid w:val="004D006C"/>
    <w:rsid w:val="004D192C"/>
    <w:rsid w:val="004D2769"/>
    <w:rsid w:val="004D3CA9"/>
    <w:rsid w:val="004D3EE9"/>
    <w:rsid w:val="004D56FB"/>
    <w:rsid w:val="004D5968"/>
    <w:rsid w:val="004E3143"/>
    <w:rsid w:val="004E46A0"/>
    <w:rsid w:val="004E60FA"/>
    <w:rsid w:val="004E70D1"/>
    <w:rsid w:val="004F0560"/>
    <w:rsid w:val="004F0E96"/>
    <w:rsid w:val="004F282C"/>
    <w:rsid w:val="005012B2"/>
    <w:rsid w:val="00501E8E"/>
    <w:rsid w:val="00502B77"/>
    <w:rsid w:val="0050608F"/>
    <w:rsid w:val="00506CFA"/>
    <w:rsid w:val="00511DA3"/>
    <w:rsid w:val="00514115"/>
    <w:rsid w:val="00515589"/>
    <w:rsid w:val="0051598C"/>
    <w:rsid w:val="005166C5"/>
    <w:rsid w:val="00524254"/>
    <w:rsid w:val="00524516"/>
    <w:rsid w:val="0052596B"/>
    <w:rsid w:val="005267E3"/>
    <w:rsid w:val="005269DB"/>
    <w:rsid w:val="00526EC7"/>
    <w:rsid w:val="00530BB1"/>
    <w:rsid w:val="0053123E"/>
    <w:rsid w:val="0053175B"/>
    <w:rsid w:val="00531853"/>
    <w:rsid w:val="00532C03"/>
    <w:rsid w:val="0053321A"/>
    <w:rsid w:val="0053655F"/>
    <w:rsid w:val="00537B28"/>
    <w:rsid w:val="00540E15"/>
    <w:rsid w:val="00542AD1"/>
    <w:rsid w:val="00545E78"/>
    <w:rsid w:val="00546621"/>
    <w:rsid w:val="0055053A"/>
    <w:rsid w:val="00550946"/>
    <w:rsid w:val="00551C59"/>
    <w:rsid w:val="00556AC5"/>
    <w:rsid w:val="00556F5A"/>
    <w:rsid w:val="00557DDC"/>
    <w:rsid w:val="00557E04"/>
    <w:rsid w:val="00560769"/>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7C58"/>
    <w:rsid w:val="005A0248"/>
    <w:rsid w:val="005A4B70"/>
    <w:rsid w:val="005A729C"/>
    <w:rsid w:val="005B0A0A"/>
    <w:rsid w:val="005B1EF7"/>
    <w:rsid w:val="005B3346"/>
    <w:rsid w:val="005B4A0C"/>
    <w:rsid w:val="005B73E7"/>
    <w:rsid w:val="005B740A"/>
    <w:rsid w:val="005C0AA5"/>
    <w:rsid w:val="005C1D93"/>
    <w:rsid w:val="005C2403"/>
    <w:rsid w:val="005C533A"/>
    <w:rsid w:val="005C7940"/>
    <w:rsid w:val="005D1E77"/>
    <w:rsid w:val="005D34F3"/>
    <w:rsid w:val="005D655A"/>
    <w:rsid w:val="005E4BD1"/>
    <w:rsid w:val="005E6B96"/>
    <w:rsid w:val="005E6D26"/>
    <w:rsid w:val="005F0B5C"/>
    <w:rsid w:val="005F1000"/>
    <w:rsid w:val="005F5CEB"/>
    <w:rsid w:val="006012ED"/>
    <w:rsid w:val="00604249"/>
    <w:rsid w:val="006046F4"/>
    <w:rsid w:val="00604D58"/>
    <w:rsid w:val="00607B22"/>
    <w:rsid w:val="00612558"/>
    <w:rsid w:val="00613446"/>
    <w:rsid w:val="006160EB"/>
    <w:rsid w:val="006224DE"/>
    <w:rsid w:val="006226D3"/>
    <w:rsid w:val="00622999"/>
    <w:rsid w:val="00623FA3"/>
    <w:rsid w:val="006252D0"/>
    <w:rsid w:val="00625B9F"/>
    <w:rsid w:val="0062772F"/>
    <w:rsid w:val="0062773F"/>
    <w:rsid w:val="00631857"/>
    <w:rsid w:val="006322C3"/>
    <w:rsid w:val="00634068"/>
    <w:rsid w:val="006347CB"/>
    <w:rsid w:val="0063617D"/>
    <w:rsid w:val="00636194"/>
    <w:rsid w:val="00636241"/>
    <w:rsid w:val="0063648A"/>
    <w:rsid w:val="0063751D"/>
    <w:rsid w:val="00637B93"/>
    <w:rsid w:val="00640955"/>
    <w:rsid w:val="006411B0"/>
    <w:rsid w:val="00642F6C"/>
    <w:rsid w:val="006430C3"/>
    <w:rsid w:val="006456C3"/>
    <w:rsid w:val="00647D43"/>
    <w:rsid w:val="00650F2C"/>
    <w:rsid w:val="00651302"/>
    <w:rsid w:val="00651BDA"/>
    <w:rsid w:val="006523DE"/>
    <w:rsid w:val="00652A6C"/>
    <w:rsid w:val="0065306F"/>
    <w:rsid w:val="00653332"/>
    <w:rsid w:val="00653F39"/>
    <w:rsid w:val="00656373"/>
    <w:rsid w:val="00657D26"/>
    <w:rsid w:val="00660EA6"/>
    <w:rsid w:val="00660ED0"/>
    <w:rsid w:val="00661A30"/>
    <w:rsid w:val="006626EC"/>
    <w:rsid w:val="006634DC"/>
    <w:rsid w:val="00663BF9"/>
    <w:rsid w:val="006643A1"/>
    <w:rsid w:val="00664A78"/>
    <w:rsid w:val="0066604E"/>
    <w:rsid w:val="00675DA4"/>
    <w:rsid w:val="0067618A"/>
    <w:rsid w:val="006774D8"/>
    <w:rsid w:val="00677C37"/>
    <w:rsid w:val="00687AD3"/>
    <w:rsid w:val="00687B1F"/>
    <w:rsid w:val="006942A0"/>
    <w:rsid w:val="006950E9"/>
    <w:rsid w:val="00695BE1"/>
    <w:rsid w:val="006A0837"/>
    <w:rsid w:val="006A1C89"/>
    <w:rsid w:val="006A2EFC"/>
    <w:rsid w:val="006A5E0F"/>
    <w:rsid w:val="006B12E3"/>
    <w:rsid w:val="006B1CB8"/>
    <w:rsid w:val="006B212A"/>
    <w:rsid w:val="006B309B"/>
    <w:rsid w:val="006B3B78"/>
    <w:rsid w:val="006B3EFA"/>
    <w:rsid w:val="006B42DD"/>
    <w:rsid w:val="006B71BA"/>
    <w:rsid w:val="006B7AD2"/>
    <w:rsid w:val="006C271C"/>
    <w:rsid w:val="006C4D4D"/>
    <w:rsid w:val="006C4F79"/>
    <w:rsid w:val="006C7059"/>
    <w:rsid w:val="006D070F"/>
    <w:rsid w:val="006D46CE"/>
    <w:rsid w:val="006D5D36"/>
    <w:rsid w:val="006D77DA"/>
    <w:rsid w:val="006E1373"/>
    <w:rsid w:val="006E1852"/>
    <w:rsid w:val="006E2493"/>
    <w:rsid w:val="006E3C7D"/>
    <w:rsid w:val="006E3D07"/>
    <w:rsid w:val="006E43AF"/>
    <w:rsid w:val="006E53B6"/>
    <w:rsid w:val="006F0FD0"/>
    <w:rsid w:val="006F1AC8"/>
    <w:rsid w:val="006F2772"/>
    <w:rsid w:val="006F3EC4"/>
    <w:rsid w:val="006F4002"/>
    <w:rsid w:val="006F4BC0"/>
    <w:rsid w:val="006F76EC"/>
    <w:rsid w:val="00700E2A"/>
    <w:rsid w:val="00700EDE"/>
    <w:rsid w:val="00701434"/>
    <w:rsid w:val="00702262"/>
    <w:rsid w:val="00702B5A"/>
    <w:rsid w:val="00702F9F"/>
    <w:rsid w:val="00706175"/>
    <w:rsid w:val="0071240E"/>
    <w:rsid w:val="0071283D"/>
    <w:rsid w:val="00712F62"/>
    <w:rsid w:val="00713A56"/>
    <w:rsid w:val="00714813"/>
    <w:rsid w:val="0071491B"/>
    <w:rsid w:val="00717276"/>
    <w:rsid w:val="007202D5"/>
    <w:rsid w:val="0072046E"/>
    <w:rsid w:val="007222DB"/>
    <w:rsid w:val="0072316A"/>
    <w:rsid w:val="0073155B"/>
    <w:rsid w:val="007315AB"/>
    <w:rsid w:val="00733A2F"/>
    <w:rsid w:val="00737001"/>
    <w:rsid w:val="00737881"/>
    <w:rsid w:val="00737B33"/>
    <w:rsid w:val="0074005F"/>
    <w:rsid w:val="0074121D"/>
    <w:rsid w:val="00743198"/>
    <w:rsid w:val="00743305"/>
    <w:rsid w:val="007437FC"/>
    <w:rsid w:val="00746780"/>
    <w:rsid w:val="00747D97"/>
    <w:rsid w:val="007527F4"/>
    <w:rsid w:val="00753327"/>
    <w:rsid w:val="007533EB"/>
    <w:rsid w:val="00755115"/>
    <w:rsid w:val="00760416"/>
    <w:rsid w:val="007677C1"/>
    <w:rsid w:val="00772ABE"/>
    <w:rsid w:val="00772D4D"/>
    <w:rsid w:val="00772E38"/>
    <w:rsid w:val="00773E8A"/>
    <w:rsid w:val="0077613F"/>
    <w:rsid w:val="0077623D"/>
    <w:rsid w:val="007763AD"/>
    <w:rsid w:val="007808CE"/>
    <w:rsid w:val="007825D2"/>
    <w:rsid w:val="007830C3"/>
    <w:rsid w:val="00784B4B"/>
    <w:rsid w:val="00784FDA"/>
    <w:rsid w:val="00790888"/>
    <w:rsid w:val="00790B83"/>
    <w:rsid w:val="007A097C"/>
    <w:rsid w:val="007A0D40"/>
    <w:rsid w:val="007A1866"/>
    <w:rsid w:val="007A2438"/>
    <w:rsid w:val="007A3206"/>
    <w:rsid w:val="007A3627"/>
    <w:rsid w:val="007A6813"/>
    <w:rsid w:val="007B0FD7"/>
    <w:rsid w:val="007B1705"/>
    <w:rsid w:val="007B1D1F"/>
    <w:rsid w:val="007B20D3"/>
    <w:rsid w:val="007B52A6"/>
    <w:rsid w:val="007B647F"/>
    <w:rsid w:val="007B6D9E"/>
    <w:rsid w:val="007C0722"/>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2449"/>
    <w:rsid w:val="00803306"/>
    <w:rsid w:val="0080331D"/>
    <w:rsid w:val="00803482"/>
    <w:rsid w:val="00803C9B"/>
    <w:rsid w:val="00810099"/>
    <w:rsid w:val="00812B58"/>
    <w:rsid w:val="008131EF"/>
    <w:rsid w:val="00813912"/>
    <w:rsid w:val="00814444"/>
    <w:rsid w:val="00814A30"/>
    <w:rsid w:val="00817688"/>
    <w:rsid w:val="00817CA1"/>
    <w:rsid w:val="00821C89"/>
    <w:rsid w:val="00821D4C"/>
    <w:rsid w:val="00822ABF"/>
    <w:rsid w:val="00824394"/>
    <w:rsid w:val="0082486A"/>
    <w:rsid w:val="00824A87"/>
    <w:rsid w:val="00825046"/>
    <w:rsid w:val="00826807"/>
    <w:rsid w:val="00826992"/>
    <w:rsid w:val="008272B9"/>
    <w:rsid w:val="00832781"/>
    <w:rsid w:val="008328A3"/>
    <w:rsid w:val="00835872"/>
    <w:rsid w:val="00836B7B"/>
    <w:rsid w:val="00837048"/>
    <w:rsid w:val="00837188"/>
    <w:rsid w:val="00842134"/>
    <w:rsid w:val="00844BD0"/>
    <w:rsid w:val="00844F9D"/>
    <w:rsid w:val="00847709"/>
    <w:rsid w:val="00850281"/>
    <w:rsid w:val="00850425"/>
    <w:rsid w:val="00850919"/>
    <w:rsid w:val="00850BE1"/>
    <w:rsid w:val="0085158C"/>
    <w:rsid w:val="00854C50"/>
    <w:rsid w:val="008600BD"/>
    <w:rsid w:val="008637C1"/>
    <w:rsid w:val="00863F8B"/>
    <w:rsid w:val="00864D13"/>
    <w:rsid w:val="00865189"/>
    <w:rsid w:val="00865EA5"/>
    <w:rsid w:val="00865EE8"/>
    <w:rsid w:val="00870D86"/>
    <w:rsid w:val="00871824"/>
    <w:rsid w:val="00872F14"/>
    <w:rsid w:val="00874B93"/>
    <w:rsid w:val="00875DE0"/>
    <w:rsid w:val="00876B78"/>
    <w:rsid w:val="008804F2"/>
    <w:rsid w:val="00882E61"/>
    <w:rsid w:val="00883A4B"/>
    <w:rsid w:val="00883BB2"/>
    <w:rsid w:val="00887655"/>
    <w:rsid w:val="008876D1"/>
    <w:rsid w:val="0088799E"/>
    <w:rsid w:val="0089079B"/>
    <w:rsid w:val="00890AAC"/>
    <w:rsid w:val="00896230"/>
    <w:rsid w:val="008963F2"/>
    <w:rsid w:val="00896FD1"/>
    <w:rsid w:val="008A007C"/>
    <w:rsid w:val="008A1745"/>
    <w:rsid w:val="008A5BEB"/>
    <w:rsid w:val="008A5E4F"/>
    <w:rsid w:val="008B2795"/>
    <w:rsid w:val="008B2F51"/>
    <w:rsid w:val="008B3745"/>
    <w:rsid w:val="008B577C"/>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3A38"/>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0A5A"/>
    <w:rsid w:val="00931828"/>
    <w:rsid w:val="009329BE"/>
    <w:rsid w:val="00932D6A"/>
    <w:rsid w:val="0093659D"/>
    <w:rsid w:val="00937FA6"/>
    <w:rsid w:val="00941EA3"/>
    <w:rsid w:val="00942841"/>
    <w:rsid w:val="0094344B"/>
    <w:rsid w:val="00944CA6"/>
    <w:rsid w:val="009469CA"/>
    <w:rsid w:val="00946AF3"/>
    <w:rsid w:val="00946E57"/>
    <w:rsid w:val="00947BF3"/>
    <w:rsid w:val="00950B78"/>
    <w:rsid w:val="00956996"/>
    <w:rsid w:val="00956D22"/>
    <w:rsid w:val="009571BD"/>
    <w:rsid w:val="00957968"/>
    <w:rsid w:val="00961E9B"/>
    <w:rsid w:val="00962833"/>
    <w:rsid w:val="00962E5E"/>
    <w:rsid w:val="009637B8"/>
    <w:rsid w:val="009661BD"/>
    <w:rsid w:val="00967F26"/>
    <w:rsid w:val="00972165"/>
    <w:rsid w:val="0097258E"/>
    <w:rsid w:val="0097636E"/>
    <w:rsid w:val="00981F0B"/>
    <w:rsid w:val="009837BA"/>
    <w:rsid w:val="00984982"/>
    <w:rsid w:val="009856EB"/>
    <w:rsid w:val="0098660E"/>
    <w:rsid w:val="0098747C"/>
    <w:rsid w:val="00987544"/>
    <w:rsid w:val="009876E3"/>
    <w:rsid w:val="00987F07"/>
    <w:rsid w:val="00990027"/>
    <w:rsid w:val="00992635"/>
    <w:rsid w:val="00995B90"/>
    <w:rsid w:val="00996D3E"/>
    <w:rsid w:val="009A1E71"/>
    <w:rsid w:val="009A45F5"/>
    <w:rsid w:val="009A52E1"/>
    <w:rsid w:val="009A54EE"/>
    <w:rsid w:val="009B03B4"/>
    <w:rsid w:val="009B04E7"/>
    <w:rsid w:val="009B2C2E"/>
    <w:rsid w:val="009B3A90"/>
    <w:rsid w:val="009B3D6E"/>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0983"/>
    <w:rsid w:val="00A11E61"/>
    <w:rsid w:val="00A12A4E"/>
    <w:rsid w:val="00A13044"/>
    <w:rsid w:val="00A138FF"/>
    <w:rsid w:val="00A151ED"/>
    <w:rsid w:val="00A165BD"/>
    <w:rsid w:val="00A213F5"/>
    <w:rsid w:val="00A2393F"/>
    <w:rsid w:val="00A247ED"/>
    <w:rsid w:val="00A271E5"/>
    <w:rsid w:val="00A273D3"/>
    <w:rsid w:val="00A27D95"/>
    <w:rsid w:val="00A34790"/>
    <w:rsid w:val="00A35972"/>
    <w:rsid w:val="00A40D16"/>
    <w:rsid w:val="00A4133D"/>
    <w:rsid w:val="00A417F8"/>
    <w:rsid w:val="00A429BF"/>
    <w:rsid w:val="00A43AA5"/>
    <w:rsid w:val="00A43E50"/>
    <w:rsid w:val="00A4426B"/>
    <w:rsid w:val="00A444F2"/>
    <w:rsid w:val="00A4584B"/>
    <w:rsid w:val="00A47F0F"/>
    <w:rsid w:val="00A505ED"/>
    <w:rsid w:val="00A50FA8"/>
    <w:rsid w:val="00A54074"/>
    <w:rsid w:val="00A556EC"/>
    <w:rsid w:val="00A576FA"/>
    <w:rsid w:val="00A643AB"/>
    <w:rsid w:val="00A67700"/>
    <w:rsid w:val="00A715FB"/>
    <w:rsid w:val="00A74481"/>
    <w:rsid w:val="00A76668"/>
    <w:rsid w:val="00A81A50"/>
    <w:rsid w:val="00A839F1"/>
    <w:rsid w:val="00A83B31"/>
    <w:rsid w:val="00A843AB"/>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2777"/>
    <w:rsid w:val="00AA3D7C"/>
    <w:rsid w:val="00AB1C92"/>
    <w:rsid w:val="00AB2B60"/>
    <w:rsid w:val="00AB2F83"/>
    <w:rsid w:val="00AB331D"/>
    <w:rsid w:val="00AB3AB3"/>
    <w:rsid w:val="00AB6F38"/>
    <w:rsid w:val="00AB749B"/>
    <w:rsid w:val="00AB7CE1"/>
    <w:rsid w:val="00AC12AE"/>
    <w:rsid w:val="00AC1905"/>
    <w:rsid w:val="00AC3767"/>
    <w:rsid w:val="00AC38E7"/>
    <w:rsid w:val="00AC495F"/>
    <w:rsid w:val="00AC58A3"/>
    <w:rsid w:val="00AC7176"/>
    <w:rsid w:val="00AD27F5"/>
    <w:rsid w:val="00AD3D98"/>
    <w:rsid w:val="00AD407F"/>
    <w:rsid w:val="00AD66B6"/>
    <w:rsid w:val="00AE1AD1"/>
    <w:rsid w:val="00AE1C6A"/>
    <w:rsid w:val="00AE2F63"/>
    <w:rsid w:val="00AE37A4"/>
    <w:rsid w:val="00AE74EE"/>
    <w:rsid w:val="00AF099F"/>
    <w:rsid w:val="00AF1C67"/>
    <w:rsid w:val="00AF3753"/>
    <w:rsid w:val="00AF5338"/>
    <w:rsid w:val="00AF7467"/>
    <w:rsid w:val="00B00C58"/>
    <w:rsid w:val="00B01BDE"/>
    <w:rsid w:val="00B03655"/>
    <w:rsid w:val="00B0573B"/>
    <w:rsid w:val="00B07573"/>
    <w:rsid w:val="00B07B8B"/>
    <w:rsid w:val="00B127DC"/>
    <w:rsid w:val="00B1419A"/>
    <w:rsid w:val="00B17073"/>
    <w:rsid w:val="00B17E6D"/>
    <w:rsid w:val="00B205BE"/>
    <w:rsid w:val="00B24DED"/>
    <w:rsid w:val="00B274D6"/>
    <w:rsid w:val="00B27721"/>
    <w:rsid w:val="00B27751"/>
    <w:rsid w:val="00B3095A"/>
    <w:rsid w:val="00B318A4"/>
    <w:rsid w:val="00B33921"/>
    <w:rsid w:val="00B3428E"/>
    <w:rsid w:val="00B352BC"/>
    <w:rsid w:val="00B417B5"/>
    <w:rsid w:val="00B41CF9"/>
    <w:rsid w:val="00B42677"/>
    <w:rsid w:val="00B46694"/>
    <w:rsid w:val="00B5283F"/>
    <w:rsid w:val="00B57B90"/>
    <w:rsid w:val="00B62790"/>
    <w:rsid w:val="00B62F7C"/>
    <w:rsid w:val="00B6567C"/>
    <w:rsid w:val="00B661EC"/>
    <w:rsid w:val="00B6696B"/>
    <w:rsid w:val="00B671AF"/>
    <w:rsid w:val="00B67E73"/>
    <w:rsid w:val="00B72D35"/>
    <w:rsid w:val="00B73134"/>
    <w:rsid w:val="00B73B59"/>
    <w:rsid w:val="00B74CFF"/>
    <w:rsid w:val="00B777DC"/>
    <w:rsid w:val="00B81C86"/>
    <w:rsid w:val="00B84D0F"/>
    <w:rsid w:val="00B85CB9"/>
    <w:rsid w:val="00B86ACD"/>
    <w:rsid w:val="00B86C6A"/>
    <w:rsid w:val="00B9008D"/>
    <w:rsid w:val="00B91F88"/>
    <w:rsid w:val="00B95AC1"/>
    <w:rsid w:val="00B972D5"/>
    <w:rsid w:val="00BA08DC"/>
    <w:rsid w:val="00BA0A6D"/>
    <w:rsid w:val="00BA71DE"/>
    <w:rsid w:val="00BA798F"/>
    <w:rsid w:val="00BB0484"/>
    <w:rsid w:val="00BB196F"/>
    <w:rsid w:val="00BB2744"/>
    <w:rsid w:val="00BB491B"/>
    <w:rsid w:val="00BB4EBB"/>
    <w:rsid w:val="00BB711D"/>
    <w:rsid w:val="00BB7B84"/>
    <w:rsid w:val="00BC4132"/>
    <w:rsid w:val="00BC5AE5"/>
    <w:rsid w:val="00BC66F7"/>
    <w:rsid w:val="00BC6FE3"/>
    <w:rsid w:val="00BD0B83"/>
    <w:rsid w:val="00BD27FF"/>
    <w:rsid w:val="00BD329E"/>
    <w:rsid w:val="00BE1E28"/>
    <w:rsid w:val="00BE2432"/>
    <w:rsid w:val="00BE315A"/>
    <w:rsid w:val="00BE3C9B"/>
    <w:rsid w:val="00BE458C"/>
    <w:rsid w:val="00BE5DEB"/>
    <w:rsid w:val="00BF01C8"/>
    <w:rsid w:val="00BF02E0"/>
    <w:rsid w:val="00BF03E4"/>
    <w:rsid w:val="00BF1067"/>
    <w:rsid w:val="00BF4692"/>
    <w:rsid w:val="00BF48E2"/>
    <w:rsid w:val="00BF54AF"/>
    <w:rsid w:val="00BF69B9"/>
    <w:rsid w:val="00BF7CEC"/>
    <w:rsid w:val="00C010F2"/>
    <w:rsid w:val="00C0135E"/>
    <w:rsid w:val="00C044E4"/>
    <w:rsid w:val="00C04696"/>
    <w:rsid w:val="00C074F2"/>
    <w:rsid w:val="00C13461"/>
    <w:rsid w:val="00C13FFE"/>
    <w:rsid w:val="00C141BA"/>
    <w:rsid w:val="00C167D3"/>
    <w:rsid w:val="00C177C8"/>
    <w:rsid w:val="00C22077"/>
    <w:rsid w:val="00C23FA9"/>
    <w:rsid w:val="00C24220"/>
    <w:rsid w:val="00C3069F"/>
    <w:rsid w:val="00C314A7"/>
    <w:rsid w:val="00C32C09"/>
    <w:rsid w:val="00C34157"/>
    <w:rsid w:val="00C34AC1"/>
    <w:rsid w:val="00C36242"/>
    <w:rsid w:val="00C36676"/>
    <w:rsid w:val="00C36F56"/>
    <w:rsid w:val="00C379BA"/>
    <w:rsid w:val="00C37FDA"/>
    <w:rsid w:val="00C4130D"/>
    <w:rsid w:val="00C42C11"/>
    <w:rsid w:val="00C42E98"/>
    <w:rsid w:val="00C43757"/>
    <w:rsid w:val="00C448E0"/>
    <w:rsid w:val="00C46276"/>
    <w:rsid w:val="00C52770"/>
    <w:rsid w:val="00C554A3"/>
    <w:rsid w:val="00C55F9C"/>
    <w:rsid w:val="00C57EE8"/>
    <w:rsid w:val="00C656A0"/>
    <w:rsid w:val="00C659B1"/>
    <w:rsid w:val="00C66584"/>
    <w:rsid w:val="00C66C32"/>
    <w:rsid w:val="00C70250"/>
    <w:rsid w:val="00C70E82"/>
    <w:rsid w:val="00C72CEB"/>
    <w:rsid w:val="00C73209"/>
    <w:rsid w:val="00C74F21"/>
    <w:rsid w:val="00C761FD"/>
    <w:rsid w:val="00C762F4"/>
    <w:rsid w:val="00C82C63"/>
    <w:rsid w:val="00C833B0"/>
    <w:rsid w:val="00C84700"/>
    <w:rsid w:val="00C85236"/>
    <w:rsid w:val="00C8595A"/>
    <w:rsid w:val="00C86B02"/>
    <w:rsid w:val="00C86E5D"/>
    <w:rsid w:val="00C86FEF"/>
    <w:rsid w:val="00C87D3B"/>
    <w:rsid w:val="00C9066A"/>
    <w:rsid w:val="00C95850"/>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4111"/>
    <w:rsid w:val="00CC485A"/>
    <w:rsid w:val="00CC51CE"/>
    <w:rsid w:val="00CC7109"/>
    <w:rsid w:val="00CD0E0B"/>
    <w:rsid w:val="00CD127E"/>
    <w:rsid w:val="00CD261A"/>
    <w:rsid w:val="00CD3395"/>
    <w:rsid w:val="00CD5B05"/>
    <w:rsid w:val="00CD5F94"/>
    <w:rsid w:val="00CE00E9"/>
    <w:rsid w:val="00CE13F7"/>
    <w:rsid w:val="00CE1C93"/>
    <w:rsid w:val="00CE3BE8"/>
    <w:rsid w:val="00CE5BF7"/>
    <w:rsid w:val="00CE6134"/>
    <w:rsid w:val="00CE63D8"/>
    <w:rsid w:val="00CF1715"/>
    <w:rsid w:val="00CF3DEF"/>
    <w:rsid w:val="00CF409C"/>
    <w:rsid w:val="00CF5088"/>
    <w:rsid w:val="00CF7C56"/>
    <w:rsid w:val="00CF7F11"/>
    <w:rsid w:val="00D016F4"/>
    <w:rsid w:val="00D01BBE"/>
    <w:rsid w:val="00D040DC"/>
    <w:rsid w:val="00D0552B"/>
    <w:rsid w:val="00D05D21"/>
    <w:rsid w:val="00D0686C"/>
    <w:rsid w:val="00D06FE9"/>
    <w:rsid w:val="00D07D94"/>
    <w:rsid w:val="00D07DD8"/>
    <w:rsid w:val="00D07E97"/>
    <w:rsid w:val="00D12BCF"/>
    <w:rsid w:val="00D13A35"/>
    <w:rsid w:val="00D13BFC"/>
    <w:rsid w:val="00D15A21"/>
    <w:rsid w:val="00D16F07"/>
    <w:rsid w:val="00D20661"/>
    <w:rsid w:val="00D2253E"/>
    <w:rsid w:val="00D23733"/>
    <w:rsid w:val="00D23E03"/>
    <w:rsid w:val="00D24329"/>
    <w:rsid w:val="00D253D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00D5"/>
    <w:rsid w:val="00D712AB"/>
    <w:rsid w:val="00D719BD"/>
    <w:rsid w:val="00D72578"/>
    <w:rsid w:val="00D728E3"/>
    <w:rsid w:val="00D731DD"/>
    <w:rsid w:val="00D7460C"/>
    <w:rsid w:val="00D768DD"/>
    <w:rsid w:val="00D76E4A"/>
    <w:rsid w:val="00D76F42"/>
    <w:rsid w:val="00D774F7"/>
    <w:rsid w:val="00D814C1"/>
    <w:rsid w:val="00D8173B"/>
    <w:rsid w:val="00D81A51"/>
    <w:rsid w:val="00D8304C"/>
    <w:rsid w:val="00D83DE2"/>
    <w:rsid w:val="00D86073"/>
    <w:rsid w:val="00D867B7"/>
    <w:rsid w:val="00D878CA"/>
    <w:rsid w:val="00D91B5C"/>
    <w:rsid w:val="00D91C9F"/>
    <w:rsid w:val="00D92119"/>
    <w:rsid w:val="00D92B4B"/>
    <w:rsid w:val="00D93EB7"/>
    <w:rsid w:val="00D94438"/>
    <w:rsid w:val="00D9630E"/>
    <w:rsid w:val="00D96B8E"/>
    <w:rsid w:val="00D97317"/>
    <w:rsid w:val="00D9743F"/>
    <w:rsid w:val="00D97FA0"/>
    <w:rsid w:val="00DA4190"/>
    <w:rsid w:val="00DA4932"/>
    <w:rsid w:val="00DA4BD9"/>
    <w:rsid w:val="00DA6F52"/>
    <w:rsid w:val="00DA72ED"/>
    <w:rsid w:val="00DB0693"/>
    <w:rsid w:val="00DB42D5"/>
    <w:rsid w:val="00DB4DC0"/>
    <w:rsid w:val="00DB5F8F"/>
    <w:rsid w:val="00DC0BD8"/>
    <w:rsid w:val="00DC1826"/>
    <w:rsid w:val="00DC22B1"/>
    <w:rsid w:val="00DC254B"/>
    <w:rsid w:val="00DC2730"/>
    <w:rsid w:val="00DC2AA2"/>
    <w:rsid w:val="00DC3B96"/>
    <w:rsid w:val="00DC439B"/>
    <w:rsid w:val="00DD0013"/>
    <w:rsid w:val="00DD1F3D"/>
    <w:rsid w:val="00DD2DF5"/>
    <w:rsid w:val="00DD561A"/>
    <w:rsid w:val="00DE03CE"/>
    <w:rsid w:val="00DE0BF3"/>
    <w:rsid w:val="00DE1505"/>
    <w:rsid w:val="00DE301F"/>
    <w:rsid w:val="00DE37DF"/>
    <w:rsid w:val="00DE38BC"/>
    <w:rsid w:val="00DE421D"/>
    <w:rsid w:val="00DE4905"/>
    <w:rsid w:val="00DE7FCC"/>
    <w:rsid w:val="00DF1725"/>
    <w:rsid w:val="00DF200B"/>
    <w:rsid w:val="00DF21E2"/>
    <w:rsid w:val="00DF527D"/>
    <w:rsid w:val="00DF59AD"/>
    <w:rsid w:val="00DF6F3F"/>
    <w:rsid w:val="00DF7696"/>
    <w:rsid w:val="00E02B93"/>
    <w:rsid w:val="00E05AE9"/>
    <w:rsid w:val="00E06E44"/>
    <w:rsid w:val="00E10910"/>
    <w:rsid w:val="00E1170D"/>
    <w:rsid w:val="00E11A6F"/>
    <w:rsid w:val="00E11B42"/>
    <w:rsid w:val="00E124E5"/>
    <w:rsid w:val="00E23056"/>
    <w:rsid w:val="00E2329A"/>
    <w:rsid w:val="00E23711"/>
    <w:rsid w:val="00E24818"/>
    <w:rsid w:val="00E25992"/>
    <w:rsid w:val="00E2662D"/>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0C67"/>
    <w:rsid w:val="00E43C6C"/>
    <w:rsid w:val="00E44550"/>
    <w:rsid w:val="00E449BA"/>
    <w:rsid w:val="00E46994"/>
    <w:rsid w:val="00E46E15"/>
    <w:rsid w:val="00E5043D"/>
    <w:rsid w:val="00E5078A"/>
    <w:rsid w:val="00E50CE8"/>
    <w:rsid w:val="00E5173A"/>
    <w:rsid w:val="00E51EB6"/>
    <w:rsid w:val="00E52E6F"/>
    <w:rsid w:val="00E57C14"/>
    <w:rsid w:val="00E610DA"/>
    <w:rsid w:val="00E6461E"/>
    <w:rsid w:val="00E71441"/>
    <w:rsid w:val="00E71875"/>
    <w:rsid w:val="00E71BF0"/>
    <w:rsid w:val="00E77C2F"/>
    <w:rsid w:val="00E80F43"/>
    <w:rsid w:val="00E818EC"/>
    <w:rsid w:val="00E81A7A"/>
    <w:rsid w:val="00E82B0D"/>
    <w:rsid w:val="00E833C4"/>
    <w:rsid w:val="00E837DF"/>
    <w:rsid w:val="00E86D70"/>
    <w:rsid w:val="00E87403"/>
    <w:rsid w:val="00E87DED"/>
    <w:rsid w:val="00E90204"/>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E54EF"/>
    <w:rsid w:val="00EE6733"/>
    <w:rsid w:val="00EF0F9B"/>
    <w:rsid w:val="00EF1F4E"/>
    <w:rsid w:val="00EF5671"/>
    <w:rsid w:val="00EF61D8"/>
    <w:rsid w:val="00EF64EB"/>
    <w:rsid w:val="00EF6944"/>
    <w:rsid w:val="00F0077C"/>
    <w:rsid w:val="00F026C1"/>
    <w:rsid w:val="00F02E46"/>
    <w:rsid w:val="00F0311C"/>
    <w:rsid w:val="00F03516"/>
    <w:rsid w:val="00F12172"/>
    <w:rsid w:val="00F1244D"/>
    <w:rsid w:val="00F16739"/>
    <w:rsid w:val="00F232F6"/>
    <w:rsid w:val="00F247F7"/>
    <w:rsid w:val="00F268FA"/>
    <w:rsid w:val="00F30D3E"/>
    <w:rsid w:val="00F33585"/>
    <w:rsid w:val="00F35D72"/>
    <w:rsid w:val="00F40887"/>
    <w:rsid w:val="00F41C82"/>
    <w:rsid w:val="00F4274C"/>
    <w:rsid w:val="00F428B1"/>
    <w:rsid w:val="00F43401"/>
    <w:rsid w:val="00F43E37"/>
    <w:rsid w:val="00F44962"/>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4711"/>
    <w:rsid w:val="00F851BC"/>
    <w:rsid w:val="00F872D0"/>
    <w:rsid w:val="00F902DB"/>
    <w:rsid w:val="00F90C37"/>
    <w:rsid w:val="00F94115"/>
    <w:rsid w:val="00F96976"/>
    <w:rsid w:val="00FA1581"/>
    <w:rsid w:val="00FA2532"/>
    <w:rsid w:val="00FA6B83"/>
    <w:rsid w:val="00FB37DA"/>
    <w:rsid w:val="00FB46E4"/>
    <w:rsid w:val="00FB4AB8"/>
    <w:rsid w:val="00FB723D"/>
    <w:rsid w:val="00FC36BC"/>
    <w:rsid w:val="00FC60FB"/>
    <w:rsid w:val="00FC7A1C"/>
    <w:rsid w:val="00FD08F7"/>
    <w:rsid w:val="00FD1AFA"/>
    <w:rsid w:val="00FD285C"/>
    <w:rsid w:val="00FD305F"/>
    <w:rsid w:val="00FD32EF"/>
    <w:rsid w:val="00FD4291"/>
    <w:rsid w:val="00FD4BE8"/>
    <w:rsid w:val="00FD5A59"/>
    <w:rsid w:val="00FE10FC"/>
    <w:rsid w:val="00FE1AD3"/>
    <w:rsid w:val="00FE1C97"/>
    <w:rsid w:val="00FE2137"/>
    <w:rsid w:val="00FE7B4A"/>
    <w:rsid w:val="00FE7B50"/>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uiPriority="10"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uiPriority w:val="99"/>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rsid w:val="007825D2"/>
    <w:rPr>
      <w:kern w:val="2"/>
      <w:sz w:val="21"/>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uiPriority w:val="99"/>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3"/>
      </w:numPr>
      <w:tabs>
        <w:tab w:val="left" w:pos="2127"/>
      </w:tabs>
      <w:adjustRightInd w:val="0"/>
      <w:snapToGrid w:val="0"/>
      <w:spacing w:line="540" w:lineRule="exact"/>
      <w:ind w:left="988"/>
    </w:pPr>
    <w:rPr>
      <w:rFonts w:ascii="仿宋_GB2312" w:eastAsia="仿宋_GB2312" w:hAnsi="宋体"/>
      <w:kern w:val="0"/>
      <w:sz w:val="30"/>
      <w:szCs w:val="30"/>
      <w:lang/>
    </w:rPr>
  </w:style>
  <w:style w:type="character" w:customStyle="1" w:styleId="1Char0">
    <w:name w:val="样式1 Char"/>
    <w:link w:val="1"/>
    <w:locked/>
    <w:rsid w:val="00D76F42"/>
    <w:rPr>
      <w:rFonts w:ascii="仿宋_GB2312" w:eastAsia="仿宋_GB2312" w:hAnsi="宋体"/>
      <w:sz w:val="30"/>
      <w:szCs w:val="30"/>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uiPriority w:val="10"/>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uiPriority w:val="10"/>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4"/>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table" w:styleId="affa">
    <w:name w:val="Table Grid"/>
    <w:basedOn w:val="a1"/>
    <w:uiPriority w:val="59"/>
    <w:rsid w:val="00562A7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0">
    <w:name w:val="a4"/>
    <w:basedOn w:val="a"/>
    <w:rsid w:val="00106E5E"/>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CD5B05"/>
    <w:pPr>
      <w:widowControl/>
      <w:spacing w:before="100" w:beforeAutospacing="1" w:after="100" w:afterAutospacing="1"/>
      <w:jc w:val="left"/>
    </w:pPr>
    <w:rPr>
      <w:rFonts w:ascii="等线" w:eastAsia="等线" w:hAnsi="宋体" w:cs="宋体"/>
      <w:kern w:val="0"/>
      <w:sz w:val="18"/>
      <w:szCs w:val="18"/>
    </w:rPr>
  </w:style>
  <w:style w:type="paragraph" w:customStyle="1" w:styleId="xl65">
    <w:name w:val="xl65"/>
    <w:basedOn w:val="a"/>
    <w:rsid w:val="00CD5B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Cs w:val="21"/>
    </w:rPr>
  </w:style>
  <w:style w:type="paragraph" w:customStyle="1" w:styleId="xl66">
    <w:name w:val="xl66"/>
    <w:basedOn w:val="a"/>
    <w:rsid w:val="00CD5B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043574">
      <w:bodyDiv w:val="1"/>
      <w:marLeft w:val="0"/>
      <w:marRight w:val="0"/>
      <w:marTop w:val="0"/>
      <w:marBottom w:val="0"/>
      <w:divBdr>
        <w:top w:val="none" w:sz="0" w:space="0" w:color="auto"/>
        <w:left w:val="none" w:sz="0" w:space="0" w:color="auto"/>
        <w:bottom w:val="none" w:sz="0" w:space="0" w:color="auto"/>
        <w:right w:val="none" w:sz="0" w:space="0" w:color="auto"/>
      </w:divBdr>
    </w:div>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224339350">
      <w:bodyDiv w:val="1"/>
      <w:marLeft w:val="0"/>
      <w:marRight w:val="0"/>
      <w:marTop w:val="0"/>
      <w:marBottom w:val="0"/>
      <w:divBdr>
        <w:top w:val="none" w:sz="0" w:space="0" w:color="auto"/>
        <w:left w:val="none" w:sz="0" w:space="0" w:color="auto"/>
        <w:bottom w:val="none" w:sz="0" w:space="0" w:color="auto"/>
        <w:right w:val="none" w:sz="0" w:space="0" w:color="auto"/>
      </w:divBdr>
    </w:div>
    <w:div w:id="334261235">
      <w:bodyDiv w:val="1"/>
      <w:marLeft w:val="0"/>
      <w:marRight w:val="0"/>
      <w:marTop w:val="0"/>
      <w:marBottom w:val="0"/>
      <w:divBdr>
        <w:top w:val="none" w:sz="0" w:space="0" w:color="auto"/>
        <w:left w:val="none" w:sz="0" w:space="0" w:color="auto"/>
        <w:bottom w:val="none" w:sz="0" w:space="0" w:color="auto"/>
        <w:right w:val="none" w:sz="0" w:space="0" w:color="auto"/>
      </w:divBdr>
    </w:div>
    <w:div w:id="358625762">
      <w:bodyDiv w:val="1"/>
      <w:marLeft w:val="0"/>
      <w:marRight w:val="0"/>
      <w:marTop w:val="0"/>
      <w:marBottom w:val="0"/>
      <w:divBdr>
        <w:top w:val="none" w:sz="0" w:space="0" w:color="auto"/>
        <w:left w:val="none" w:sz="0" w:space="0" w:color="auto"/>
        <w:bottom w:val="none" w:sz="0" w:space="0" w:color="auto"/>
        <w:right w:val="none" w:sz="0" w:space="0" w:color="auto"/>
      </w:divBdr>
    </w:div>
    <w:div w:id="370418293">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79078940">
      <w:bodyDiv w:val="1"/>
      <w:marLeft w:val="0"/>
      <w:marRight w:val="0"/>
      <w:marTop w:val="0"/>
      <w:marBottom w:val="0"/>
      <w:divBdr>
        <w:top w:val="none" w:sz="0" w:space="0" w:color="auto"/>
        <w:left w:val="none" w:sz="0" w:space="0" w:color="auto"/>
        <w:bottom w:val="none" w:sz="0" w:space="0" w:color="auto"/>
        <w:right w:val="none" w:sz="0" w:space="0" w:color="auto"/>
      </w:divBdr>
    </w:div>
    <w:div w:id="534270683">
      <w:bodyDiv w:val="1"/>
      <w:marLeft w:val="0"/>
      <w:marRight w:val="0"/>
      <w:marTop w:val="0"/>
      <w:marBottom w:val="0"/>
      <w:divBdr>
        <w:top w:val="none" w:sz="0" w:space="0" w:color="auto"/>
        <w:left w:val="none" w:sz="0" w:space="0" w:color="auto"/>
        <w:bottom w:val="none" w:sz="0" w:space="0" w:color="auto"/>
        <w:right w:val="none" w:sz="0" w:space="0" w:color="auto"/>
      </w:divBdr>
    </w:div>
    <w:div w:id="621423257">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22487075">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782574477">
      <w:bodyDiv w:val="1"/>
      <w:marLeft w:val="0"/>
      <w:marRight w:val="0"/>
      <w:marTop w:val="0"/>
      <w:marBottom w:val="0"/>
      <w:divBdr>
        <w:top w:val="none" w:sz="0" w:space="0" w:color="auto"/>
        <w:left w:val="none" w:sz="0" w:space="0" w:color="auto"/>
        <w:bottom w:val="none" w:sz="0" w:space="0" w:color="auto"/>
        <w:right w:val="none" w:sz="0" w:space="0" w:color="auto"/>
      </w:divBdr>
    </w:div>
    <w:div w:id="880751282">
      <w:bodyDiv w:val="1"/>
      <w:marLeft w:val="0"/>
      <w:marRight w:val="0"/>
      <w:marTop w:val="0"/>
      <w:marBottom w:val="0"/>
      <w:divBdr>
        <w:top w:val="none" w:sz="0" w:space="0" w:color="auto"/>
        <w:left w:val="none" w:sz="0" w:space="0" w:color="auto"/>
        <w:bottom w:val="none" w:sz="0" w:space="0" w:color="auto"/>
        <w:right w:val="none" w:sz="0" w:space="0" w:color="auto"/>
      </w:divBdr>
    </w:div>
    <w:div w:id="914513223">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283654253">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446801989">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784184210">
      <w:bodyDiv w:val="1"/>
      <w:marLeft w:val="0"/>
      <w:marRight w:val="0"/>
      <w:marTop w:val="0"/>
      <w:marBottom w:val="0"/>
      <w:divBdr>
        <w:top w:val="none" w:sz="0" w:space="0" w:color="auto"/>
        <w:left w:val="none" w:sz="0" w:space="0" w:color="auto"/>
        <w:bottom w:val="none" w:sz="0" w:space="0" w:color="auto"/>
        <w:right w:val="none" w:sz="0" w:space="0" w:color="auto"/>
      </w:divBdr>
    </w:div>
    <w:div w:id="1787575146">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6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D8FD-A317-46A3-A0F7-748B961B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2019-10-10T02:36:00Z</cp:lastPrinted>
  <dcterms:created xsi:type="dcterms:W3CDTF">2020-10-30T09:37:00Z</dcterms:created>
  <dcterms:modified xsi:type="dcterms:W3CDTF">2020-10-30T09:37:00Z</dcterms:modified>
</cp:coreProperties>
</file>