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D9" w:rsidRPr="005E2C08" w:rsidRDefault="00AD46D9" w:rsidP="00AD46D9">
      <w:pPr>
        <w:pStyle w:val="a4"/>
        <w:ind w:firstLineChars="0" w:firstLine="0"/>
        <w:rPr>
          <w:rFonts w:ascii="黑体" w:eastAsia="黑体" w:hAnsi="黑体" w:cs="华文仿宋"/>
          <w:sz w:val="28"/>
          <w:szCs w:val="28"/>
        </w:rPr>
      </w:pPr>
      <w:r w:rsidRPr="00B8398B">
        <w:rPr>
          <w:rFonts w:ascii="黑体" w:eastAsia="黑体" w:hAnsi="黑体" w:cs="华文仿宋" w:hint="eastAsia"/>
          <w:sz w:val="28"/>
          <w:szCs w:val="28"/>
        </w:rPr>
        <w:t>附件2</w:t>
      </w:r>
    </w:p>
    <w:p w:rsidR="00F0399D" w:rsidRPr="00C33BCD" w:rsidRDefault="00F0399D" w:rsidP="007B6B84">
      <w:pPr>
        <w:pStyle w:val="a4"/>
        <w:ind w:firstLineChars="0" w:firstLine="0"/>
        <w:jc w:val="center"/>
        <w:rPr>
          <w:rFonts w:ascii="华文中宋" w:eastAsia="华文中宋" w:hAnsi="华文中宋" w:cs="华文仿宋"/>
          <w:b/>
          <w:sz w:val="36"/>
          <w:szCs w:val="36"/>
        </w:rPr>
      </w:pPr>
      <w:r w:rsidRPr="00C33BCD">
        <w:rPr>
          <w:rFonts w:ascii="华文中宋" w:eastAsia="华文中宋" w:hAnsi="华文中宋" w:cs="华文仿宋" w:hint="eastAsia"/>
          <w:b/>
          <w:sz w:val="36"/>
          <w:szCs w:val="36"/>
        </w:rPr>
        <w:t>运营</w:t>
      </w:r>
      <w:r w:rsidR="007B6B84" w:rsidRPr="00C33BCD">
        <w:rPr>
          <w:rFonts w:ascii="华文中宋" w:eastAsia="华文中宋" w:hAnsi="华文中宋" w:cs="华文仿宋" w:hint="eastAsia"/>
          <w:b/>
          <w:sz w:val="36"/>
          <w:szCs w:val="36"/>
        </w:rPr>
        <w:t>管理信息报告机制试点实施效果</w:t>
      </w:r>
      <w:r w:rsidR="00E93871" w:rsidRPr="00C33BCD">
        <w:rPr>
          <w:rFonts w:ascii="华文中宋" w:eastAsia="华文中宋" w:hAnsi="华文中宋" w:cs="华文仿宋" w:hint="eastAsia"/>
          <w:b/>
          <w:sz w:val="36"/>
          <w:szCs w:val="36"/>
        </w:rPr>
        <w:t>评估</w:t>
      </w:r>
    </w:p>
    <w:p w:rsidR="00F0399D" w:rsidRPr="007F337A" w:rsidRDefault="00F0399D" w:rsidP="00782E87">
      <w:pPr>
        <w:pStyle w:val="a4"/>
        <w:ind w:firstLine="640"/>
        <w:rPr>
          <w:rFonts w:ascii="黑体" w:eastAsia="黑体" w:hAnsi="黑体" w:cs="华文仿宋"/>
          <w:sz w:val="32"/>
          <w:szCs w:val="32"/>
        </w:rPr>
      </w:pPr>
    </w:p>
    <w:p w:rsidR="0077777C" w:rsidRPr="0050602C" w:rsidRDefault="0093783E" w:rsidP="008C26B5">
      <w:pPr>
        <w:ind w:firstLineChars="200" w:firstLine="640"/>
        <w:rPr>
          <w:rFonts w:ascii="仿宋_GB2312" w:eastAsia="仿宋_GB2312"/>
          <w:sz w:val="32"/>
          <w:szCs w:val="32"/>
        </w:rPr>
      </w:pPr>
      <w:r w:rsidRPr="0050602C">
        <w:rPr>
          <w:rFonts w:ascii="仿宋_GB2312" w:eastAsia="仿宋_GB2312" w:hAnsi="华文仿宋" w:cs="华文仿宋" w:hint="eastAsia"/>
          <w:sz w:val="32"/>
          <w:szCs w:val="32"/>
        </w:rPr>
        <w:t>经过一年</w:t>
      </w:r>
      <w:r w:rsidRPr="0050602C">
        <w:rPr>
          <w:rFonts w:ascii="仿宋_GB2312" w:eastAsia="仿宋_GB2312" w:hAnsi="华文仿宋" w:cs="华文仿宋"/>
          <w:sz w:val="32"/>
          <w:szCs w:val="32"/>
        </w:rPr>
        <w:t>多的试点，</w:t>
      </w:r>
      <w:r w:rsidRPr="0050602C">
        <w:rPr>
          <w:rFonts w:ascii="仿宋_GB2312" w:eastAsia="仿宋_GB2312" w:hAnsi="华文仿宋" w:cs="华文仿宋" w:hint="eastAsia"/>
          <w:sz w:val="32"/>
          <w:szCs w:val="32"/>
        </w:rPr>
        <w:t>参与</w:t>
      </w:r>
      <w:r w:rsidRPr="0050602C">
        <w:rPr>
          <w:rFonts w:ascii="仿宋_GB2312" w:eastAsia="仿宋_GB2312" w:hAnsi="华文仿宋" w:cs="华文仿宋"/>
          <w:sz w:val="32"/>
          <w:szCs w:val="32"/>
        </w:rPr>
        <w:t>试点的</w:t>
      </w:r>
      <w:r w:rsidRPr="0050602C">
        <w:rPr>
          <w:rFonts w:ascii="仿宋_GB2312" w:eastAsia="仿宋_GB2312" w:hAnsi="华文仿宋" w:cs="华文仿宋" w:hint="eastAsia"/>
          <w:sz w:val="32"/>
          <w:szCs w:val="32"/>
        </w:rPr>
        <w:t>11家</w:t>
      </w:r>
      <w:r w:rsidRPr="0050602C">
        <w:rPr>
          <w:rFonts w:ascii="仿宋_GB2312" w:eastAsia="仿宋_GB2312" w:hAnsi="华文仿宋" w:cs="华文仿宋"/>
          <w:sz w:val="32"/>
          <w:szCs w:val="32"/>
        </w:rPr>
        <w:t>公司</w:t>
      </w:r>
      <w:r w:rsidR="00EF27E7" w:rsidRPr="0050602C">
        <w:rPr>
          <w:rFonts w:ascii="仿宋_GB2312" w:eastAsia="仿宋_GB2312" w:hAnsi="华文仿宋" w:cs="华文仿宋" w:hint="eastAsia"/>
          <w:sz w:val="32"/>
          <w:szCs w:val="32"/>
        </w:rPr>
        <w:t>在</w:t>
      </w:r>
      <w:r w:rsidR="00B43830" w:rsidRPr="0050602C">
        <w:rPr>
          <w:rFonts w:ascii="仿宋_GB2312" w:eastAsia="仿宋_GB2312" w:hAnsi="华文仿宋" w:cs="华文仿宋"/>
          <w:sz w:val="32"/>
          <w:szCs w:val="32"/>
        </w:rPr>
        <w:t>运营</w:t>
      </w:r>
      <w:r w:rsidR="00B43830" w:rsidRPr="0050602C">
        <w:rPr>
          <w:rFonts w:ascii="仿宋_GB2312" w:eastAsia="仿宋_GB2312" w:hAnsi="华文仿宋" w:cs="华文仿宋" w:hint="eastAsia"/>
          <w:sz w:val="32"/>
          <w:szCs w:val="32"/>
        </w:rPr>
        <w:t>信息</w:t>
      </w:r>
      <w:r w:rsidR="00B43830" w:rsidRPr="0050602C">
        <w:rPr>
          <w:rFonts w:ascii="仿宋_GB2312" w:eastAsia="仿宋_GB2312" w:hAnsi="华文仿宋" w:cs="华文仿宋"/>
          <w:sz w:val="32"/>
          <w:szCs w:val="32"/>
        </w:rPr>
        <w:t>集中</w:t>
      </w:r>
      <w:r w:rsidR="00B43830" w:rsidRPr="0050602C">
        <w:rPr>
          <w:rFonts w:ascii="仿宋_GB2312" w:eastAsia="仿宋_GB2312" w:hAnsi="华文仿宋" w:cs="华文仿宋" w:hint="eastAsia"/>
          <w:sz w:val="32"/>
          <w:szCs w:val="32"/>
        </w:rPr>
        <w:t>化</w:t>
      </w:r>
      <w:r w:rsidR="00782E87" w:rsidRPr="0050602C">
        <w:rPr>
          <w:rFonts w:ascii="仿宋_GB2312" w:eastAsia="仿宋_GB2312" w:hAnsi="华文仿宋" w:cs="华文仿宋" w:hint="eastAsia"/>
          <w:sz w:val="32"/>
          <w:szCs w:val="32"/>
        </w:rPr>
        <w:t>管理，指标信息价值挖掘，运营流程治理优化等方面均得到提升，运营管理工作得以提质增效，具体如下：</w:t>
      </w:r>
    </w:p>
    <w:p w:rsidR="00782E87" w:rsidRPr="007F337A" w:rsidRDefault="00782E87" w:rsidP="00782E87">
      <w:pPr>
        <w:ind w:firstLineChars="200" w:firstLine="643"/>
        <w:rPr>
          <w:rFonts w:ascii="仿宋_GB2312" w:eastAsia="仿宋_GB2312" w:hAnsi="华文仿宋" w:cs="华文仿宋"/>
          <w:b/>
          <w:sz w:val="32"/>
          <w:szCs w:val="32"/>
        </w:rPr>
      </w:pPr>
      <w:r w:rsidRPr="007F337A">
        <w:rPr>
          <w:rFonts w:ascii="仿宋_GB2312" w:eastAsia="仿宋_GB2312" w:hAnsi="华文仿宋" w:cs="华文仿宋" w:hint="eastAsia"/>
          <w:b/>
          <w:sz w:val="32"/>
          <w:szCs w:val="32"/>
        </w:rPr>
        <w:t>（一）指标由零散化转为集中化，重点运营信息更为聚焦</w:t>
      </w:r>
    </w:p>
    <w:p w:rsidR="00782E87" w:rsidRPr="007F337A" w:rsidRDefault="00782E87" w:rsidP="00782E87">
      <w:pPr>
        <w:ind w:firstLineChars="200" w:firstLine="640"/>
        <w:rPr>
          <w:rFonts w:ascii="仿宋_GB2312" w:eastAsia="仿宋_GB2312" w:hAnsi="华文仿宋" w:cs="华文仿宋"/>
          <w:sz w:val="32"/>
          <w:szCs w:val="32"/>
        </w:rPr>
      </w:pPr>
      <w:r w:rsidRPr="007F337A">
        <w:rPr>
          <w:rFonts w:ascii="仿宋_GB2312" w:eastAsia="仿宋_GB2312" w:hAnsi="华文仿宋" w:cs="华文仿宋" w:hint="eastAsia"/>
          <w:sz w:val="32"/>
          <w:szCs w:val="32"/>
        </w:rPr>
        <w:t>试点前，证券公司部分指标的运营管理工作仅通过制度要求来保障，未能体现为具体的管理信息，且证券公司运营管理数据分散在各个系统，未形成统一集中的信息管理和监控。试点项目的推行促使证券公司内部对相关运营管理工作进行梳理，重点运营管理信息得以聚焦，关注方向得以明确，信息管理得以集中。目前，试点工作采集的数据提供了衡量运营工作效率、评估系统负载程度、发现业务潜在风险的另一视角，也为优化证券公司运营工作提供了数据支持。</w:t>
      </w:r>
    </w:p>
    <w:p w:rsidR="00782E87" w:rsidRPr="007F337A" w:rsidRDefault="00782E87" w:rsidP="00782E87">
      <w:pPr>
        <w:ind w:firstLineChars="200" w:firstLine="643"/>
        <w:rPr>
          <w:rFonts w:ascii="仿宋_GB2312" w:eastAsia="仿宋_GB2312" w:hAnsi="华文仿宋" w:cs="华文仿宋"/>
          <w:b/>
          <w:sz w:val="32"/>
          <w:szCs w:val="32"/>
        </w:rPr>
      </w:pPr>
      <w:r w:rsidRPr="007F337A">
        <w:rPr>
          <w:rFonts w:ascii="仿宋_GB2312" w:eastAsia="仿宋_GB2312" w:hAnsi="华文仿宋" w:cs="华文仿宋" w:hint="eastAsia"/>
          <w:b/>
          <w:sz w:val="32"/>
          <w:szCs w:val="32"/>
        </w:rPr>
        <w:t>（二）建立重要信息监控机制，优化指标分类和口径</w:t>
      </w:r>
    </w:p>
    <w:p w:rsidR="00782E87" w:rsidRPr="007F337A" w:rsidRDefault="00782E87" w:rsidP="00782E87">
      <w:pPr>
        <w:spacing w:line="360" w:lineRule="auto"/>
        <w:ind w:firstLine="562"/>
        <w:rPr>
          <w:rFonts w:ascii="仿宋_GB2312" w:eastAsia="仿宋_GB2312" w:hAnsi="华文仿宋" w:cs="华文仿宋"/>
          <w:sz w:val="32"/>
          <w:szCs w:val="32"/>
        </w:rPr>
      </w:pPr>
      <w:r w:rsidRPr="007F337A">
        <w:rPr>
          <w:rFonts w:ascii="仿宋_GB2312" w:eastAsia="仿宋_GB2312" w:hAnsi="华文仿宋" w:cs="华文仿宋" w:hint="eastAsia"/>
          <w:sz w:val="32"/>
          <w:szCs w:val="32"/>
        </w:rPr>
        <w:t>试点证券公司在依照协会定义的指标统计口径、阈值和范围进行数据报送的同时，也对指标数据中各项重点业务建立了全面的监控、预警和防范机制。将重点运营管理指标纳入已有的运营分析体系，进一步优化运营管理指标分类和口径，通过持续跟踪、分析运营管理指标，及时发现业务潜在</w:t>
      </w:r>
      <w:r w:rsidRPr="007F337A">
        <w:rPr>
          <w:rFonts w:ascii="仿宋_GB2312" w:eastAsia="仿宋_GB2312" w:hAnsi="华文仿宋" w:cs="华文仿宋" w:hint="eastAsia"/>
          <w:sz w:val="32"/>
          <w:szCs w:val="32"/>
        </w:rPr>
        <w:lastRenderedPageBreak/>
        <w:t>的风险点和运营活动的负载能力，全方位监控公司运营状况。</w:t>
      </w:r>
    </w:p>
    <w:p w:rsidR="00782E87" w:rsidRPr="009333A8" w:rsidRDefault="00782E87" w:rsidP="009333A8">
      <w:pPr>
        <w:spacing w:line="360" w:lineRule="auto"/>
        <w:ind w:firstLineChars="200" w:firstLine="640"/>
        <w:rPr>
          <w:rFonts w:ascii="仿宋_GB2312" w:eastAsia="仿宋_GB2312" w:hAnsi="仿宋"/>
          <w:sz w:val="32"/>
          <w:szCs w:val="32"/>
        </w:rPr>
      </w:pPr>
      <w:r w:rsidRPr="007F337A">
        <w:rPr>
          <w:rFonts w:ascii="仿宋_GB2312" w:eastAsia="仿宋_GB2312" w:hAnsi="华文仿宋" w:cs="华文仿宋" w:hint="eastAsia"/>
          <w:sz w:val="32"/>
          <w:szCs w:val="32"/>
        </w:rPr>
        <w:t>如在结算风险与效率方面，各试点券商持续监控跟踪自身运行和负载情况，不断优化提升运营能力。以某试点公司为</w:t>
      </w:r>
      <w:r w:rsidRPr="007F337A">
        <w:rPr>
          <w:rFonts w:ascii="仿宋_GB2312" w:eastAsia="仿宋_GB2312" w:hAnsi="仿宋" w:hint="eastAsia"/>
          <w:sz w:val="32"/>
          <w:szCs w:val="32"/>
        </w:rPr>
        <w:t>例，该公司借助《报告》工作对清算系统的历史数据进行回归测试，测算出系统处理时间与系统处理数据量的关联曲线，并分析出系统的处理效率波动范围，在此基础上进行监控，对于偏离正常范围的情况及时分析排查，提出系统改造需求，推动运营管理优化，通过报送数据可知该公司清算系统处理效率持续提升（计算方法：清算系统时长/清算凭证记录数）。</w:t>
      </w:r>
    </w:p>
    <w:p w:rsidR="00070202" w:rsidRPr="005E2C08" w:rsidRDefault="00071363" w:rsidP="005E2C08">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从</w:t>
      </w:r>
      <w:r w:rsidR="00782E87" w:rsidRPr="007F337A">
        <w:rPr>
          <w:rFonts w:ascii="仿宋_GB2312" w:eastAsia="仿宋_GB2312" w:hAnsi="华文仿宋" w:cs="华文仿宋" w:hint="eastAsia"/>
          <w:sz w:val="32"/>
          <w:szCs w:val="32"/>
        </w:rPr>
        <w:t>试点公司整体结算风险与效率的指标报送情况</w:t>
      </w:r>
      <w:r w:rsidR="00105449">
        <w:rPr>
          <w:rFonts w:ascii="仿宋_GB2312" w:eastAsia="仿宋_GB2312" w:hAnsi="华文仿宋" w:cs="华文仿宋" w:hint="eastAsia"/>
          <w:sz w:val="32"/>
          <w:szCs w:val="32"/>
        </w:rPr>
        <w:t>来看</w:t>
      </w:r>
      <w:r w:rsidR="00782E87" w:rsidRPr="007F337A">
        <w:rPr>
          <w:rFonts w:ascii="仿宋_GB2312" w:eastAsia="仿宋_GB2312" w:hAnsi="华文仿宋" w:cs="华文仿宋" w:hint="eastAsia"/>
          <w:sz w:val="32"/>
          <w:szCs w:val="32"/>
        </w:rPr>
        <w:t>，结算风险与效率方面的32项指标均有改善。以公司为单位的单项指标优化最明显的指标有4</w:t>
      </w:r>
      <w:r w:rsidR="009333A8">
        <w:rPr>
          <w:rFonts w:ascii="仿宋_GB2312" w:eastAsia="仿宋_GB2312" w:hAnsi="华文仿宋" w:cs="华文仿宋" w:hint="eastAsia"/>
          <w:sz w:val="32"/>
          <w:szCs w:val="32"/>
        </w:rPr>
        <w:t>项，包括</w:t>
      </w:r>
      <w:r w:rsidR="00782E87" w:rsidRPr="007F337A">
        <w:rPr>
          <w:rFonts w:ascii="仿宋_GB2312" w:eastAsia="仿宋_GB2312" w:hAnsi="华文仿宋" w:cs="华文仿宋" w:hint="eastAsia"/>
          <w:sz w:val="32"/>
          <w:szCs w:val="32"/>
        </w:rPr>
        <w:t>股票期权系统清算效率提升52.53%；普通A股柜台红</w:t>
      </w:r>
      <w:proofErr w:type="gramStart"/>
      <w:r w:rsidR="00782E87" w:rsidRPr="007F337A">
        <w:rPr>
          <w:rFonts w:ascii="仿宋_GB2312" w:eastAsia="仿宋_GB2312" w:hAnsi="华文仿宋" w:cs="华文仿宋" w:hint="eastAsia"/>
          <w:sz w:val="32"/>
          <w:szCs w:val="32"/>
        </w:rPr>
        <w:t>冲蓝补</w:t>
      </w:r>
      <w:proofErr w:type="gramEnd"/>
      <w:r w:rsidR="00782E87" w:rsidRPr="007F337A">
        <w:rPr>
          <w:rFonts w:ascii="仿宋_GB2312" w:eastAsia="仿宋_GB2312" w:hAnsi="华文仿宋" w:cs="华文仿宋" w:hint="eastAsia"/>
          <w:sz w:val="32"/>
          <w:szCs w:val="32"/>
        </w:rPr>
        <w:t>笔数降低70.24%；融资融券柜台清算</w:t>
      </w:r>
      <w:r w:rsidR="00CA3B54">
        <w:rPr>
          <w:rFonts w:ascii="仿宋_GB2312" w:eastAsia="仿宋_GB2312" w:hAnsi="华文仿宋" w:cs="华文仿宋" w:hint="eastAsia"/>
          <w:sz w:val="32"/>
          <w:szCs w:val="32"/>
        </w:rPr>
        <w:t>时</w:t>
      </w:r>
      <w:proofErr w:type="gramStart"/>
      <w:r w:rsidR="00CA3B54">
        <w:rPr>
          <w:rFonts w:ascii="仿宋_GB2312" w:eastAsia="仿宋_GB2312" w:hAnsi="华文仿宋" w:cs="华文仿宋" w:hint="eastAsia"/>
          <w:sz w:val="32"/>
          <w:szCs w:val="32"/>
        </w:rPr>
        <w:t>长</w:t>
      </w:r>
      <w:r w:rsidR="00CA3B54">
        <w:rPr>
          <w:rFonts w:ascii="仿宋_GB2312" w:eastAsia="仿宋_GB2312" w:hAnsi="华文仿宋" w:cs="华文仿宋"/>
          <w:sz w:val="32"/>
          <w:szCs w:val="32"/>
        </w:rPr>
        <w:t>下降</w:t>
      </w:r>
      <w:proofErr w:type="gramEnd"/>
      <w:r w:rsidR="00782E87" w:rsidRPr="007F337A">
        <w:rPr>
          <w:rFonts w:ascii="仿宋_GB2312" w:eastAsia="仿宋_GB2312" w:hAnsi="华文仿宋" w:cs="华文仿宋" w:hint="eastAsia"/>
          <w:sz w:val="32"/>
          <w:szCs w:val="32"/>
        </w:rPr>
        <w:t>82.89%；融资融券柜台清算效率提升87.02%。</w:t>
      </w:r>
      <w:r w:rsidR="00467F71">
        <w:rPr>
          <w:rFonts w:ascii="仿宋_GB2312" w:eastAsia="仿宋_GB2312" w:hAnsi="华文仿宋" w:cs="华文仿宋" w:hint="eastAsia"/>
          <w:sz w:val="32"/>
          <w:szCs w:val="32"/>
        </w:rPr>
        <w:t>试点公司整体清算结算系统的处理效率提升</w:t>
      </w:r>
      <w:r w:rsidR="009B0773">
        <w:rPr>
          <w:rFonts w:ascii="仿宋_GB2312" w:eastAsia="仿宋_GB2312" w:hAnsi="华文仿宋" w:cs="华文仿宋" w:hint="eastAsia"/>
          <w:sz w:val="32"/>
          <w:szCs w:val="32"/>
        </w:rPr>
        <w:t>也非常明显</w:t>
      </w:r>
      <w:r w:rsidR="00782E87" w:rsidRPr="007F337A">
        <w:rPr>
          <w:rFonts w:ascii="仿宋_GB2312" w:eastAsia="仿宋_GB2312" w:hAnsi="华文仿宋" w:cs="华文仿宋" w:hint="eastAsia"/>
          <w:sz w:val="32"/>
          <w:szCs w:val="32"/>
        </w:rPr>
        <w:t>（</w:t>
      </w:r>
      <w:r w:rsidR="009B0773">
        <w:rPr>
          <w:rFonts w:ascii="仿宋_GB2312" w:eastAsia="仿宋_GB2312" w:hAnsi="华文仿宋" w:cs="华文仿宋" w:hint="eastAsia"/>
          <w:sz w:val="32"/>
          <w:szCs w:val="32"/>
        </w:rPr>
        <w:t>图1和</w:t>
      </w:r>
      <w:r w:rsidR="009B0773">
        <w:rPr>
          <w:rFonts w:ascii="仿宋_GB2312" w:eastAsia="仿宋_GB2312" w:hAnsi="华文仿宋" w:cs="华文仿宋"/>
          <w:sz w:val="32"/>
          <w:szCs w:val="32"/>
        </w:rPr>
        <w:t>图</w:t>
      </w:r>
      <w:r w:rsidR="009B0773">
        <w:rPr>
          <w:rFonts w:ascii="仿宋_GB2312" w:eastAsia="仿宋_GB2312" w:hAnsi="华文仿宋" w:cs="华文仿宋" w:hint="eastAsia"/>
          <w:sz w:val="32"/>
          <w:szCs w:val="32"/>
        </w:rPr>
        <w:t>2</w:t>
      </w:r>
      <w:r w:rsidR="009B0773">
        <w:rPr>
          <w:rFonts w:ascii="仿宋_GB2312" w:eastAsia="仿宋_GB2312" w:hAnsi="华文仿宋" w:cs="华文仿宋"/>
          <w:sz w:val="32"/>
          <w:szCs w:val="32"/>
        </w:rPr>
        <w:t>，</w:t>
      </w:r>
      <w:r w:rsidR="00782E87" w:rsidRPr="007F337A">
        <w:rPr>
          <w:rFonts w:ascii="仿宋_GB2312" w:eastAsia="仿宋_GB2312" w:hAnsi="华文仿宋" w:cs="华文仿宋" w:hint="eastAsia"/>
          <w:sz w:val="32"/>
          <w:szCs w:val="32"/>
        </w:rPr>
        <w:t>计算方法：清算耗时/清算记录数）。</w:t>
      </w:r>
    </w:p>
    <w:p w:rsidR="00105449" w:rsidRPr="00761F72" w:rsidRDefault="00105449" w:rsidP="00105449">
      <w:pPr>
        <w:pStyle w:val="Default"/>
        <w:jc w:val="center"/>
        <w:rPr>
          <w:rFonts w:ascii="宋体" w:eastAsia="宋体" w:hAnsi="宋体" w:hint="default"/>
          <w:b/>
        </w:rPr>
      </w:pPr>
      <w:r w:rsidRPr="00FF38CB">
        <w:rPr>
          <w:rFonts w:ascii="宋体" w:eastAsia="宋体" w:hAnsi="宋体" w:cs="华文仿宋"/>
          <w:b/>
        </w:rPr>
        <w:t>图1：试</w:t>
      </w:r>
      <w:r w:rsidRPr="00761F72">
        <w:rPr>
          <w:rFonts w:ascii="宋体" w:eastAsia="宋体" w:hAnsi="宋体" w:cs="华文仿宋"/>
          <w:b/>
        </w:rPr>
        <w:t>点公司整体清算效率的变化趋势图</w:t>
      </w:r>
    </w:p>
    <w:p w:rsidR="00416CD2" w:rsidRPr="00CA4E7C" w:rsidRDefault="00782E87" w:rsidP="00CA4E7C">
      <w:pPr>
        <w:spacing w:line="360" w:lineRule="auto"/>
        <w:ind w:firstLineChars="200" w:firstLine="420"/>
        <w:jc w:val="center"/>
        <w:rPr>
          <w:rFonts w:ascii="华文仿宋" w:eastAsia="华文仿宋" w:hAnsi="华文仿宋" w:cs="华文仿宋"/>
          <w:sz w:val="32"/>
          <w:szCs w:val="32"/>
        </w:rPr>
      </w:pPr>
      <w:r>
        <w:rPr>
          <w:noProof/>
        </w:rPr>
        <w:drawing>
          <wp:inline distT="0" distB="0" distL="0" distR="0">
            <wp:extent cx="4573905" cy="1828800"/>
            <wp:effectExtent l="0" t="0" r="17145" b="0"/>
            <wp:docPr id="9"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82E87" w:rsidRPr="00761F72" w:rsidRDefault="00B34914" w:rsidP="00B34914">
      <w:pPr>
        <w:ind w:firstLineChars="200" w:firstLine="482"/>
        <w:jc w:val="center"/>
        <w:rPr>
          <w:rFonts w:ascii="宋体" w:hAnsi="宋体" w:cs="华文仿宋"/>
          <w:b/>
          <w:sz w:val="24"/>
        </w:rPr>
      </w:pPr>
      <w:r w:rsidRPr="00FF38CB">
        <w:rPr>
          <w:rFonts w:ascii="宋体" w:hAnsi="宋体" w:cs="华文仿宋" w:hint="eastAsia"/>
          <w:b/>
          <w:sz w:val="24"/>
        </w:rPr>
        <w:lastRenderedPageBreak/>
        <w:t>图2：试</w:t>
      </w:r>
      <w:r w:rsidRPr="00761F72">
        <w:rPr>
          <w:rFonts w:ascii="宋体" w:hAnsi="宋体" w:cs="华文仿宋" w:hint="eastAsia"/>
          <w:b/>
          <w:sz w:val="24"/>
        </w:rPr>
        <w:t>点公司整体清算效率的变化趋势图</w:t>
      </w:r>
    </w:p>
    <w:p w:rsidR="00782E87" w:rsidRDefault="00782E87" w:rsidP="00782E87">
      <w:pPr>
        <w:spacing w:line="360" w:lineRule="auto"/>
        <w:ind w:firstLineChars="200" w:firstLine="420"/>
        <w:jc w:val="center"/>
        <w:rPr>
          <w:rFonts w:ascii="华文仿宋" w:eastAsia="华文仿宋" w:hAnsi="华文仿宋" w:cs="华文仿宋"/>
          <w:sz w:val="32"/>
          <w:szCs w:val="32"/>
        </w:rPr>
      </w:pPr>
      <w:r>
        <w:rPr>
          <w:noProof/>
        </w:rPr>
        <w:drawing>
          <wp:inline distT="0" distB="0" distL="0" distR="0">
            <wp:extent cx="4573905" cy="2745105"/>
            <wp:effectExtent l="0" t="0" r="17145" b="17145"/>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16CD2" w:rsidRPr="00CA4E7C" w:rsidRDefault="00782E87" w:rsidP="00CA4E7C">
      <w:pPr>
        <w:spacing w:line="360" w:lineRule="auto"/>
        <w:ind w:firstLineChars="200" w:firstLine="640"/>
        <w:rPr>
          <w:rFonts w:ascii="仿宋_GB2312" w:eastAsia="仿宋_GB2312" w:hAnsi="华文仿宋" w:cs="华文仿宋"/>
          <w:sz w:val="32"/>
          <w:szCs w:val="32"/>
        </w:rPr>
      </w:pPr>
      <w:r w:rsidRPr="007F337A">
        <w:rPr>
          <w:rFonts w:ascii="仿宋_GB2312" w:eastAsia="仿宋_GB2312" w:hAnsi="华文仿宋" w:cs="华文仿宋" w:hint="eastAsia"/>
          <w:sz w:val="32"/>
          <w:szCs w:val="32"/>
        </w:rPr>
        <w:t>清算效率优化最优的券商提升在50%以上（</w:t>
      </w:r>
      <w:r w:rsidR="00416CD2">
        <w:rPr>
          <w:rFonts w:ascii="仿宋_GB2312" w:eastAsia="仿宋_GB2312" w:hAnsi="华文仿宋" w:cs="华文仿宋" w:hint="eastAsia"/>
          <w:sz w:val="32"/>
          <w:szCs w:val="32"/>
        </w:rPr>
        <w:t>图3，</w:t>
      </w:r>
      <w:r w:rsidRPr="007F337A">
        <w:rPr>
          <w:rFonts w:ascii="仿宋_GB2312" w:eastAsia="仿宋_GB2312" w:hAnsi="华文仿宋" w:cs="华文仿宋" w:hint="eastAsia"/>
          <w:sz w:val="32"/>
          <w:szCs w:val="32"/>
        </w:rPr>
        <w:t>计算方法：报送起始月值/当前月份</w:t>
      </w:r>
      <w:proofErr w:type="gramStart"/>
      <w:r w:rsidRPr="007F337A">
        <w:rPr>
          <w:rFonts w:ascii="仿宋_GB2312" w:eastAsia="仿宋_GB2312" w:hAnsi="华文仿宋" w:cs="华文仿宋" w:hint="eastAsia"/>
          <w:sz w:val="32"/>
          <w:szCs w:val="32"/>
        </w:rPr>
        <w:t>报送值</w:t>
      </w:r>
      <w:proofErr w:type="gramEnd"/>
      <w:r w:rsidRPr="007F337A">
        <w:rPr>
          <w:rFonts w:ascii="仿宋_GB2312" w:eastAsia="仿宋_GB2312" w:hAnsi="华文仿宋" w:cs="华文仿宋" w:hint="eastAsia"/>
          <w:sz w:val="32"/>
          <w:szCs w:val="32"/>
        </w:rPr>
        <w:t>-1）。</w:t>
      </w:r>
    </w:p>
    <w:p w:rsidR="00416CD2" w:rsidRPr="00416CD2" w:rsidRDefault="00416CD2" w:rsidP="00416CD2">
      <w:pPr>
        <w:pStyle w:val="Default"/>
        <w:rPr>
          <w:rFonts w:hint="default"/>
        </w:rPr>
      </w:pPr>
    </w:p>
    <w:p w:rsidR="00071363" w:rsidRPr="00071363" w:rsidRDefault="00071363" w:rsidP="00071363">
      <w:pPr>
        <w:ind w:firstLineChars="200" w:firstLine="482"/>
        <w:jc w:val="center"/>
        <w:rPr>
          <w:rFonts w:ascii="宋体" w:hAnsi="宋体" w:cs="华文仿宋"/>
          <w:b/>
          <w:sz w:val="24"/>
        </w:rPr>
      </w:pPr>
      <w:r w:rsidRPr="00071363">
        <w:rPr>
          <w:rFonts w:ascii="宋体" w:hAnsi="宋体" w:cs="华文仿宋" w:hint="eastAsia"/>
          <w:b/>
          <w:sz w:val="24"/>
        </w:rPr>
        <w:t>图</w:t>
      </w:r>
      <w:r>
        <w:rPr>
          <w:rFonts w:ascii="宋体" w:hAnsi="宋体" w:cs="华文仿宋" w:hint="eastAsia"/>
          <w:b/>
          <w:sz w:val="24"/>
        </w:rPr>
        <w:t>3</w:t>
      </w:r>
      <w:r w:rsidRPr="00071363">
        <w:rPr>
          <w:rFonts w:ascii="宋体" w:hAnsi="宋体" w:cs="华文仿宋" w:hint="eastAsia"/>
          <w:b/>
          <w:sz w:val="24"/>
        </w:rPr>
        <w:t>：</w:t>
      </w:r>
      <w:proofErr w:type="gramStart"/>
      <w:r w:rsidRPr="00071363">
        <w:rPr>
          <w:rFonts w:ascii="宋体" w:hAnsi="宋体" w:cs="华文仿宋" w:hint="eastAsia"/>
          <w:b/>
          <w:sz w:val="24"/>
        </w:rPr>
        <w:t>单试点</w:t>
      </w:r>
      <w:proofErr w:type="gramEnd"/>
      <w:r w:rsidRPr="00071363">
        <w:rPr>
          <w:rFonts w:ascii="宋体" w:hAnsi="宋体" w:cs="华文仿宋" w:hint="eastAsia"/>
          <w:b/>
          <w:sz w:val="24"/>
        </w:rPr>
        <w:t>公司清算效率最优优化情况</w:t>
      </w:r>
    </w:p>
    <w:p w:rsidR="00782E87" w:rsidRDefault="00782E87" w:rsidP="00782E87">
      <w:pPr>
        <w:spacing w:line="360" w:lineRule="auto"/>
        <w:jc w:val="center"/>
        <w:rPr>
          <w:rFonts w:ascii="华文仿宋" w:eastAsia="华文仿宋" w:hAnsi="华文仿宋" w:cs="华文仿宋"/>
          <w:sz w:val="32"/>
          <w:szCs w:val="32"/>
        </w:rPr>
      </w:pPr>
      <w:r>
        <w:rPr>
          <w:noProof/>
        </w:rPr>
        <w:drawing>
          <wp:inline distT="0" distB="0" distL="0" distR="0">
            <wp:extent cx="4573905" cy="2745105"/>
            <wp:effectExtent l="0" t="0" r="17145" b="17145"/>
            <wp:docPr id="7"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2E87" w:rsidRPr="007F337A" w:rsidRDefault="00782E87" w:rsidP="00782E87">
      <w:pPr>
        <w:ind w:firstLineChars="200" w:firstLine="643"/>
        <w:rPr>
          <w:rFonts w:ascii="仿宋_GB2312" w:eastAsia="仿宋_GB2312" w:hAnsi="华文仿宋" w:cs="华文仿宋"/>
          <w:b/>
          <w:sz w:val="32"/>
          <w:szCs w:val="32"/>
        </w:rPr>
      </w:pPr>
      <w:r w:rsidRPr="007F337A">
        <w:rPr>
          <w:rFonts w:ascii="仿宋_GB2312" w:eastAsia="仿宋_GB2312" w:hAnsi="华文仿宋" w:cs="华文仿宋" w:hint="eastAsia"/>
          <w:b/>
          <w:sz w:val="32"/>
          <w:szCs w:val="32"/>
        </w:rPr>
        <w:t>（三）优化完善运营管理工作，提高运营监测能力</w:t>
      </w:r>
    </w:p>
    <w:p w:rsidR="00782E87" w:rsidRPr="007F337A" w:rsidRDefault="00782E87" w:rsidP="00782E87">
      <w:pPr>
        <w:ind w:firstLineChars="200" w:firstLine="640"/>
        <w:rPr>
          <w:rFonts w:ascii="仿宋_GB2312" w:eastAsia="仿宋_GB2312" w:hAnsi="华文仿宋" w:cs="华文仿宋"/>
          <w:sz w:val="32"/>
          <w:szCs w:val="32"/>
        </w:rPr>
      </w:pPr>
      <w:r w:rsidRPr="007F337A">
        <w:rPr>
          <w:rFonts w:ascii="仿宋_GB2312" w:eastAsia="仿宋_GB2312" w:hAnsi="华文仿宋" w:cs="华文仿宋" w:hint="eastAsia"/>
          <w:sz w:val="32"/>
          <w:szCs w:val="32"/>
        </w:rPr>
        <w:t>通过全方位的重点运营管理信息指标监控，试点证券公司能够发现运营工作异常，提高运营监控能力，并扫除风险盲点。试点证券公司在整理运营管理信息指标的同时，根据相关管理办法进行逐项自查梳理，对存在不足的工作进行分</w:t>
      </w:r>
      <w:r w:rsidRPr="007F337A">
        <w:rPr>
          <w:rFonts w:ascii="仿宋_GB2312" w:eastAsia="仿宋_GB2312" w:hAnsi="华文仿宋" w:cs="华文仿宋" w:hint="eastAsia"/>
          <w:sz w:val="32"/>
          <w:szCs w:val="32"/>
        </w:rPr>
        <w:lastRenderedPageBreak/>
        <w:t>析治理，优化运营管理流程：一是治理存在问题的数据；二是进行管理规范，彻底解决相关问题，达到了优化运营管理工作的目标。</w:t>
      </w:r>
    </w:p>
    <w:p w:rsidR="00782E87" w:rsidRDefault="00D4529D" w:rsidP="00782E87">
      <w:pPr>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如</w:t>
      </w:r>
      <w:r w:rsidR="00782E87" w:rsidRPr="007F337A">
        <w:rPr>
          <w:rFonts w:ascii="仿宋_GB2312" w:eastAsia="仿宋_GB2312" w:hAnsi="华文仿宋" w:cs="华文仿宋" w:hint="eastAsia"/>
          <w:sz w:val="32"/>
          <w:szCs w:val="32"/>
        </w:rPr>
        <w:t>账户运营管理，试点券商在开展数据报送的同时，也对自身运营中存在的问题进行梳理排查优化。以某试点券商为例，围绕协会客户账户质量指标制定了适用于自身公司的客户账户质量控制指标，并持续监控优化，其中指标变化最大的共有7项指标，包括：15位证件号码一码通账户、证件类型为其他的个人投资者一码通账户、同一投资者多个一码通、未成年人、证件有效期过期、联系电话和手机号码为空、</w:t>
      </w:r>
      <w:r w:rsidR="00011D12">
        <w:rPr>
          <w:rFonts w:ascii="仿宋_GB2312" w:eastAsia="仿宋_GB2312" w:hAnsi="华文仿宋" w:cs="华文仿宋" w:hint="eastAsia"/>
          <w:sz w:val="32"/>
          <w:szCs w:val="32"/>
        </w:rPr>
        <w:t>联系地址为空。图4至</w:t>
      </w:r>
      <w:r w:rsidR="00011D12">
        <w:rPr>
          <w:rFonts w:ascii="仿宋_GB2312" w:eastAsia="仿宋_GB2312" w:hAnsi="华文仿宋" w:cs="华文仿宋"/>
          <w:sz w:val="32"/>
          <w:szCs w:val="32"/>
        </w:rPr>
        <w:t>图</w:t>
      </w:r>
      <w:r w:rsidR="00011D12">
        <w:rPr>
          <w:rFonts w:ascii="仿宋_GB2312" w:eastAsia="仿宋_GB2312" w:hAnsi="华文仿宋" w:cs="华文仿宋" w:hint="eastAsia"/>
          <w:sz w:val="32"/>
          <w:szCs w:val="32"/>
        </w:rPr>
        <w:t>7</w:t>
      </w:r>
      <w:r w:rsidR="00782E87" w:rsidRPr="007F337A">
        <w:rPr>
          <w:rFonts w:ascii="仿宋_GB2312" w:eastAsia="仿宋_GB2312" w:hAnsi="华文仿宋" w:cs="华文仿宋" w:hint="eastAsia"/>
          <w:sz w:val="32"/>
          <w:szCs w:val="32"/>
        </w:rPr>
        <w:t>为7项指标13个月的变化趋势图：</w:t>
      </w:r>
    </w:p>
    <w:p w:rsidR="007824B4" w:rsidRPr="000541B3" w:rsidRDefault="007824B4" w:rsidP="000541B3">
      <w:pPr>
        <w:ind w:firstLineChars="200" w:firstLine="482"/>
        <w:jc w:val="center"/>
        <w:rPr>
          <w:rFonts w:ascii="宋体" w:hAnsi="宋体" w:cs="华文仿宋"/>
          <w:b/>
          <w:sz w:val="24"/>
        </w:rPr>
      </w:pPr>
      <w:r w:rsidRPr="000541B3">
        <w:rPr>
          <w:rFonts w:ascii="宋体" w:hAnsi="宋体" w:cs="华文仿宋" w:hint="eastAsia"/>
          <w:b/>
          <w:sz w:val="24"/>
        </w:rPr>
        <w:t>图</w:t>
      </w:r>
      <w:r w:rsidR="000541B3">
        <w:rPr>
          <w:rFonts w:ascii="宋体" w:hAnsi="宋体" w:cs="华文仿宋" w:hint="eastAsia"/>
          <w:b/>
          <w:sz w:val="24"/>
        </w:rPr>
        <w:t>4</w:t>
      </w:r>
      <w:r w:rsidRPr="000541B3">
        <w:rPr>
          <w:rFonts w:ascii="宋体" w:hAnsi="宋体" w:cs="华文仿宋" w:hint="eastAsia"/>
          <w:b/>
          <w:sz w:val="24"/>
        </w:rPr>
        <w:t>：某试点公司15位证件号码一码通账户变化趋势图</w:t>
      </w:r>
    </w:p>
    <w:p w:rsidR="007824B4" w:rsidRPr="00011D12" w:rsidRDefault="00782E87" w:rsidP="00011D12">
      <w:pPr>
        <w:ind w:firstLineChars="200" w:firstLine="640"/>
        <w:jc w:val="center"/>
        <w:rPr>
          <w:rFonts w:ascii="华文仿宋" w:eastAsia="华文仿宋" w:hAnsi="华文仿宋" w:cs="华文仿宋"/>
          <w:sz w:val="32"/>
          <w:szCs w:val="32"/>
        </w:rPr>
      </w:pPr>
      <w:r>
        <w:rPr>
          <w:rFonts w:ascii="华文仿宋" w:eastAsia="华文仿宋" w:hAnsi="华文仿宋" w:cs="华文仿宋" w:hint="eastAsia"/>
          <w:noProof/>
          <w:sz w:val="32"/>
          <w:szCs w:val="32"/>
        </w:rPr>
        <w:drawing>
          <wp:inline distT="0" distB="0" distL="0" distR="0">
            <wp:extent cx="4571661" cy="3113590"/>
            <wp:effectExtent l="0" t="0" r="63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734" cy="3118407"/>
                    </a:xfrm>
                    <a:prstGeom prst="rect">
                      <a:avLst/>
                    </a:prstGeom>
                    <a:noFill/>
                    <a:ln>
                      <a:noFill/>
                    </a:ln>
                  </pic:spPr>
                </pic:pic>
              </a:graphicData>
            </a:graphic>
          </wp:inline>
        </w:drawing>
      </w:r>
    </w:p>
    <w:p w:rsidR="00CA4E7C" w:rsidRDefault="00CA4E7C" w:rsidP="000541B3">
      <w:pPr>
        <w:ind w:firstLineChars="200" w:firstLine="482"/>
        <w:jc w:val="center"/>
        <w:rPr>
          <w:rFonts w:ascii="宋体" w:hAnsi="宋体" w:cs="华文仿宋"/>
          <w:b/>
          <w:sz w:val="24"/>
        </w:rPr>
      </w:pPr>
    </w:p>
    <w:p w:rsidR="00CA4E7C" w:rsidRDefault="00CA4E7C" w:rsidP="00CA4E7C">
      <w:pPr>
        <w:pStyle w:val="Default"/>
        <w:rPr>
          <w:rFonts w:hint="default"/>
        </w:rPr>
      </w:pPr>
    </w:p>
    <w:p w:rsidR="00CA4E7C" w:rsidRPr="00CA4E7C" w:rsidRDefault="00CA4E7C" w:rsidP="00CA4E7C">
      <w:pPr>
        <w:pStyle w:val="Default"/>
        <w:rPr>
          <w:rFonts w:hint="default"/>
        </w:rPr>
      </w:pPr>
    </w:p>
    <w:p w:rsidR="007824B4" w:rsidRPr="000541B3" w:rsidRDefault="007824B4" w:rsidP="000541B3">
      <w:pPr>
        <w:ind w:firstLineChars="200" w:firstLine="482"/>
        <w:jc w:val="center"/>
        <w:rPr>
          <w:rFonts w:ascii="宋体" w:hAnsi="宋体" w:cs="华文仿宋"/>
          <w:b/>
          <w:sz w:val="24"/>
        </w:rPr>
      </w:pPr>
      <w:r w:rsidRPr="000541B3">
        <w:rPr>
          <w:rFonts w:ascii="宋体" w:hAnsi="宋体" w:cs="华文仿宋" w:hint="eastAsia"/>
          <w:b/>
          <w:sz w:val="24"/>
        </w:rPr>
        <w:lastRenderedPageBreak/>
        <w:t>图</w:t>
      </w:r>
      <w:r w:rsidR="000541B3">
        <w:rPr>
          <w:rFonts w:ascii="宋体" w:hAnsi="宋体" w:cs="华文仿宋" w:hint="eastAsia"/>
          <w:b/>
          <w:sz w:val="24"/>
        </w:rPr>
        <w:t>5</w:t>
      </w:r>
      <w:r w:rsidRPr="000541B3">
        <w:rPr>
          <w:rFonts w:ascii="宋体" w:hAnsi="宋体" w:cs="华文仿宋" w:hint="eastAsia"/>
          <w:b/>
          <w:sz w:val="24"/>
        </w:rPr>
        <w:t>：某试点公司证件有效期过期变化趋势图</w:t>
      </w:r>
    </w:p>
    <w:p w:rsidR="00005E66" w:rsidRPr="000541B3" w:rsidRDefault="00782E87" w:rsidP="000541B3">
      <w:pPr>
        <w:ind w:firstLineChars="200" w:firstLine="640"/>
        <w:jc w:val="center"/>
        <w:rPr>
          <w:rFonts w:ascii="华文仿宋" w:eastAsia="华文仿宋" w:hAnsi="华文仿宋" w:cs="华文仿宋"/>
          <w:sz w:val="32"/>
          <w:szCs w:val="32"/>
        </w:rPr>
      </w:pPr>
      <w:r>
        <w:rPr>
          <w:rFonts w:ascii="华文仿宋" w:eastAsia="华文仿宋" w:hAnsi="华文仿宋" w:cs="华文仿宋" w:hint="eastAsia"/>
          <w:noProof/>
          <w:sz w:val="32"/>
          <w:szCs w:val="32"/>
        </w:rPr>
        <w:drawing>
          <wp:inline distT="0" distB="0" distL="0" distR="0">
            <wp:extent cx="4572000" cy="25603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560320"/>
                    </a:xfrm>
                    <a:prstGeom prst="rect">
                      <a:avLst/>
                    </a:prstGeom>
                    <a:noFill/>
                    <a:ln>
                      <a:noFill/>
                    </a:ln>
                  </pic:spPr>
                </pic:pic>
              </a:graphicData>
            </a:graphic>
          </wp:inline>
        </w:drawing>
      </w:r>
    </w:p>
    <w:p w:rsidR="00005E66" w:rsidRPr="000541B3" w:rsidRDefault="00005E66" w:rsidP="0049300D">
      <w:pPr>
        <w:ind w:firstLineChars="200" w:firstLine="482"/>
        <w:jc w:val="center"/>
        <w:rPr>
          <w:rFonts w:ascii="宋体" w:hAnsi="宋体" w:cs="华文仿宋"/>
          <w:b/>
          <w:sz w:val="24"/>
        </w:rPr>
      </w:pPr>
      <w:r w:rsidRPr="000541B3">
        <w:rPr>
          <w:rFonts w:ascii="宋体" w:hAnsi="宋体" w:cs="华文仿宋" w:hint="eastAsia"/>
          <w:b/>
          <w:sz w:val="24"/>
        </w:rPr>
        <w:t>图</w:t>
      </w:r>
      <w:r w:rsidR="000541B3">
        <w:rPr>
          <w:rFonts w:ascii="宋体" w:hAnsi="宋体" w:cs="华文仿宋" w:hint="eastAsia"/>
          <w:b/>
          <w:sz w:val="24"/>
        </w:rPr>
        <w:t>6</w:t>
      </w:r>
      <w:r w:rsidRPr="000541B3">
        <w:rPr>
          <w:rFonts w:ascii="宋体" w:hAnsi="宋体" w:cs="华文仿宋" w:hint="eastAsia"/>
          <w:b/>
          <w:sz w:val="24"/>
        </w:rPr>
        <w:t>：某试点公司联系电话和手机号码、联系地址为空变化趋势图</w:t>
      </w:r>
    </w:p>
    <w:p w:rsidR="00D64706" w:rsidRPr="00011D12" w:rsidRDefault="00782E87" w:rsidP="00011D12">
      <w:pPr>
        <w:ind w:firstLineChars="200" w:firstLine="640"/>
        <w:jc w:val="center"/>
        <w:rPr>
          <w:rFonts w:ascii="华文仿宋" w:eastAsia="华文仿宋" w:hAnsi="华文仿宋" w:cs="华文仿宋"/>
          <w:sz w:val="32"/>
          <w:szCs w:val="32"/>
        </w:rPr>
      </w:pPr>
      <w:r>
        <w:rPr>
          <w:rFonts w:ascii="华文仿宋" w:eastAsia="华文仿宋" w:hAnsi="华文仿宋" w:cs="华文仿宋" w:hint="eastAsia"/>
          <w:noProof/>
          <w:sz w:val="32"/>
          <w:szCs w:val="32"/>
        </w:rPr>
        <w:drawing>
          <wp:inline distT="0" distB="0" distL="0" distR="0">
            <wp:extent cx="4572000" cy="2438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438400"/>
                    </a:xfrm>
                    <a:prstGeom prst="rect">
                      <a:avLst/>
                    </a:prstGeom>
                    <a:noFill/>
                    <a:ln>
                      <a:noFill/>
                    </a:ln>
                  </pic:spPr>
                </pic:pic>
              </a:graphicData>
            </a:graphic>
          </wp:inline>
        </w:drawing>
      </w:r>
    </w:p>
    <w:p w:rsidR="00D64706" w:rsidRPr="00D64706" w:rsidRDefault="00D64706" w:rsidP="000541B3">
      <w:pPr>
        <w:ind w:firstLineChars="200" w:firstLine="482"/>
        <w:jc w:val="center"/>
        <w:rPr>
          <w:rFonts w:ascii="华文仿宋" w:eastAsia="华文仿宋" w:hAnsi="华文仿宋" w:cs="华文仿宋"/>
          <w:sz w:val="24"/>
        </w:rPr>
      </w:pPr>
      <w:r w:rsidRPr="000541B3">
        <w:rPr>
          <w:rFonts w:ascii="宋体" w:hAnsi="宋体" w:cs="华文仿宋" w:hint="eastAsia"/>
          <w:b/>
          <w:sz w:val="24"/>
        </w:rPr>
        <w:t>图</w:t>
      </w:r>
      <w:r w:rsidR="000541B3">
        <w:rPr>
          <w:rFonts w:ascii="宋体" w:hAnsi="宋体" w:cs="华文仿宋" w:hint="eastAsia"/>
          <w:b/>
          <w:sz w:val="24"/>
        </w:rPr>
        <w:t>7</w:t>
      </w:r>
      <w:r w:rsidRPr="000541B3">
        <w:rPr>
          <w:rFonts w:ascii="宋体" w:hAnsi="宋体" w:cs="华文仿宋" w:hint="eastAsia"/>
          <w:b/>
          <w:sz w:val="24"/>
        </w:rPr>
        <w:t>：某试点公司其他账户质量控制指标变化趋势图</w:t>
      </w:r>
    </w:p>
    <w:p w:rsidR="00782E87" w:rsidRDefault="00782E87" w:rsidP="00782E87">
      <w:pPr>
        <w:ind w:firstLineChars="200" w:firstLine="640"/>
        <w:jc w:val="center"/>
        <w:rPr>
          <w:rFonts w:ascii="华文仿宋" w:eastAsia="华文仿宋" w:hAnsi="华文仿宋" w:cs="华文仿宋"/>
          <w:sz w:val="32"/>
          <w:szCs w:val="32"/>
        </w:rPr>
      </w:pPr>
      <w:r>
        <w:rPr>
          <w:rFonts w:ascii="华文仿宋" w:eastAsia="华文仿宋" w:hAnsi="华文仿宋" w:cs="华文仿宋" w:hint="eastAsia"/>
          <w:noProof/>
          <w:sz w:val="32"/>
          <w:szCs w:val="32"/>
        </w:rPr>
        <w:drawing>
          <wp:inline distT="0" distB="0" distL="0" distR="0">
            <wp:extent cx="4572000" cy="2537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2537460"/>
                    </a:xfrm>
                    <a:prstGeom prst="rect">
                      <a:avLst/>
                    </a:prstGeom>
                    <a:noFill/>
                    <a:ln>
                      <a:noFill/>
                    </a:ln>
                  </pic:spPr>
                </pic:pic>
              </a:graphicData>
            </a:graphic>
          </wp:inline>
        </w:drawing>
      </w:r>
    </w:p>
    <w:p w:rsidR="000541B3" w:rsidRPr="000A2E69" w:rsidRDefault="00782E87" w:rsidP="000A2E69">
      <w:pPr>
        <w:ind w:firstLineChars="200" w:firstLine="640"/>
        <w:rPr>
          <w:rFonts w:ascii="仿宋_GB2312" w:eastAsia="仿宋_GB2312" w:hAnsi="华文仿宋" w:cs="华文仿宋"/>
          <w:sz w:val="32"/>
          <w:szCs w:val="32"/>
        </w:rPr>
      </w:pPr>
      <w:r w:rsidRPr="007F337A">
        <w:rPr>
          <w:rFonts w:ascii="仿宋_GB2312" w:eastAsia="仿宋_GB2312" w:hAnsi="华文仿宋" w:cs="华文仿宋" w:hint="eastAsia"/>
          <w:sz w:val="32"/>
          <w:szCs w:val="32"/>
        </w:rPr>
        <w:t>从试点公司整体情况</w:t>
      </w:r>
      <w:r w:rsidR="006C1CD1">
        <w:rPr>
          <w:rFonts w:ascii="仿宋_GB2312" w:eastAsia="仿宋_GB2312" w:hAnsi="华文仿宋" w:cs="华文仿宋" w:hint="eastAsia"/>
          <w:sz w:val="32"/>
          <w:szCs w:val="32"/>
        </w:rPr>
        <w:t>来看</w:t>
      </w:r>
      <w:r w:rsidRPr="007F337A">
        <w:rPr>
          <w:rFonts w:ascii="仿宋_GB2312" w:eastAsia="仿宋_GB2312" w:hAnsi="华文仿宋" w:cs="华文仿宋" w:hint="eastAsia"/>
          <w:sz w:val="32"/>
          <w:szCs w:val="32"/>
        </w:rPr>
        <w:t>，近一年整体账户运营管理水</w:t>
      </w:r>
      <w:r w:rsidRPr="007F337A">
        <w:rPr>
          <w:rFonts w:ascii="仿宋_GB2312" w:eastAsia="仿宋_GB2312" w:hAnsi="华文仿宋" w:cs="华文仿宋" w:hint="eastAsia"/>
          <w:sz w:val="32"/>
          <w:szCs w:val="32"/>
        </w:rPr>
        <w:lastRenderedPageBreak/>
        <w:t>平均有所提升（</w:t>
      </w:r>
      <w:r w:rsidR="006C1CD1">
        <w:rPr>
          <w:rFonts w:ascii="仿宋_GB2312" w:eastAsia="仿宋_GB2312" w:hAnsi="华文仿宋" w:cs="华文仿宋" w:hint="eastAsia"/>
          <w:sz w:val="32"/>
          <w:szCs w:val="32"/>
        </w:rPr>
        <w:t>图8，</w:t>
      </w:r>
      <w:r w:rsidRPr="007F337A">
        <w:rPr>
          <w:rFonts w:ascii="仿宋_GB2312" w:eastAsia="仿宋_GB2312" w:hAnsi="华文仿宋" w:cs="华文仿宋" w:hint="eastAsia"/>
          <w:sz w:val="32"/>
          <w:szCs w:val="32"/>
        </w:rPr>
        <w:t>计算方法：行业单项</w:t>
      </w:r>
      <w:proofErr w:type="gramStart"/>
      <w:r w:rsidRPr="007F337A">
        <w:rPr>
          <w:rFonts w:ascii="仿宋_GB2312" w:eastAsia="仿宋_GB2312" w:hAnsi="华文仿宋" w:cs="华文仿宋" w:hint="eastAsia"/>
          <w:sz w:val="32"/>
          <w:szCs w:val="32"/>
        </w:rPr>
        <w:t>指标月</w:t>
      </w:r>
      <w:proofErr w:type="gramEnd"/>
      <w:r w:rsidRPr="007F337A">
        <w:rPr>
          <w:rFonts w:ascii="仿宋_GB2312" w:eastAsia="仿宋_GB2312" w:hAnsi="华文仿宋" w:cs="华文仿宋" w:hint="eastAsia"/>
          <w:sz w:val="32"/>
          <w:szCs w:val="32"/>
        </w:rPr>
        <w:t>均值/行业单项指标报送统计均值-1）：</w:t>
      </w:r>
    </w:p>
    <w:p w:rsidR="00D64706" w:rsidRPr="000541B3" w:rsidRDefault="00D64706" w:rsidP="000541B3">
      <w:pPr>
        <w:ind w:firstLineChars="200" w:firstLine="482"/>
        <w:jc w:val="center"/>
        <w:rPr>
          <w:rFonts w:ascii="宋体" w:hAnsi="宋体" w:cs="华文仿宋"/>
          <w:b/>
          <w:sz w:val="24"/>
        </w:rPr>
      </w:pPr>
      <w:r w:rsidRPr="000541B3">
        <w:rPr>
          <w:rFonts w:ascii="宋体" w:hAnsi="宋体" w:cs="华文仿宋" w:hint="eastAsia"/>
          <w:b/>
          <w:sz w:val="24"/>
        </w:rPr>
        <w:t>图</w:t>
      </w:r>
      <w:r w:rsidR="000541B3">
        <w:rPr>
          <w:rFonts w:ascii="宋体" w:hAnsi="宋体" w:cs="华文仿宋" w:hint="eastAsia"/>
          <w:b/>
          <w:sz w:val="24"/>
        </w:rPr>
        <w:t>8</w:t>
      </w:r>
      <w:r w:rsidRPr="000541B3">
        <w:rPr>
          <w:rFonts w:ascii="宋体" w:hAnsi="宋体" w:cs="华文仿宋" w:hint="eastAsia"/>
          <w:b/>
          <w:sz w:val="24"/>
        </w:rPr>
        <w:t>：试点公司整体账户运营管理变化趋势图</w:t>
      </w:r>
    </w:p>
    <w:p w:rsidR="00782E87" w:rsidRDefault="00782E87" w:rsidP="00782E87">
      <w:pPr>
        <w:ind w:firstLineChars="200" w:firstLine="640"/>
        <w:jc w:val="center"/>
        <w:rPr>
          <w:rFonts w:ascii="华文仿宋" w:eastAsia="华文仿宋" w:hAnsi="华文仿宋" w:cs="华文仿宋"/>
          <w:sz w:val="32"/>
          <w:szCs w:val="32"/>
        </w:rPr>
      </w:pPr>
      <w:r>
        <w:rPr>
          <w:rFonts w:ascii="华文仿宋" w:eastAsia="华文仿宋" w:hAnsi="华文仿宋" w:cs="华文仿宋" w:hint="eastAsia"/>
          <w:noProof/>
          <w:sz w:val="32"/>
          <w:szCs w:val="32"/>
        </w:rPr>
        <w:drawing>
          <wp:inline distT="0" distB="0" distL="0" distR="0">
            <wp:extent cx="3909060" cy="32080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9060" cy="3208020"/>
                    </a:xfrm>
                    <a:prstGeom prst="rect">
                      <a:avLst/>
                    </a:prstGeom>
                    <a:noFill/>
                    <a:ln>
                      <a:noFill/>
                    </a:ln>
                  </pic:spPr>
                </pic:pic>
              </a:graphicData>
            </a:graphic>
          </wp:inline>
        </w:drawing>
      </w:r>
    </w:p>
    <w:p w:rsidR="00782E87" w:rsidRDefault="00782E87" w:rsidP="00782E87">
      <w:pPr>
        <w:ind w:firstLineChars="200" w:firstLine="640"/>
        <w:rPr>
          <w:rFonts w:ascii="仿宋_GB2312" w:eastAsia="仿宋_GB2312" w:hAnsi="华文仿宋" w:cs="华文仿宋"/>
          <w:sz w:val="32"/>
          <w:szCs w:val="32"/>
        </w:rPr>
      </w:pPr>
      <w:r w:rsidRPr="007F337A">
        <w:rPr>
          <w:rFonts w:ascii="仿宋_GB2312" w:eastAsia="仿宋_GB2312" w:hAnsi="华文仿宋" w:cs="华文仿宋" w:hint="eastAsia"/>
          <w:sz w:val="32"/>
          <w:szCs w:val="32"/>
        </w:rPr>
        <w:t>11家试点有5家一项以上指标在最优优化券商行列（</w:t>
      </w:r>
      <w:r w:rsidR="00E43B02">
        <w:rPr>
          <w:rFonts w:ascii="仿宋_GB2312" w:eastAsia="仿宋_GB2312" w:hAnsi="华文仿宋" w:cs="华文仿宋" w:hint="eastAsia"/>
          <w:sz w:val="32"/>
          <w:szCs w:val="32"/>
        </w:rPr>
        <w:t>图9，</w:t>
      </w:r>
      <w:r w:rsidRPr="007F337A">
        <w:rPr>
          <w:rFonts w:ascii="仿宋_GB2312" w:eastAsia="仿宋_GB2312" w:hAnsi="华文仿宋" w:cs="华文仿宋" w:hint="eastAsia"/>
          <w:sz w:val="32"/>
          <w:szCs w:val="32"/>
        </w:rPr>
        <w:t>计算方法：报送起始月值/当前月份</w:t>
      </w:r>
      <w:proofErr w:type="gramStart"/>
      <w:r w:rsidRPr="007F337A">
        <w:rPr>
          <w:rFonts w:ascii="仿宋_GB2312" w:eastAsia="仿宋_GB2312" w:hAnsi="华文仿宋" w:cs="华文仿宋" w:hint="eastAsia"/>
          <w:sz w:val="32"/>
          <w:szCs w:val="32"/>
        </w:rPr>
        <w:t>报送值</w:t>
      </w:r>
      <w:proofErr w:type="gramEnd"/>
      <w:r w:rsidRPr="007F337A">
        <w:rPr>
          <w:rFonts w:ascii="仿宋_GB2312" w:eastAsia="仿宋_GB2312" w:hAnsi="华文仿宋" w:cs="华文仿宋" w:hint="eastAsia"/>
          <w:sz w:val="32"/>
          <w:szCs w:val="32"/>
        </w:rPr>
        <w:t>-1），试点公司整体优化效果较好；最优券商普遍优化率高于80%，优化效果明显；</w:t>
      </w:r>
    </w:p>
    <w:p w:rsidR="007B2CF1" w:rsidRPr="000541B3" w:rsidRDefault="007B2CF1" w:rsidP="000541B3">
      <w:pPr>
        <w:ind w:firstLineChars="200" w:firstLine="482"/>
        <w:jc w:val="center"/>
        <w:rPr>
          <w:rFonts w:ascii="宋体" w:hAnsi="宋体" w:cs="华文仿宋"/>
          <w:b/>
          <w:sz w:val="24"/>
        </w:rPr>
      </w:pPr>
      <w:r w:rsidRPr="000541B3">
        <w:rPr>
          <w:rFonts w:ascii="宋体" w:hAnsi="宋体" w:cs="华文仿宋" w:hint="eastAsia"/>
          <w:b/>
          <w:sz w:val="24"/>
        </w:rPr>
        <w:t>图</w:t>
      </w:r>
      <w:r w:rsidR="000541B3">
        <w:rPr>
          <w:rFonts w:ascii="宋体" w:hAnsi="宋体" w:cs="华文仿宋" w:hint="eastAsia"/>
          <w:b/>
          <w:sz w:val="24"/>
        </w:rPr>
        <w:t>9</w:t>
      </w:r>
      <w:r w:rsidRPr="000541B3">
        <w:rPr>
          <w:rFonts w:ascii="宋体" w:hAnsi="宋体" w:cs="华文仿宋" w:hint="eastAsia"/>
          <w:b/>
          <w:sz w:val="24"/>
        </w:rPr>
        <w:t>：账户运营管理最优优化券商情况</w:t>
      </w:r>
    </w:p>
    <w:p w:rsidR="00782E87" w:rsidRDefault="00782E87" w:rsidP="007B2CF1">
      <w:pPr>
        <w:ind w:firstLineChars="200" w:firstLine="420"/>
        <w:jc w:val="center"/>
      </w:pPr>
      <w:r>
        <w:rPr>
          <w:noProof/>
        </w:rPr>
        <w:drawing>
          <wp:inline distT="0" distB="0" distL="0" distR="0">
            <wp:extent cx="4872942" cy="266763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0938" cy="2677487"/>
                    </a:xfrm>
                    <a:prstGeom prst="rect">
                      <a:avLst/>
                    </a:prstGeom>
                    <a:noFill/>
                    <a:ln>
                      <a:noFill/>
                    </a:ln>
                  </pic:spPr>
                </pic:pic>
              </a:graphicData>
            </a:graphic>
          </wp:inline>
        </w:drawing>
      </w:r>
    </w:p>
    <w:p w:rsidR="00782E87" w:rsidRPr="007F337A" w:rsidRDefault="00782E87" w:rsidP="00782E87">
      <w:pPr>
        <w:ind w:firstLineChars="200" w:firstLine="640"/>
        <w:rPr>
          <w:rFonts w:ascii="仿宋_GB2312" w:eastAsia="仿宋_GB2312" w:hAnsi="华文仿宋" w:cs="华文仿宋"/>
          <w:sz w:val="32"/>
          <w:szCs w:val="32"/>
        </w:rPr>
      </w:pPr>
      <w:r w:rsidRPr="007F337A">
        <w:rPr>
          <w:rFonts w:ascii="仿宋_GB2312" w:eastAsia="仿宋_GB2312" w:hAnsi="华文仿宋" w:cs="华文仿宋" w:hint="eastAsia"/>
          <w:sz w:val="32"/>
          <w:szCs w:val="32"/>
        </w:rPr>
        <w:lastRenderedPageBreak/>
        <w:t>其中“关键信息比对不一致”，“证券账户使用信息核对”最优优化券商由几百上千优化至0，“未成年人”指标由1671优化至5，由此可见</w:t>
      </w:r>
      <w:r>
        <w:rPr>
          <w:rFonts w:ascii="仿宋_GB2312" w:eastAsia="仿宋_GB2312" w:hAnsi="华文仿宋" w:cs="华文仿宋" w:hint="eastAsia"/>
          <w:sz w:val="32"/>
          <w:szCs w:val="32"/>
        </w:rPr>
        <w:t>运营</w:t>
      </w:r>
      <w:r>
        <w:rPr>
          <w:rFonts w:ascii="仿宋_GB2312" w:eastAsia="仿宋_GB2312" w:hAnsi="华文仿宋" w:cs="华文仿宋"/>
          <w:sz w:val="32"/>
          <w:szCs w:val="32"/>
        </w:rPr>
        <w:t>管理信息</w:t>
      </w:r>
      <w:r>
        <w:rPr>
          <w:rFonts w:ascii="仿宋_GB2312" w:eastAsia="仿宋_GB2312" w:hAnsi="华文仿宋" w:cs="华文仿宋" w:hint="eastAsia"/>
          <w:sz w:val="32"/>
          <w:szCs w:val="32"/>
        </w:rPr>
        <w:t>报告</w:t>
      </w:r>
      <w:r>
        <w:rPr>
          <w:rFonts w:ascii="仿宋_GB2312" w:eastAsia="仿宋_GB2312" w:hAnsi="华文仿宋" w:cs="华文仿宋"/>
          <w:sz w:val="32"/>
          <w:szCs w:val="32"/>
        </w:rPr>
        <w:t>机制</w:t>
      </w:r>
      <w:r w:rsidRPr="007F337A">
        <w:rPr>
          <w:rFonts w:ascii="仿宋_GB2312" w:eastAsia="仿宋_GB2312" w:hAnsi="华文仿宋" w:cs="华文仿宋" w:hint="eastAsia"/>
          <w:sz w:val="32"/>
          <w:szCs w:val="32"/>
        </w:rPr>
        <w:t>对促使试点</w:t>
      </w:r>
      <w:r>
        <w:rPr>
          <w:rFonts w:ascii="仿宋_GB2312" w:eastAsia="仿宋_GB2312" w:hAnsi="华文仿宋" w:cs="华文仿宋" w:hint="eastAsia"/>
          <w:sz w:val="32"/>
          <w:szCs w:val="32"/>
        </w:rPr>
        <w:t>证券</w:t>
      </w:r>
      <w:r>
        <w:rPr>
          <w:rFonts w:ascii="仿宋_GB2312" w:eastAsia="仿宋_GB2312" w:hAnsi="华文仿宋" w:cs="华文仿宋"/>
          <w:sz w:val="32"/>
          <w:szCs w:val="32"/>
        </w:rPr>
        <w:t>公司</w:t>
      </w:r>
      <w:r w:rsidRPr="007F337A">
        <w:rPr>
          <w:rFonts w:ascii="仿宋_GB2312" w:eastAsia="仿宋_GB2312" w:hAnsi="华文仿宋" w:cs="华文仿宋" w:hint="eastAsia"/>
          <w:sz w:val="32"/>
          <w:szCs w:val="32"/>
        </w:rPr>
        <w:t>解决运营管理问题起</w:t>
      </w:r>
      <w:r>
        <w:rPr>
          <w:rFonts w:ascii="仿宋_GB2312" w:eastAsia="仿宋_GB2312" w:hAnsi="华文仿宋" w:cs="华文仿宋" w:hint="eastAsia"/>
          <w:sz w:val="32"/>
          <w:szCs w:val="32"/>
        </w:rPr>
        <w:t>到</w:t>
      </w:r>
      <w:r>
        <w:rPr>
          <w:rFonts w:ascii="仿宋_GB2312" w:eastAsia="仿宋_GB2312" w:hAnsi="华文仿宋" w:cs="华文仿宋"/>
          <w:sz w:val="32"/>
          <w:szCs w:val="32"/>
        </w:rPr>
        <w:t>了积极</w:t>
      </w:r>
      <w:r w:rsidRPr="007F337A">
        <w:rPr>
          <w:rFonts w:ascii="仿宋_GB2312" w:eastAsia="仿宋_GB2312" w:hAnsi="华文仿宋" w:cs="华文仿宋" w:hint="eastAsia"/>
          <w:sz w:val="32"/>
          <w:szCs w:val="32"/>
        </w:rPr>
        <w:t>的作用。以下为账户类指标最优优化券商指标报送前后的数据对比:</w:t>
      </w:r>
    </w:p>
    <w:p w:rsidR="00782E87" w:rsidRPr="000541B3" w:rsidRDefault="00782E87" w:rsidP="000541B3">
      <w:pPr>
        <w:ind w:firstLineChars="200" w:firstLine="482"/>
        <w:jc w:val="center"/>
        <w:rPr>
          <w:rFonts w:ascii="宋体" w:hAnsi="宋体" w:cs="华文仿宋"/>
          <w:b/>
          <w:sz w:val="24"/>
        </w:rPr>
      </w:pPr>
      <w:r w:rsidRPr="000541B3">
        <w:rPr>
          <w:rFonts w:ascii="宋体" w:hAnsi="宋体" w:cs="华文仿宋"/>
          <w:b/>
          <w:sz w:val="24"/>
        </w:rPr>
        <w:t>表</w:t>
      </w:r>
      <w:r w:rsidR="00924BCC" w:rsidRPr="000541B3">
        <w:rPr>
          <w:rFonts w:ascii="宋体" w:hAnsi="宋体" w:cs="华文仿宋"/>
          <w:b/>
          <w:sz w:val="24"/>
        </w:rPr>
        <w:t>1</w:t>
      </w:r>
      <w:r w:rsidRPr="000541B3">
        <w:rPr>
          <w:rFonts w:ascii="宋体" w:hAnsi="宋体" w:cs="华文仿宋"/>
          <w:b/>
          <w:sz w:val="24"/>
        </w:rPr>
        <w:t>：账户类指标最优优化券商数据报送前后的数据表</w:t>
      </w:r>
    </w:p>
    <w:tbl>
      <w:tblPr>
        <w:tblpPr w:leftFromText="180" w:rightFromText="180" w:vertAnchor="text" w:horzAnchor="page" w:tblpX="2280" w:tblpY="31"/>
        <w:tblOverlap w:val="never"/>
        <w:tblW w:w="0" w:type="auto"/>
        <w:tblLayout w:type="fixed"/>
        <w:tblCellMar>
          <w:left w:w="0" w:type="dxa"/>
          <w:right w:w="0" w:type="dxa"/>
        </w:tblCellMar>
        <w:tblLook w:val="0000" w:firstRow="0" w:lastRow="0" w:firstColumn="0" w:lastColumn="0" w:noHBand="0" w:noVBand="0"/>
      </w:tblPr>
      <w:tblGrid>
        <w:gridCol w:w="4510"/>
        <w:gridCol w:w="1580"/>
        <w:gridCol w:w="1580"/>
      </w:tblGrid>
      <w:tr w:rsidR="00782E87" w:rsidTr="00C3493A">
        <w:trPr>
          <w:trHeight w:val="350"/>
        </w:trPr>
        <w:tc>
          <w:tcPr>
            <w:tcW w:w="4510" w:type="dxa"/>
            <w:tcBorders>
              <w:top w:val="single" w:sz="4" w:space="0" w:color="000000"/>
              <w:left w:val="single" w:sz="4" w:space="0" w:color="000000"/>
              <w:bottom w:val="single" w:sz="4" w:space="0" w:color="000000"/>
              <w:right w:val="single" w:sz="4" w:space="0" w:color="000000"/>
            </w:tcBorders>
            <w:shd w:val="clear" w:color="auto" w:fill="A6A6A6"/>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指标</w:t>
            </w:r>
          </w:p>
        </w:tc>
        <w:tc>
          <w:tcPr>
            <w:tcW w:w="1580" w:type="dxa"/>
            <w:tcBorders>
              <w:top w:val="single" w:sz="4" w:space="0" w:color="000000"/>
              <w:left w:val="single" w:sz="4" w:space="0" w:color="000000"/>
              <w:bottom w:val="single" w:sz="4" w:space="0" w:color="000000"/>
              <w:right w:val="single" w:sz="4" w:space="0" w:color="000000"/>
            </w:tcBorders>
            <w:shd w:val="clear" w:color="auto" w:fill="A6A6A6"/>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2018年7月</w:t>
            </w:r>
          </w:p>
        </w:tc>
        <w:tc>
          <w:tcPr>
            <w:tcW w:w="1580" w:type="dxa"/>
            <w:tcBorders>
              <w:top w:val="single" w:sz="4" w:space="0" w:color="000000"/>
              <w:left w:val="single" w:sz="4" w:space="0" w:color="000000"/>
              <w:bottom w:val="single" w:sz="4" w:space="0" w:color="000000"/>
              <w:right w:val="single" w:sz="4" w:space="0" w:color="000000"/>
            </w:tcBorders>
            <w:shd w:val="clear" w:color="auto" w:fill="A6A6A6"/>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2019年8月</w:t>
            </w:r>
          </w:p>
        </w:tc>
      </w:tr>
      <w:tr w:rsidR="00782E87" w:rsidTr="00C3493A">
        <w:trPr>
          <w:trHeight w:val="280"/>
        </w:trPr>
        <w:tc>
          <w:tcPr>
            <w:tcW w:w="45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15位证件号码的客户账户</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181,171 </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37,292 </w:t>
            </w:r>
          </w:p>
        </w:tc>
      </w:tr>
      <w:tr w:rsidR="00782E87" w:rsidTr="00C3493A">
        <w:trPr>
          <w:trHeight w:val="280"/>
        </w:trPr>
        <w:tc>
          <w:tcPr>
            <w:tcW w:w="45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15位证件号码一码通账户</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56,648 </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4,441 </w:t>
            </w:r>
          </w:p>
        </w:tc>
      </w:tr>
      <w:tr w:rsidR="00782E87" w:rsidTr="00C3493A">
        <w:trPr>
          <w:trHeight w:val="280"/>
        </w:trPr>
        <w:tc>
          <w:tcPr>
            <w:tcW w:w="45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证件类型为其他的个人投资者一码通账户</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6,801 </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2,750 </w:t>
            </w:r>
          </w:p>
        </w:tc>
      </w:tr>
      <w:tr w:rsidR="00782E87" w:rsidTr="00C3493A">
        <w:trPr>
          <w:trHeight w:val="280"/>
        </w:trPr>
        <w:tc>
          <w:tcPr>
            <w:tcW w:w="45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同一投资者多个一码通</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2,560 </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1,540 </w:t>
            </w:r>
          </w:p>
        </w:tc>
      </w:tr>
      <w:tr w:rsidR="00782E87" w:rsidTr="00C3493A">
        <w:trPr>
          <w:trHeight w:val="280"/>
        </w:trPr>
        <w:tc>
          <w:tcPr>
            <w:tcW w:w="45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未成年人</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1,671 </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5 </w:t>
            </w:r>
          </w:p>
        </w:tc>
      </w:tr>
      <w:tr w:rsidR="00782E87" w:rsidTr="00C3493A">
        <w:trPr>
          <w:trHeight w:val="280"/>
        </w:trPr>
        <w:tc>
          <w:tcPr>
            <w:tcW w:w="45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百岁老人</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864 </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213 </w:t>
            </w:r>
          </w:p>
        </w:tc>
      </w:tr>
      <w:tr w:rsidR="00782E87" w:rsidTr="00C3493A">
        <w:trPr>
          <w:trHeight w:val="280"/>
        </w:trPr>
        <w:tc>
          <w:tcPr>
            <w:tcW w:w="45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证件有效期过期</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417,523 </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374,759 </w:t>
            </w:r>
          </w:p>
        </w:tc>
      </w:tr>
      <w:tr w:rsidR="00782E87" w:rsidTr="00C3493A">
        <w:trPr>
          <w:trHeight w:val="90"/>
        </w:trPr>
        <w:tc>
          <w:tcPr>
            <w:tcW w:w="45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关键信息比对不一致</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1,601 </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0 </w:t>
            </w:r>
          </w:p>
        </w:tc>
      </w:tr>
      <w:tr w:rsidR="00782E87" w:rsidTr="00C3493A">
        <w:trPr>
          <w:trHeight w:val="280"/>
        </w:trPr>
        <w:tc>
          <w:tcPr>
            <w:tcW w:w="45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联系电话和手机号码为空</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91,036 </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4,728 </w:t>
            </w:r>
          </w:p>
        </w:tc>
      </w:tr>
      <w:tr w:rsidR="00782E87" w:rsidTr="00C3493A">
        <w:trPr>
          <w:trHeight w:val="280"/>
        </w:trPr>
        <w:tc>
          <w:tcPr>
            <w:tcW w:w="45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联系地址为空</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83,191 </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4,373 </w:t>
            </w:r>
          </w:p>
        </w:tc>
      </w:tr>
      <w:tr w:rsidR="00782E87" w:rsidTr="00C3493A">
        <w:trPr>
          <w:trHeight w:val="280"/>
        </w:trPr>
        <w:tc>
          <w:tcPr>
            <w:tcW w:w="45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资金账户未上三方存管</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159,007 </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33,353 </w:t>
            </w:r>
          </w:p>
        </w:tc>
      </w:tr>
      <w:tr w:rsidR="00782E87" w:rsidTr="00C3493A">
        <w:trPr>
          <w:trHeight w:val="280"/>
        </w:trPr>
        <w:tc>
          <w:tcPr>
            <w:tcW w:w="45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证券账户使用信息核对</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Default="00782E87" w:rsidP="00C3493A">
            <w:pPr>
              <w:ind w:firstLineChars="200" w:firstLine="440"/>
              <w:rPr>
                <w:rFonts w:ascii="华文仿宋" w:eastAsia="华文仿宋" w:hAnsi="华文仿宋" w:cs="华文仿宋"/>
                <w:sz w:val="22"/>
                <w:szCs w:val="22"/>
              </w:rPr>
            </w:pPr>
            <w:r>
              <w:rPr>
                <w:rFonts w:ascii="华文仿宋" w:eastAsia="华文仿宋" w:hAnsi="华文仿宋" w:cs="华文仿宋" w:hint="eastAsia"/>
                <w:sz w:val="22"/>
                <w:szCs w:val="22"/>
              </w:rPr>
              <w:t xml:space="preserve">261 </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782E87" w:rsidRPr="004A7CE5" w:rsidRDefault="00782E87" w:rsidP="004A7CE5">
            <w:pPr>
              <w:pStyle w:val="a4"/>
              <w:numPr>
                <w:ilvl w:val="0"/>
                <w:numId w:val="2"/>
              </w:numPr>
              <w:ind w:firstLineChars="0"/>
              <w:rPr>
                <w:rFonts w:ascii="华文仿宋" w:eastAsia="华文仿宋" w:hAnsi="华文仿宋" w:cs="华文仿宋"/>
                <w:sz w:val="22"/>
                <w:szCs w:val="22"/>
              </w:rPr>
            </w:pPr>
          </w:p>
        </w:tc>
      </w:tr>
    </w:tbl>
    <w:p w:rsidR="00782E87" w:rsidRPr="007F337A" w:rsidRDefault="004A7CE5" w:rsidP="004679B9">
      <w:pPr>
        <w:spacing w:line="360" w:lineRule="auto"/>
        <w:ind w:firstLineChars="200" w:firstLine="643"/>
        <w:rPr>
          <w:rFonts w:ascii="仿宋_GB2312" w:eastAsia="仿宋_GB2312" w:hAnsi="华文仿宋" w:cs="华文仿宋"/>
          <w:b/>
          <w:sz w:val="32"/>
          <w:szCs w:val="32"/>
        </w:rPr>
      </w:pPr>
      <w:r>
        <w:rPr>
          <w:rFonts w:ascii="仿宋_GB2312" w:eastAsia="仿宋_GB2312" w:hAnsi="华文仿宋" w:cs="华文仿宋" w:hint="eastAsia"/>
          <w:b/>
          <w:sz w:val="32"/>
          <w:szCs w:val="32"/>
        </w:rPr>
        <w:t>（四）</w:t>
      </w:r>
      <w:r w:rsidR="00782E87" w:rsidRPr="007F337A">
        <w:rPr>
          <w:rFonts w:ascii="仿宋_GB2312" w:eastAsia="仿宋_GB2312" w:hAnsi="华文仿宋" w:cs="华文仿宋" w:hint="eastAsia"/>
          <w:b/>
          <w:sz w:val="32"/>
          <w:szCs w:val="32"/>
        </w:rPr>
        <w:t>部分公司尝试建立公司级运营管理考核体系，并</w:t>
      </w:r>
      <w:r w:rsidR="00BB6D78">
        <w:rPr>
          <w:rFonts w:ascii="仿宋_GB2312" w:eastAsia="仿宋_GB2312" w:hAnsi="华文仿宋" w:cs="华文仿宋" w:hint="eastAsia"/>
          <w:b/>
          <w:sz w:val="32"/>
          <w:szCs w:val="32"/>
        </w:rPr>
        <w:t>为公司战略规划提供有力支持</w:t>
      </w:r>
    </w:p>
    <w:p w:rsidR="00893875" w:rsidRDefault="00782E87" w:rsidP="00782E87">
      <w:pPr>
        <w:ind w:firstLineChars="200" w:firstLine="640"/>
        <w:rPr>
          <w:rFonts w:ascii="仿宋_GB2312" w:eastAsia="仿宋_GB2312" w:hAnsi="华文仿宋" w:cs="华文仿宋"/>
          <w:sz w:val="32"/>
          <w:szCs w:val="32"/>
        </w:rPr>
      </w:pPr>
      <w:r w:rsidRPr="007F337A">
        <w:rPr>
          <w:rFonts w:ascii="仿宋_GB2312" w:eastAsia="仿宋_GB2312" w:hAnsi="华文仿宋" w:cs="华文仿宋" w:hint="eastAsia"/>
          <w:sz w:val="32"/>
          <w:szCs w:val="32"/>
        </w:rPr>
        <w:t>部分试点证券公司通过总结试点工作经验，深入分析指</w:t>
      </w:r>
      <w:r w:rsidRPr="007F337A">
        <w:rPr>
          <w:rFonts w:ascii="仿宋_GB2312" w:eastAsia="仿宋_GB2312" w:hAnsi="华文仿宋" w:cs="华文仿宋" w:hint="eastAsia"/>
          <w:sz w:val="32"/>
          <w:szCs w:val="32"/>
        </w:rPr>
        <w:lastRenderedPageBreak/>
        <w:t>标内容，研究协会提供的同业分析报告，并抽取切实反映公司运营管理情况的重要指标，基于运营质量、效率、</w:t>
      </w:r>
      <w:proofErr w:type="gramStart"/>
      <w:r w:rsidRPr="007F337A">
        <w:rPr>
          <w:rFonts w:ascii="仿宋_GB2312" w:eastAsia="仿宋_GB2312" w:hAnsi="华文仿宋" w:cs="华文仿宋" w:hint="eastAsia"/>
          <w:sz w:val="32"/>
          <w:szCs w:val="32"/>
        </w:rPr>
        <w:t>风控等</w:t>
      </w:r>
      <w:proofErr w:type="gramEnd"/>
      <w:r w:rsidR="002B60A1">
        <w:rPr>
          <w:rFonts w:ascii="仿宋_GB2312" w:eastAsia="仿宋_GB2312" w:hAnsi="华文仿宋" w:cs="华文仿宋" w:hint="eastAsia"/>
          <w:sz w:val="32"/>
          <w:szCs w:val="32"/>
        </w:rPr>
        <w:t>多个维度，建立了内部运营管理量化考核体系，用以评估和考核运营</w:t>
      </w:r>
      <w:bookmarkStart w:id="0" w:name="_GoBack"/>
      <w:bookmarkEnd w:id="0"/>
      <w:r w:rsidRPr="007F337A">
        <w:rPr>
          <w:rFonts w:ascii="仿宋_GB2312" w:eastAsia="仿宋_GB2312" w:hAnsi="华文仿宋" w:cs="华文仿宋" w:hint="eastAsia"/>
          <w:sz w:val="32"/>
          <w:szCs w:val="32"/>
        </w:rPr>
        <w:t>管理水平。此外，部分试点公司将运营信息报告机制嵌入运营保障系统，形成运营指标生成、复核和督办等一系列电子化流程，提升了信息报告的真实性、及时性和安全性。同时，借助内部运营分析月报，运营管理者可通过运营指标数据展示窗口全面了解运营工作，以做到未雨绸缪、为公司战略规划提供有力支持。</w:t>
      </w:r>
    </w:p>
    <w:p w:rsidR="00217F9A" w:rsidRDefault="00217F9A" w:rsidP="00217F9A">
      <w:pPr>
        <w:pStyle w:val="Default"/>
        <w:rPr>
          <w:rFonts w:hint="default"/>
        </w:rPr>
      </w:pPr>
    </w:p>
    <w:p w:rsidR="00217F9A" w:rsidRDefault="00217F9A" w:rsidP="00217F9A">
      <w:pPr>
        <w:pStyle w:val="Default"/>
        <w:rPr>
          <w:rFonts w:hint="default"/>
        </w:rPr>
      </w:pPr>
    </w:p>
    <w:p w:rsidR="00217F9A" w:rsidRPr="00217F9A" w:rsidRDefault="00217F9A" w:rsidP="00217F9A">
      <w:pPr>
        <w:pStyle w:val="Default"/>
        <w:rPr>
          <w:rFonts w:hint="default"/>
        </w:rPr>
      </w:pPr>
      <w:r>
        <w:t xml:space="preserve">   </w:t>
      </w:r>
      <w:r w:rsidRPr="00217F9A">
        <w:rPr>
          <w:rFonts w:ascii="仿宋_GB2312" w:eastAsia="仿宋_GB2312" w:hAnsi="华文仿宋" w:cs="华文仿宋"/>
          <w:color w:val="auto"/>
          <w:kern w:val="2"/>
          <w:sz w:val="32"/>
          <w:szCs w:val="32"/>
        </w:rPr>
        <w:t xml:space="preserve">  附件：</w:t>
      </w:r>
      <w:r w:rsidR="00FD490A">
        <w:rPr>
          <w:rFonts w:ascii="仿宋_GB2312" w:eastAsia="仿宋_GB2312" w:hAnsi="华文仿宋" w:cs="华文仿宋"/>
          <w:color w:val="auto"/>
          <w:kern w:val="2"/>
          <w:sz w:val="32"/>
          <w:szCs w:val="32"/>
        </w:rPr>
        <w:t>1-</w:t>
      </w:r>
      <w:r w:rsidRPr="00217F9A">
        <w:rPr>
          <w:rFonts w:ascii="仿宋_GB2312" w:eastAsia="仿宋_GB2312" w:hAnsi="华文仿宋" w:cs="华文仿宋"/>
          <w:color w:val="auto"/>
          <w:kern w:val="2"/>
          <w:sz w:val="32"/>
          <w:szCs w:val="32"/>
        </w:rPr>
        <w:t>2</w:t>
      </w:r>
      <w:r w:rsidRPr="00217F9A">
        <w:rPr>
          <w:rFonts w:ascii="仿宋_GB2312" w:eastAsia="仿宋_GB2312" w:hAnsi="华文仿宋" w:cs="华文仿宋" w:hint="default"/>
          <w:color w:val="auto"/>
          <w:kern w:val="2"/>
          <w:sz w:val="32"/>
          <w:szCs w:val="32"/>
        </w:rPr>
        <w:t>-1</w:t>
      </w:r>
      <w:r>
        <w:rPr>
          <w:rFonts w:ascii="仿宋_GB2312" w:eastAsia="仿宋_GB2312" w:hAnsi="华文仿宋" w:cs="华文仿宋" w:hint="default"/>
          <w:color w:val="auto"/>
          <w:kern w:val="2"/>
          <w:sz w:val="32"/>
          <w:szCs w:val="32"/>
        </w:rPr>
        <w:t>.</w:t>
      </w:r>
      <w:r>
        <w:rPr>
          <w:rFonts w:ascii="仿宋_GB2312" w:eastAsia="仿宋_GB2312" w:hAnsi="华文仿宋" w:cs="华文仿宋"/>
          <w:color w:val="auto"/>
          <w:kern w:val="2"/>
          <w:sz w:val="32"/>
          <w:szCs w:val="32"/>
        </w:rPr>
        <w:t>试点</w:t>
      </w:r>
      <w:r>
        <w:rPr>
          <w:rFonts w:ascii="仿宋_GB2312" w:eastAsia="仿宋_GB2312" w:hAnsi="华文仿宋" w:cs="华文仿宋" w:hint="default"/>
          <w:color w:val="auto"/>
          <w:kern w:val="2"/>
          <w:sz w:val="32"/>
          <w:szCs w:val="32"/>
        </w:rPr>
        <w:t>期间使用的运营管理指标</w:t>
      </w:r>
      <w:r w:rsidR="00DF357D">
        <w:rPr>
          <w:rFonts w:ascii="仿宋_GB2312" w:eastAsia="仿宋_GB2312" w:hAnsi="华文仿宋" w:cs="华文仿宋"/>
          <w:color w:val="auto"/>
          <w:kern w:val="2"/>
          <w:sz w:val="32"/>
          <w:szCs w:val="32"/>
        </w:rPr>
        <w:t xml:space="preserve"> </w:t>
      </w:r>
    </w:p>
    <w:sectPr w:rsidR="00217F9A" w:rsidRPr="00217F9A">
      <w:foot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BC3" w:rsidRDefault="002E7BC3">
      <w:r>
        <w:separator/>
      </w:r>
    </w:p>
  </w:endnote>
  <w:endnote w:type="continuationSeparator" w:id="0">
    <w:p w:rsidR="002E7BC3" w:rsidRDefault="002E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FangSong-Z02">
    <w:altName w:val="宋体"/>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78" w:rsidRDefault="00320A11">
    <w:pPr>
      <w:pStyle w:val="a3"/>
      <w:jc w:val="center"/>
    </w:pPr>
    <w:r>
      <w:fldChar w:fldCharType="begin"/>
    </w:r>
    <w:r>
      <w:instrText>PAGE   \* MERGEFORMAT</w:instrText>
    </w:r>
    <w:r>
      <w:fldChar w:fldCharType="separate"/>
    </w:r>
    <w:r w:rsidR="002B60A1" w:rsidRPr="002B60A1">
      <w:rPr>
        <w:noProof/>
        <w:lang w:val="zh-CN"/>
      </w:rPr>
      <w:t>7</w:t>
    </w:r>
    <w:r>
      <w:fldChar w:fldCharType="end"/>
    </w:r>
  </w:p>
  <w:p w:rsidR="00B76578" w:rsidRDefault="002E7BC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BC3" w:rsidRDefault="002E7BC3">
      <w:r>
        <w:separator/>
      </w:r>
    </w:p>
  </w:footnote>
  <w:footnote w:type="continuationSeparator" w:id="0">
    <w:p w:rsidR="002E7BC3" w:rsidRDefault="002E7B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lvl w:ilvl="0">
      <w:start w:val="2"/>
      <w:numFmt w:val="chineseCounting"/>
      <w:suff w:val="nothing"/>
      <w:lvlText w:val="（%1）"/>
      <w:lvlJc w:val="left"/>
      <w:rPr>
        <w:rFonts w:hint="eastAsia"/>
      </w:rPr>
    </w:lvl>
  </w:abstractNum>
  <w:abstractNum w:abstractNumId="1" w15:restartNumberingAfterBreak="0">
    <w:nsid w:val="12311CE7"/>
    <w:multiLevelType w:val="hybridMultilevel"/>
    <w:tmpl w:val="90CC5FB2"/>
    <w:lvl w:ilvl="0" w:tplc="638A1AE8">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87"/>
    <w:rsid w:val="00005E66"/>
    <w:rsid w:val="00011D12"/>
    <w:rsid w:val="00020DD9"/>
    <w:rsid w:val="000541B3"/>
    <w:rsid w:val="000637CF"/>
    <w:rsid w:val="00070202"/>
    <w:rsid w:val="00071363"/>
    <w:rsid w:val="000A2E69"/>
    <w:rsid w:val="00103DAC"/>
    <w:rsid w:val="00105449"/>
    <w:rsid w:val="00120DAF"/>
    <w:rsid w:val="001705FE"/>
    <w:rsid w:val="00191C16"/>
    <w:rsid w:val="001C7D9C"/>
    <w:rsid w:val="001E6058"/>
    <w:rsid w:val="001F6541"/>
    <w:rsid w:val="00204E9D"/>
    <w:rsid w:val="002131C6"/>
    <w:rsid w:val="00217F9A"/>
    <w:rsid w:val="00220C73"/>
    <w:rsid w:val="00242AD7"/>
    <w:rsid w:val="00270B43"/>
    <w:rsid w:val="00285A2E"/>
    <w:rsid w:val="002A28BC"/>
    <w:rsid w:val="002B0CAF"/>
    <w:rsid w:val="002B60A1"/>
    <w:rsid w:val="002C5829"/>
    <w:rsid w:val="002E7BC3"/>
    <w:rsid w:val="00317AA5"/>
    <w:rsid w:val="00320A11"/>
    <w:rsid w:val="0032556A"/>
    <w:rsid w:val="00330123"/>
    <w:rsid w:val="0034544C"/>
    <w:rsid w:val="003543C1"/>
    <w:rsid w:val="00355680"/>
    <w:rsid w:val="003607A4"/>
    <w:rsid w:val="003917C7"/>
    <w:rsid w:val="00395E36"/>
    <w:rsid w:val="003C09F9"/>
    <w:rsid w:val="003E28D4"/>
    <w:rsid w:val="00416CD2"/>
    <w:rsid w:val="004679B9"/>
    <w:rsid w:val="00467F71"/>
    <w:rsid w:val="0049300D"/>
    <w:rsid w:val="004A7CE5"/>
    <w:rsid w:val="0050602C"/>
    <w:rsid w:val="0051340A"/>
    <w:rsid w:val="005216B8"/>
    <w:rsid w:val="00531C57"/>
    <w:rsid w:val="005E2C08"/>
    <w:rsid w:val="0062049C"/>
    <w:rsid w:val="00675A13"/>
    <w:rsid w:val="00675BBC"/>
    <w:rsid w:val="00697370"/>
    <w:rsid w:val="006C1CD1"/>
    <w:rsid w:val="006D157A"/>
    <w:rsid w:val="006F0FC8"/>
    <w:rsid w:val="006F1FE9"/>
    <w:rsid w:val="00746088"/>
    <w:rsid w:val="00761F72"/>
    <w:rsid w:val="0077777C"/>
    <w:rsid w:val="007824B4"/>
    <w:rsid w:val="00782E87"/>
    <w:rsid w:val="007B2CF1"/>
    <w:rsid w:val="007B6B84"/>
    <w:rsid w:val="007F4943"/>
    <w:rsid w:val="008162B1"/>
    <w:rsid w:val="00893875"/>
    <w:rsid w:val="008C26B5"/>
    <w:rsid w:val="00924BCC"/>
    <w:rsid w:val="009333A8"/>
    <w:rsid w:val="0093783E"/>
    <w:rsid w:val="00972CDC"/>
    <w:rsid w:val="009B0773"/>
    <w:rsid w:val="009C0B6C"/>
    <w:rsid w:val="009D3A2D"/>
    <w:rsid w:val="009D3D7B"/>
    <w:rsid w:val="009F1E3C"/>
    <w:rsid w:val="009F763C"/>
    <w:rsid w:val="00A0585C"/>
    <w:rsid w:val="00A43BE0"/>
    <w:rsid w:val="00AD46D9"/>
    <w:rsid w:val="00B34914"/>
    <w:rsid w:val="00B43830"/>
    <w:rsid w:val="00B8398B"/>
    <w:rsid w:val="00B9158A"/>
    <w:rsid w:val="00BB6D78"/>
    <w:rsid w:val="00BC6E45"/>
    <w:rsid w:val="00BD30B7"/>
    <w:rsid w:val="00C272B7"/>
    <w:rsid w:val="00C33BCD"/>
    <w:rsid w:val="00C44306"/>
    <w:rsid w:val="00C51F1B"/>
    <w:rsid w:val="00C941F6"/>
    <w:rsid w:val="00CA3B54"/>
    <w:rsid w:val="00CA4825"/>
    <w:rsid w:val="00CA4E7C"/>
    <w:rsid w:val="00CB300A"/>
    <w:rsid w:val="00D4529D"/>
    <w:rsid w:val="00D64706"/>
    <w:rsid w:val="00D82D23"/>
    <w:rsid w:val="00D86A22"/>
    <w:rsid w:val="00DB6B3C"/>
    <w:rsid w:val="00DF357D"/>
    <w:rsid w:val="00E20BCC"/>
    <w:rsid w:val="00E34CAE"/>
    <w:rsid w:val="00E43B02"/>
    <w:rsid w:val="00E82FF1"/>
    <w:rsid w:val="00E93871"/>
    <w:rsid w:val="00EB4DF2"/>
    <w:rsid w:val="00EC098A"/>
    <w:rsid w:val="00EF27E7"/>
    <w:rsid w:val="00F0399D"/>
    <w:rsid w:val="00F047C3"/>
    <w:rsid w:val="00F11F1B"/>
    <w:rsid w:val="00F36E3F"/>
    <w:rsid w:val="00FD490A"/>
    <w:rsid w:val="00FE1FC1"/>
    <w:rsid w:val="00FF38CB"/>
    <w:rsid w:val="00FF5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9E4AC7-2539-43AA-8711-E644A847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782E8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782E87"/>
    <w:rPr>
      <w:rFonts w:ascii="Calibri" w:eastAsia="宋体" w:hAnsi="Calibri" w:cs="Times New Roman"/>
      <w:sz w:val="18"/>
      <w:szCs w:val="18"/>
    </w:rPr>
  </w:style>
  <w:style w:type="paragraph" w:styleId="a3">
    <w:name w:val="footer"/>
    <w:basedOn w:val="a"/>
    <w:link w:val="Char"/>
    <w:rsid w:val="00782E87"/>
    <w:pPr>
      <w:tabs>
        <w:tab w:val="center" w:pos="4153"/>
        <w:tab w:val="right" w:pos="8306"/>
      </w:tabs>
      <w:snapToGrid w:val="0"/>
      <w:jc w:val="left"/>
    </w:pPr>
    <w:rPr>
      <w:sz w:val="18"/>
      <w:szCs w:val="18"/>
    </w:rPr>
  </w:style>
  <w:style w:type="character" w:customStyle="1" w:styleId="1">
    <w:name w:val="页脚 字符1"/>
    <w:basedOn w:val="a0"/>
    <w:uiPriority w:val="99"/>
    <w:semiHidden/>
    <w:rsid w:val="00782E87"/>
    <w:rPr>
      <w:rFonts w:ascii="Calibri" w:eastAsia="宋体" w:hAnsi="Calibri" w:cs="Times New Roman"/>
      <w:sz w:val="18"/>
      <w:szCs w:val="18"/>
    </w:rPr>
  </w:style>
  <w:style w:type="paragraph" w:customStyle="1" w:styleId="Default">
    <w:name w:val="Default"/>
    <w:rsid w:val="00782E87"/>
    <w:pPr>
      <w:widowControl w:val="0"/>
      <w:autoSpaceDE w:val="0"/>
      <w:autoSpaceDN w:val="0"/>
      <w:adjustRightInd w:val="0"/>
    </w:pPr>
    <w:rPr>
      <w:rFonts w:ascii="FZFangSong-Z02" w:eastAsia="FZFangSong-Z02" w:hAnsi="FZFangSong-Z02" w:cs="Times New Roman" w:hint="eastAsia"/>
      <w:color w:val="000000"/>
      <w:kern w:val="0"/>
      <w:sz w:val="24"/>
    </w:rPr>
  </w:style>
  <w:style w:type="paragraph" w:styleId="a4">
    <w:name w:val="List Paragraph"/>
    <w:basedOn w:val="a"/>
    <w:qFormat/>
    <w:rsid w:val="00782E87"/>
    <w:pPr>
      <w:ind w:firstLineChars="200" w:firstLine="420"/>
    </w:pPr>
  </w:style>
  <w:style w:type="paragraph" w:styleId="a5">
    <w:name w:val="header"/>
    <w:basedOn w:val="a"/>
    <w:link w:val="Char0"/>
    <w:uiPriority w:val="99"/>
    <w:unhideWhenUsed/>
    <w:rsid w:val="00675B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75BB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C:\workdata\&#25968;&#25454;&#32479;&#3574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workdata\&#25968;&#25454;&#32479;&#35745;.xls"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workdata\&#21508;&#25351;&#26631;&#21464;&#21270;&#26368;&#20248;&#30340;&#21048;&#2183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各系统系统每笔清算记录耗时</a:t>
            </a:r>
          </a:p>
        </c:rich>
      </c:tx>
      <c:overlay val="0"/>
      <c:spPr>
        <a:noFill/>
        <a:ln>
          <a:noFill/>
        </a:ln>
        <a:effectLst/>
      </c:spPr>
    </c:title>
    <c:autoTitleDeleted val="0"/>
    <c:plotArea>
      <c:layout/>
      <c:scatterChart>
        <c:scatterStyle val="smoothMarker"/>
        <c:varyColors val="0"/>
        <c:ser>
          <c:idx val="0"/>
          <c:order val="0"/>
          <c:tx>
            <c:strRef>
              <c:f>[数据统计.xls]清算效率报表统计!$B$17</c:f>
              <c:strCache>
                <c:ptCount val="1"/>
                <c:pt idx="0">
                  <c:v>法人清算系统</c:v>
                </c:pt>
              </c:strCache>
            </c:strRef>
          </c:tx>
          <c:spPr>
            <a:ln w="19050" cap="rnd" cmpd="sng" algn="ctr">
              <a:solidFill>
                <a:srgbClr val="4F81BD"/>
              </a:solidFill>
              <a:prstDash val="solid"/>
              <a:round/>
            </a:ln>
            <a:effectLst/>
          </c:spPr>
          <c:marker>
            <c:symbol val="circle"/>
            <c:size val="5"/>
            <c:spPr>
              <a:solidFill>
                <a:srgbClr val="4F81BD"/>
              </a:solidFill>
              <a:ln w="9525" cap="flat" cmpd="sng" algn="ctr">
                <a:solidFill>
                  <a:srgbClr val="4F81BD"/>
                </a:solidFill>
                <a:prstDash val="solid"/>
                <a:round/>
              </a:ln>
              <a:effectLst/>
            </c:spPr>
          </c:marker>
          <c:xVal>
            <c:numRef>
              <c:f>[数据统计.xls]清算效率报表统计!$A$18:$A$28</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[数据统计.xls]清算效率报表统计!$B$18:$B$28</c:f>
              <c:numCache>
                <c:formatCode>0.0000_ </c:formatCode>
                <c:ptCount val="11"/>
                <c:pt idx="0">
                  <c:v>5.3648783207807505E-4</c:v>
                </c:pt>
                <c:pt idx="1">
                  <c:v>5.2891667397432301E-4</c:v>
                </c:pt>
                <c:pt idx="2">
                  <c:v>4.7596448832318999E-4</c:v>
                </c:pt>
                <c:pt idx="3">
                  <c:v>4.9802362625412104E-4</c:v>
                </c:pt>
                <c:pt idx="4">
                  <c:v>4.8081515100612102E-4</c:v>
                </c:pt>
                <c:pt idx="5">
                  <c:v>4.5965423112805901E-4</c:v>
                </c:pt>
                <c:pt idx="6">
                  <c:v>4.6446756984538901E-4</c:v>
                </c:pt>
                <c:pt idx="7">
                  <c:v>4.6840591721746401E-4</c:v>
                </c:pt>
                <c:pt idx="8">
                  <c:v>4.5755390471049199E-4</c:v>
                </c:pt>
                <c:pt idx="9">
                  <c:v>4.4403456343999897E-4</c:v>
                </c:pt>
                <c:pt idx="10">
                  <c:v>4.4546543895303899E-4</c:v>
                </c:pt>
              </c:numCache>
            </c:numRef>
          </c:yVal>
          <c:smooth val="1"/>
          <c:extLst xmlns:c16r2="http://schemas.microsoft.com/office/drawing/2015/06/chart">
            <c:ext xmlns:c16="http://schemas.microsoft.com/office/drawing/2014/chart" uri="{C3380CC4-5D6E-409C-BE32-E72D297353CC}">
              <c16:uniqueId val="{00000000-973C-46CC-8E24-93E57C3D6C43}"/>
            </c:ext>
          </c:extLst>
        </c:ser>
        <c:ser>
          <c:idx val="1"/>
          <c:order val="1"/>
          <c:tx>
            <c:strRef>
              <c:f>[数据统计.xls]清算效率报表统计!$C$17</c:f>
              <c:strCache>
                <c:ptCount val="1"/>
                <c:pt idx="0">
                  <c:v>普通柜台系统交易系统</c:v>
                </c:pt>
              </c:strCache>
            </c:strRef>
          </c:tx>
          <c:spPr>
            <a:ln w="19050" cap="rnd" cmpd="sng" algn="ctr">
              <a:solidFill>
                <a:srgbClr val="C0504D"/>
              </a:solidFill>
              <a:prstDash val="solid"/>
              <a:round/>
            </a:ln>
            <a:effectLst/>
          </c:spPr>
          <c:marker>
            <c:symbol val="circle"/>
            <c:size val="5"/>
            <c:spPr>
              <a:solidFill>
                <a:srgbClr val="C0504D"/>
              </a:solidFill>
              <a:ln w="9525" cap="flat" cmpd="sng" algn="ctr">
                <a:solidFill>
                  <a:srgbClr val="C0504D"/>
                </a:solidFill>
                <a:prstDash val="solid"/>
                <a:round/>
              </a:ln>
              <a:effectLst/>
            </c:spPr>
          </c:marker>
          <c:xVal>
            <c:numRef>
              <c:f>[数据统计.xls]清算效率报表统计!$A$18:$A$28</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[数据统计.xls]清算效率报表统计!$C$18:$C$28</c:f>
              <c:numCache>
                <c:formatCode>0.0000_ </c:formatCode>
                <c:ptCount val="11"/>
                <c:pt idx="0">
                  <c:v>1.30537423598816E-4</c:v>
                </c:pt>
                <c:pt idx="1">
                  <c:v>1.0874811945579399E-4</c:v>
                </c:pt>
                <c:pt idx="2">
                  <c:v>1.0832564291560901E-4</c:v>
                </c:pt>
                <c:pt idx="3">
                  <c:v>8.2612516103290599E-5</c:v>
                </c:pt>
                <c:pt idx="4">
                  <c:v>6.5403127777028606E-5</c:v>
                </c:pt>
                <c:pt idx="5">
                  <c:v>6.7237248346995997E-5</c:v>
                </c:pt>
                <c:pt idx="6">
                  <c:v>7.7628542275216995E-5</c:v>
                </c:pt>
                <c:pt idx="7">
                  <c:v>7.5241947716760599E-5</c:v>
                </c:pt>
                <c:pt idx="8">
                  <c:v>8.5250511666126798E-5</c:v>
                </c:pt>
                <c:pt idx="9">
                  <c:v>8.4427594384866802E-5</c:v>
                </c:pt>
                <c:pt idx="10">
                  <c:v>6.8913415686135601E-5</c:v>
                </c:pt>
              </c:numCache>
            </c:numRef>
          </c:yVal>
          <c:smooth val="1"/>
          <c:extLst xmlns:c16r2="http://schemas.microsoft.com/office/drawing/2015/06/chart">
            <c:ext xmlns:c16="http://schemas.microsoft.com/office/drawing/2014/chart" uri="{C3380CC4-5D6E-409C-BE32-E72D297353CC}">
              <c16:uniqueId val="{00000001-973C-46CC-8E24-93E57C3D6C43}"/>
            </c:ext>
          </c:extLst>
        </c:ser>
        <c:ser>
          <c:idx val="2"/>
          <c:order val="2"/>
          <c:tx>
            <c:strRef>
              <c:f>[数据统计.xls]清算效率报表统计!$D$17</c:f>
              <c:strCache>
                <c:ptCount val="1"/>
                <c:pt idx="0">
                  <c:v>融资融券柜台系统交易系统</c:v>
                </c:pt>
              </c:strCache>
            </c:strRef>
          </c:tx>
          <c:spPr>
            <a:ln w="19050" cap="rnd" cmpd="sng" algn="ctr">
              <a:solidFill>
                <a:srgbClr val="9BBB59"/>
              </a:solidFill>
              <a:prstDash val="solid"/>
              <a:round/>
            </a:ln>
            <a:effectLst/>
          </c:spPr>
          <c:marker>
            <c:symbol val="circle"/>
            <c:size val="5"/>
            <c:spPr>
              <a:solidFill>
                <a:srgbClr val="9BBB59"/>
              </a:solidFill>
              <a:ln w="9525" cap="flat" cmpd="sng" algn="ctr">
                <a:solidFill>
                  <a:srgbClr val="9BBB59"/>
                </a:solidFill>
                <a:prstDash val="solid"/>
                <a:round/>
              </a:ln>
              <a:effectLst/>
            </c:spPr>
          </c:marker>
          <c:xVal>
            <c:numRef>
              <c:f>[数据统计.xls]清算效率报表统计!$A$18:$A$28</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[数据统计.xls]清算效率报表统计!$D$18:$D$28</c:f>
              <c:numCache>
                <c:formatCode>0.0000_ </c:formatCode>
                <c:ptCount val="11"/>
                <c:pt idx="0">
                  <c:v>5.82710659699825E-4</c:v>
                </c:pt>
                <c:pt idx="1">
                  <c:v>6.1033487604425995E-4</c:v>
                </c:pt>
                <c:pt idx="2">
                  <c:v>5.7443090093169699E-4</c:v>
                </c:pt>
                <c:pt idx="3">
                  <c:v>3.82381375572268E-4</c:v>
                </c:pt>
                <c:pt idx="4">
                  <c:v>3.11316166880728E-4</c:v>
                </c:pt>
                <c:pt idx="5">
                  <c:v>3.3102708281940499E-4</c:v>
                </c:pt>
                <c:pt idx="6">
                  <c:v>4.0706911920857701E-4</c:v>
                </c:pt>
                <c:pt idx="7">
                  <c:v>4.2201027701437802E-4</c:v>
                </c:pt>
                <c:pt idx="8">
                  <c:v>4.7248936240638798E-4</c:v>
                </c:pt>
                <c:pt idx="9">
                  <c:v>4.5806196192695498E-4</c:v>
                </c:pt>
                <c:pt idx="10">
                  <c:v>3.4443713964884301E-4</c:v>
                </c:pt>
              </c:numCache>
            </c:numRef>
          </c:yVal>
          <c:smooth val="1"/>
          <c:extLst xmlns:c16r2="http://schemas.microsoft.com/office/drawing/2015/06/chart">
            <c:ext xmlns:c16="http://schemas.microsoft.com/office/drawing/2014/chart" uri="{C3380CC4-5D6E-409C-BE32-E72D297353CC}">
              <c16:uniqueId val="{00000002-973C-46CC-8E24-93E57C3D6C43}"/>
            </c:ext>
          </c:extLst>
        </c:ser>
        <c:dLbls>
          <c:showLegendKey val="0"/>
          <c:showVal val="0"/>
          <c:showCatName val="0"/>
          <c:showSerName val="0"/>
          <c:showPercent val="0"/>
          <c:showBubbleSize val="0"/>
        </c:dLbls>
        <c:axId val="-495761088"/>
        <c:axId val="-495755648"/>
      </c:scatterChart>
      <c:valAx>
        <c:axId val="-495761088"/>
        <c:scaling>
          <c:orientation val="minMax"/>
        </c:scaling>
        <c:delete val="0"/>
        <c:axPos val="b"/>
        <c:majorGridlines>
          <c:spPr>
            <a:ln w="9525" cap="flat" cmpd="sng" algn="ctr">
              <a:solidFill>
                <a:srgbClr val="D9D9D9">
                  <a:lumMod val="15000"/>
                  <a:lumOff val="85000"/>
                </a:srgbClr>
              </a:solidFill>
              <a:prstDash val="solid"/>
              <a:round/>
            </a:ln>
            <a:effectLst/>
          </c:spPr>
        </c:majorGridlines>
        <c:title>
          <c:tx>
            <c:rich>
              <a:bodyPr rot="0" spcFirstLastPara="0" vertOverflow="ellipsis" vert="horz" wrap="square" anchor="ctr" anchorCtr="1"/>
              <a:lstStyle/>
              <a:p>
                <a:pPr defTabSz="914400">
                  <a:defRPr lang="zh-CN" sz="1000" b="1" i="0" u="none" strike="noStrike" kern="1200" baseline="0">
                    <a:solidFill>
                      <a:srgbClr val="000000"/>
                    </a:solidFill>
                    <a:latin typeface="+mn-lt"/>
                    <a:ea typeface="+mn-ea"/>
                    <a:cs typeface="+mn-cs"/>
                  </a:defRPr>
                </a:pPr>
                <a:r>
                  <a:rPr lang="en-US" altLang="zh-CN"/>
                  <a:t>2019</a:t>
                </a:r>
                <a:r>
                  <a:rPr lang="zh-CN" altLang="en-US"/>
                  <a:t>年</a:t>
                </a:r>
              </a:p>
            </c:rich>
          </c:tx>
          <c:overlay val="0"/>
        </c:title>
        <c:numFmt formatCode="General" sourceLinked="1"/>
        <c:majorTickMark val="none"/>
        <c:minorTickMark val="none"/>
        <c:tickLblPos val="nextTo"/>
        <c:spPr>
          <a:noFill/>
          <a:ln w="9525" cap="flat" cmpd="sng" algn="ctr">
            <a:solidFill>
              <a:srgbClr val="BFBFBF">
                <a:lumMod val="25000"/>
                <a:lumOff val="7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495755648"/>
        <c:crosses val="autoZero"/>
        <c:crossBetween val="midCat"/>
      </c:valAx>
      <c:valAx>
        <c:axId val="-495755648"/>
        <c:scaling>
          <c:orientation val="minMax"/>
        </c:scaling>
        <c:delete val="0"/>
        <c:axPos val="l"/>
        <c:majorGridlines>
          <c:spPr>
            <a:ln w="9525" cap="flat" cmpd="sng" algn="ctr">
              <a:solidFill>
                <a:srgbClr val="D9D9D9">
                  <a:lumMod val="15000"/>
                  <a:lumOff val="85000"/>
                </a:srgbClr>
              </a:solidFill>
              <a:prstDash val="solid"/>
              <a:round/>
            </a:ln>
            <a:effectLst/>
          </c:spPr>
        </c:majorGridlines>
        <c:title>
          <c:tx>
            <c:rich>
              <a:bodyPr rot="-5400000" spcFirstLastPara="0" vertOverflow="ellipsis" vert="horz" wrap="square" anchor="ctr" anchorCtr="1"/>
              <a:lstStyle/>
              <a:p>
                <a:pPr defTabSz="914400">
                  <a:defRPr lang="zh-CN" sz="1000" b="1" i="0" u="none" strike="noStrike" kern="1200" baseline="0">
                    <a:solidFill>
                      <a:srgbClr val="000000"/>
                    </a:solidFill>
                    <a:latin typeface="+mn-lt"/>
                    <a:ea typeface="+mn-ea"/>
                    <a:cs typeface="+mn-cs"/>
                  </a:defRPr>
                </a:pPr>
                <a:r>
                  <a:rPr lang="zh-CN" altLang="en-US"/>
                  <a:t>笔</a:t>
                </a:r>
                <a:r>
                  <a:rPr lang="en-US" altLang="zh-CN"/>
                  <a:t>/</a:t>
                </a:r>
                <a:r>
                  <a:rPr lang="zh-CN" altLang="en-US"/>
                  <a:t>秒</a:t>
                </a:r>
              </a:p>
            </c:rich>
          </c:tx>
          <c:overlay val="0"/>
        </c:title>
        <c:numFmt formatCode="0.0000_ " sourceLinked="1"/>
        <c:majorTickMark val="none"/>
        <c:minorTickMark val="none"/>
        <c:tickLblPos val="nextTo"/>
        <c:spPr>
          <a:noFill/>
          <a:ln w="9525" cap="flat" cmpd="sng" algn="ctr">
            <a:solidFill>
              <a:srgbClr val="BFBFBF">
                <a:lumMod val="25000"/>
                <a:lumOff val="7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495761088"/>
        <c:crosses val="autoZero"/>
        <c:crossBetween val="midCat"/>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a:t>股票期权柜台系统每笔清算记录耗时</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overlay val="0"/>
      <c:spPr>
        <a:noFill/>
        <a:ln>
          <a:noFill/>
        </a:ln>
        <a:effectLst/>
      </c:spPr>
    </c:title>
    <c:autoTitleDeleted val="0"/>
    <c:plotArea>
      <c:layout/>
      <c:scatterChart>
        <c:scatterStyle val="smoothMarker"/>
        <c:varyColors val="0"/>
        <c:ser>
          <c:idx val="0"/>
          <c:order val="0"/>
          <c:tx>
            <c:strRef>
              <c:f>[数据统计.xls]清算效率报表统计!$B$44</c:f>
              <c:strCache>
                <c:ptCount val="1"/>
                <c:pt idx="0">
                  <c:v>股票期权交易系统</c:v>
                </c:pt>
              </c:strCache>
            </c:strRef>
          </c:tx>
          <c:spPr>
            <a:ln w="19050" cap="rnd" cmpd="sng" algn="ctr">
              <a:solidFill>
                <a:srgbClr val="4F81BD"/>
              </a:solidFill>
              <a:prstDash val="solid"/>
              <a:round/>
            </a:ln>
            <a:effectLst/>
          </c:spPr>
          <c:marker>
            <c:symbol val="circle"/>
            <c:size val="5"/>
            <c:spPr>
              <a:solidFill>
                <a:srgbClr val="4F81BD"/>
              </a:solidFill>
              <a:ln w="9525" cap="flat" cmpd="sng" algn="ctr">
                <a:solidFill>
                  <a:srgbClr val="4F81BD"/>
                </a:solidFill>
                <a:prstDash val="solid"/>
                <a:round/>
              </a:ln>
              <a:effectLst/>
            </c:spPr>
          </c:marker>
          <c:xVal>
            <c:numRef>
              <c:f>[数据统计.xls]清算效率报表统计!$A$45:$A$55</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[数据统计.xls]清算效率报表统计!$B$45:$B$55</c:f>
              <c:numCache>
                <c:formatCode>0.000_ </c:formatCode>
                <c:ptCount val="11"/>
                <c:pt idx="0">
                  <c:v>0.89772530814666995</c:v>
                </c:pt>
                <c:pt idx="1">
                  <c:v>0.69439620124990897</c:v>
                </c:pt>
                <c:pt idx="2">
                  <c:v>0.66909802447571798</c:v>
                </c:pt>
                <c:pt idx="3">
                  <c:v>0.43332645465450897</c:v>
                </c:pt>
                <c:pt idx="4">
                  <c:v>0.395501190473245</c:v>
                </c:pt>
                <c:pt idx="5">
                  <c:v>0.35326046564038099</c:v>
                </c:pt>
                <c:pt idx="6">
                  <c:v>0.35999158023549499</c:v>
                </c:pt>
                <c:pt idx="7">
                  <c:v>0.37138832778192299</c:v>
                </c:pt>
                <c:pt idx="8">
                  <c:v>0.45093430961887299</c:v>
                </c:pt>
                <c:pt idx="9">
                  <c:v>0.39828950500788302</c:v>
                </c:pt>
                <c:pt idx="10">
                  <c:v>0.38769897554738197</c:v>
                </c:pt>
              </c:numCache>
            </c:numRef>
          </c:yVal>
          <c:smooth val="1"/>
          <c:extLst xmlns:c16r2="http://schemas.microsoft.com/office/drawing/2015/06/chart">
            <c:ext xmlns:c16="http://schemas.microsoft.com/office/drawing/2014/chart" uri="{C3380CC4-5D6E-409C-BE32-E72D297353CC}">
              <c16:uniqueId val="{00000000-EE94-4516-8E2D-D22D3A267589}"/>
            </c:ext>
          </c:extLst>
        </c:ser>
        <c:dLbls>
          <c:showLegendKey val="0"/>
          <c:showVal val="0"/>
          <c:showCatName val="0"/>
          <c:showSerName val="0"/>
          <c:showPercent val="0"/>
          <c:showBubbleSize val="0"/>
        </c:dLbls>
        <c:axId val="-495751296"/>
        <c:axId val="-495766528"/>
      </c:scatterChart>
      <c:valAx>
        <c:axId val="-495751296"/>
        <c:scaling>
          <c:orientation val="minMax"/>
        </c:scaling>
        <c:delete val="0"/>
        <c:axPos val="b"/>
        <c:majorGridlines>
          <c:spPr>
            <a:ln w="9525" cap="flat" cmpd="sng" algn="ctr">
              <a:solidFill>
                <a:srgbClr val="D9D9D9">
                  <a:lumMod val="15000"/>
                  <a:lumOff val="85000"/>
                </a:srgbClr>
              </a:solidFill>
              <a:prstDash val="solid"/>
              <a:round/>
            </a:ln>
            <a:effectLst/>
          </c:spPr>
        </c:majorGridlines>
        <c:title>
          <c:tx>
            <c:rich>
              <a:bodyPr rot="0" spcFirstLastPara="0" vertOverflow="ellipsis" vert="horz" wrap="square" anchor="ctr" anchorCtr="1"/>
              <a:lstStyle/>
              <a:p>
                <a:pPr defTabSz="914400">
                  <a:defRPr lang="zh-CN" sz="1000" b="1" i="0" u="none" strike="noStrike" kern="1200" baseline="0">
                    <a:solidFill>
                      <a:srgbClr val="000000"/>
                    </a:solidFill>
                    <a:latin typeface="+mn-lt"/>
                    <a:ea typeface="+mn-ea"/>
                    <a:cs typeface="+mn-cs"/>
                  </a:defRPr>
                </a:pPr>
                <a:r>
                  <a:rPr lang="en-US" altLang="zh-CN"/>
                  <a:t>2019</a:t>
                </a:r>
                <a:r>
                  <a:rPr lang="zh-CN" altLang="en-US"/>
                  <a:t>年</a:t>
                </a:r>
              </a:p>
            </c:rich>
          </c:tx>
          <c:layout>
            <c:manualLayout>
              <c:xMode val="edge"/>
              <c:yMode val="edge"/>
              <c:x val="0.45941666666666697"/>
              <c:y val="0.88009259259259298"/>
            </c:manualLayout>
          </c:layout>
          <c:overlay val="0"/>
        </c:title>
        <c:numFmt formatCode="General" sourceLinked="1"/>
        <c:majorTickMark val="none"/>
        <c:minorTickMark val="none"/>
        <c:tickLblPos val="nextTo"/>
        <c:spPr>
          <a:noFill/>
          <a:ln w="9525" cap="flat" cmpd="sng" algn="ctr">
            <a:solidFill>
              <a:srgbClr val="BFBFBF">
                <a:lumMod val="25000"/>
                <a:lumOff val="7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495766528"/>
        <c:crosses val="autoZero"/>
        <c:crossBetween val="midCat"/>
      </c:valAx>
      <c:valAx>
        <c:axId val="-495766528"/>
        <c:scaling>
          <c:orientation val="minMax"/>
        </c:scaling>
        <c:delete val="0"/>
        <c:axPos val="l"/>
        <c:majorGridlines>
          <c:spPr>
            <a:ln w="9525" cap="flat" cmpd="sng" algn="ctr">
              <a:solidFill>
                <a:srgbClr val="D9D9D9">
                  <a:lumMod val="15000"/>
                  <a:lumOff val="85000"/>
                </a:srgbClr>
              </a:solidFill>
              <a:prstDash val="solid"/>
              <a:round/>
            </a:ln>
            <a:effectLst/>
          </c:spPr>
        </c:majorGridlines>
        <c:title>
          <c:tx>
            <c:rich>
              <a:bodyPr rot="-5400000" spcFirstLastPara="0" vertOverflow="ellipsis" vert="horz" wrap="square" anchor="ctr" anchorCtr="1"/>
              <a:lstStyle/>
              <a:p>
                <a:pPr defTabSz="914400">
                  <a:defRPr lang="zh-CN" sz="1000" b="1" i="0" u="none" strike="noStrike" kern="1200" baseline="0">
                    <a:solidFill>
                      <a:srgbClr val="000000"/>
                    </a:solidFill>
                    <a:latin typeface="+mn-lt"/>
                    <a:ea typeface="+mn-ea"/>
                    <a:cs typeface="+mn-cs"/>
                  </a:defRPr>
                </a:pPr>
                <a:r>
                  <a:rPr lang="zh-CN" altLang="en-US"/>
                  <a:t>笔</a:t>
                </a:r>
                <a:r>
                  <a:rPr lang="en-US" altLang="zh-CN"/>
                  <a:t>/</a:t>
                </a:r>
                <a:r>
                  <a:rPr lang="zh-CN" altLang="en-US"/>
                  <a:t>秒</a:t>
                </a:r>
              </a:p>
            </c:rich>
          </c:tx>
          <c:overlay val="0"/>
        </c:title>
        <c:numFmt formatCode="0.000_ " sourceLinked="1"/>
        <c:majorTickMark val="none"/>
        <c:minorTickMark val="none"/>
        <c:tickLblPos val="nextTo"/>
        <c:spPr>
          <a:noFill/>
          <a:ln w="9525" cap="flat" cmpd="sng" algn="ctr">
            <a:solidFill>
              <a:srgbClr val="BFBFBF">
                <a:lumMod val="25000"/>
                <a:lumOff val="7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495751296"/>
        <c:crosses val="autoZero"/>
        <c:crossBetween val="midCat"/>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a:t>最优优化比例（每条记录的平均清算时长）</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endParaRPr lang="zh-CN"/>
        </a:p>
      </c:txPr>
    </c:title>
    <c:autoTitleDeleted val="0"/>
    <c:plotArea>
      <c:layout/>
      <c:lineChart>
        <c:grouping val="stacked"/>
        <c:varyColors val="0"/>
        <c:ser>
          <c:idx val="0"/>
          <c:order val="0"/>
          <c:tx>
            <c:strRef>
              <c:f>[各指标变化最优的券商.xlsx]Sheet3!$B$22</c:f>
              <c:strCache>
                <c:ptCount val="1"/>
                <c:pt idx="0">
                  <c:v>最优优化比例</c:v>
                </c:pt>
              </c:strCache>
            </c:strRef>
          </c:tx>
          <c:spPr>
            <a:ln w="28575" cap="rnd">
              <a:noFill/>
              <a:round/>
            </a:ln>
            <a:effectLst/>
          </c:spPr>
          <c:marker>
            <c:symbol val="circle"/>
            <c:size val="5"/>
            <c:spPr>
              <a:solidFill>
                <a:srgbClr val="4F81BD"/>
              </a:solidFill>
              <a:ln w="9525">
                <a:solidFill>
                  <a:srgbClr val="4F81BD"/>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rgbClr val="404040">
                        <a:lumMod val="75000"/>
                        <a:lumOff val="25000"/>
                      </a:srgb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[各指标变化最优的券商.xlsx]Sheet3!$A$23:$A$26</c:f>
              <c:strCache>
                <c:ptCount val="4"/>
                <c:pt idx="0">
                  <c:v>法人清算效率</c:v>
                </c:pt>
                <c:pt idx="1">
                  <c:v>普通柜台清算效率</c:v>
                </c:pt>
                <c:pt idx="2">
                  <c:v>融资融券清算效率</c:v>
                </c:pt>
                <c:pt idx="3">
                  <c:v>股票期权系统清算效率</c:v>
                </c:pt>
              </c:strCache>
            </c:strRef>
          </c:cat>
          <c:val>
            <c:numRef>
              <c:f>[各指标变化最优的券商.xlsx]Sheet3!$B$23:$B$26</c:f>
              <c:numCache>
                <c:formatCode>0.00%</c:formatCode>
                <c:ptCount val="4"/>
                <c:pt idx="0">
                  <c:v>-0.62535829629634998</c:v>
                </c:pt>
                <c:pt idx="1">
                  <c:v>-0.70953534722143896</c:v>
                </c:pt>
                <c:pt idx="2">
                  <c:v>-0.87017226814516402</c:v>
                </c:pt>
                <c:pt idx="3">
                  <c:v>-0.47472505983827501</c:v>
                </c:pt>
              </c:numCache>
            </c:numRef>
          </c:val>
          <c:smooth val="0"/>
          <c:extLst xmlns:c16r2="http://schemas.microsoft.com/office/drawing/2015/06/chart">
            <c:ext xmlns:c16="http://schemas.microsoft.com/office/drawing/2014/chart" uri="{C3380CC4-5D6E-409C-BE32-E72D297353CC}">
              <c16:uniqueId val="{00000000-E810-4C60-B455-B4D796597E44}"/>
            </c:ext>
          </c:extLst>
        </c:ser>
        <c:dLbls>
          <c:showLegendKey val="0"/>
          <c:showVal val="1"/>
          <c:showCatName val="0"/>
          <c:showSerName val="0"/>
          <c:showPercent val="0"/>
          <c:showBubbleSize val="0"/>
        </c:dLbls>
        <c:marker val="1"/>
        <c:smooth val="0"/>
        <c:axId val="-495760000"/>
        <c:axId val="-495756736"/>
      </c:lineChart>
      <c:catAx>
        <c:axId val="-495760000"/>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495756736"/>
        <c:crosses val="autoZero"/>
        <c:auto val="1"/>
        <c:lblAlgn val="ctr"/>
        <c:lblOffset val="100"/>
        <c:noMultiLvlLbl val="0"/>
      </c:catAx>
      <c:valAx>
        <c:axId val="-495756736"/>
        <c:scaling>
          <c:orientation val="minMax"/>
        </c:scaling>
        <c:delete val="0"/>
        <c:axPos val="l"/>
        <c:majorGridlines>
          <c:spPr>
            <a:ln w="9525" cap="flat" cmpd="sng" algn="ctr">
              <a:solidFill>
                <a:srgbClr val="D9D9D9">
                  <a:lumMod val="15000"/>
                  <a:lumOff val="85000"/>
                </a:srgb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495760000"/>
        <c:crosses val="autoZero"/>
        <c:crossBetween val="between"/>
      </c:valAx>
      <c:dTable>
        <c:showHorzBorder val="1"/>
        <c:showVertBorder val="1"/>
        <c:showOutline val="1"/>
        <c:showKeys val="1"/>
        <c:spPr>
          <a:noFill/>
          <a:ln w="9525" cap="flat" cmpd="sng" algn="ctr">
            <a:solidFill>
              <a:srgbClr val="D9D9D9">
                <a:lumMod val="15000"/>
                <a:lumOff val="85000"/>
              </a:srgbClr>
            </a:solidFill>
            <a:round/>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dTable>
      <c:spPr>
        <a:noFill/>
        <a:ln>
          <a:noFill/>
        </a:ln>
        <a:effectLst/>
      </c:spPr>
    </c:plotArea>
    <c:plotVisOnly val="1"/>
    <c:dispBlanksAs val="zero"/>
    <c:showDLblsOverMax val="0"/>
  </c:chart>
  <c:spPr>
    <a:solidFill>
      <a:srgbClr val="FFFFFF"/>
    </a:solidFill>
    <a:ln w="9525" cap="flat" cmpd="sng" algn="ctr">
      <a:solidFill>
        <a:srgbClr val="D9D9D9">
          <a:lumMod val="15000"/>
          <a:lumOff val="85000"/>
        </a:srgb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8</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仇晓旭</dc:creator>
  <cp:keywords/>
  <dc:description/>
  <cp:lastModifiedBy>仇晓旭</cp:lastModifiedBy>
  <cp:revision>131</cp:revision>
  <dcterms:created xsi:type="dcterms:W3CDTF">2019-12-18T04:15:00Z</dcterms:created>
  <dcterms:modified xsi:type="dcterms:W3CDTF">2020-07-12T15:26:00Z</dcterms:modified>
</cp:coreProperties>
</file>