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default"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1</w:t>
      </w:r>
    </w:p>
    <w:p>
      <w:pPr>
        <w:pStyle w:val="3"/>
        <w:spacing w:beforeLines="0" w:afterLines="0" w:line="560" w:lineRule="exact"/>
        <w:rPr>
          <w:rFonts w:hint="default" w:ascii="Times New Roman" w:hAnsi="Times New Roman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</w:rPr>
        <w:t>乐企直连服务接入信息表</w:t>
      </w:r>
    </w:p>
    <w:tbl>
      <w:tblPr>
        <w:tblStyle w:val="5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7"/>
        <w:gridCol w:w="1710"/>
        <w:gridCol w:w="2700"/>
        <w:gridCol w:w="792"/>
        <w:gridCol w:w="1930"/>
        <w:gridCol w:w="1404"/>
        <w:gridCol w:w="713"/>
        <w:gridCol w:w="569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被授权单位统一社会信用代码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被授权单位名称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接入引擎自有信息系统名称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相关资质信息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使用单位户数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直连单位纳税人信用等级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直连单位及使用单位前12个月累计发票开票量及受票量（张）</w:t>
            </w:r>
          </w:p>
        </w:tc>
        <w:tc>
          <w:tcPr>
            <w:tcW w:w="27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直连单位及使用单位上一年度合计营业收入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能否按照税务机关要求依法提供相关涉税数据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近三年内是否存在重大税收违法行为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请求信息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请求类型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□接入   □变更   □终止</w:t>
            </w:r>
          </w:p>
        </w:tc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请求期限（请求类型为终止时无需填写此栏）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□短期（一年及以内） </w:t>
            </w:r>
          </w:p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□长期（一年以上）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变更、终止原因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    —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详细信息</w:t>
            </w:r>
          </w:p>
        </w:tc>
        <w:tc>
          <w:tcPr>
            <w:tcW w:w="130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本单位对填写的上述内容及提交的相关材料的真实性负责。如有不实，本单位自愿承担法律责任。</w:t>
            </w:r>
          </w:p>
        </w:tc>
        <w:tc>
          <w:tcPr>
            <w:tcW w:w="692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税务机关意见：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直连单位法定代表人（签字）：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经办人（签字）：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（直连单位盖章）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（税务机关盖章）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wordWrap w:val="0"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年   月   日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505F5"/>
    <w:rsid w:val="2CC631D7"/>
    <w:rsid w:val="5D6A559E"/>
    <w:rsid w:val="6CD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2023-05-31T03:15:00Z</dcterms:created>
  <dc:creator>2-1-3078</dc:creator>
  <cp:lastModifiedBy>谭桥东</cp:lastModifiedBy>
  <dcterms:modified xsi:type="dcterms:W3CDTF">2023-06-02T02:25:53Z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