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lef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  <w:lang w:eastAsia="zh-CN"/>
        </w:rPr>
        <w:t>附件</w:t>
      </w:r>
      <w:bookmarkStart w:id="0" w:name="_GoBack"/>
      <w:bookmarkEnd w:id="0"/>
      <w:r>
        <w:rPr>
          <w:rFonts w:ascii="Times New Roman" w:hAnsi="Times New Roman" w:eastAsia="黑体"/>
          <w:szCs w:val="32"/>
        </w:rPr>
        <w:t>4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乐企直连服务授权委托书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纳税人识别号：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纳税人识别号：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一、乐企自用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单位授权其关联企业建设、管理平台，或授权不具关联关系的第三方企业承担建设责任，并承担因被授权单位的违法违规行为引发严重后果的连带责任。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二、被授权单位应当能够统筹建设或改造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单位及使用单位的自有业务系统以适配乐企服务要求；被授权单位为授权单位的关联企业时，被授权单位可按照税务机关的服务管理要求，代表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单位实施乐企对接，并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乐企自用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的管理工作。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应当具备的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（一）基本条件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.已纳入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数电票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开票试点纳税人范围；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.纳税信用等级为A、B级（B级纳税人需要定期提供货物流、资金流、现金流的有关数据）；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.近三年内不存在税务机关确定的重大税收违法行为；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.能按照税务机关要求依法提供相关涉税数据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，包括但不限于使用单位身份信息、取酬账户信息、经营收入情况等，以及需要特别提供的货物流、资金流、现金流等其他涉税数据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（二）技术和安全条件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1.有较强的信息化建设、服务、运维能力，企业自有信息系统具有软件著作权、使用权，或相关授权；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必须按照税务机关的要求保存数据并内嵌风险控制规则，同时向税务机关开放接口，供税务机关在线审计；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3.遵守网络安全、数据安全相关规定，遵循税务机关相关管理要求，如实向税务机关报告重大变化和使用单位情况，并承担因使用单位的违法违规行为引发严重后果的连带责任。</w:t>
      </w: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(签名)</w:t>
      </w:r>
    </w:p>
    <w:p>
      <w:pPr>
        <w:pStyle w:val="2"/>
        <w:spacing w:line="560" w:lineRule="exact"/>
        <w:ind w:left="0" w:leftChars="0"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</w:p>
    <w:p>
      <w:pPr>
        <w:pStyle w:val="2"/>
        <w:spacing w:line="56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(签名)</w:t>
      </w:r>
    </w:p>
    <w:p>
      <w:pPr>
        <w:spacing w:line="560" w:lineRule="exact"/>
        <w:ind w:firstLine="4480" w:firstLineChars="1400"/>
        <w:jc w:val="left"/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C7157"/>
    <w:rsid w:val="1D1C7157"/>
    <w:rsid w:val="4C0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2023-05-31T03:20:00Z</dcterms:created>
  <dc:creator>何清凇</dc:creator>
  <cp:lastModifiedBy>谭桥东</cp:lastModifiedBy>
  <dcterms:modified xsi:type="dcterms:W3CDTF">2023-05-31T08:01:06Z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