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99" w:rsidRPr="00E37059" w:rsidRDefault="00BF1399" w:rsidP="00BF1399">
      <w:pPr>
        <w:spacing w:line="240" w:lineRule="atLeast"/>
        <w:rPr>
          <w:rFonts w:ascii="宋体" w:hAnsi="宋体"/>
          <w:b/>
          <w:sz w:val="24"/>
        </w:rPr>
      </w:pPr>
      <w:r w:rsidRPr="00BF1399">
        <w:rPr>
          <w:rFonts w:ascii="宋体" w:hAnsi="宋体" w:hint="eastAsia"/>
          <w:b/>
          <w:sz w:val="24"/>
        </w:rPr>
        <w:t>附件1：证券公司合</w:t>
      </w:r>
      <w:proofErr w:type="gramStart"/>
      <w:r w:rsidRPr="00BF1399">
        <w:rPr>
          <w:rFonts w:ascii="宋体" w:hAnsi="宋体" w:hint="eastAsia"/>
          <w:b/>
          <w:sz w:val="24"/>
        </w:rPr>
        <w:t>规</w:t>
      </w:r>
      <w:proofErr w:type="gramEnd"/>
      <w:r w:rsidRPr="00BF1399">
        <w:rPr>
          <w:rFonts w:ascii="宋体" w:hAnsi="宋体" w:hint="eastAsia"/>
          <w:b/>
          <w:sz w:val="24"/>
        </w:rPr>
        <w:t>管理有效性评估报告基本格式</w:t>
      </w:r>
    </w:p>
    <w:p w:rsidR="00BF1399" w:rsidRPr="00E37059" w:rsidRDefault="00BF1399" w:rsidP="00BF1399">
      <w:pPr>
        <w:spacing w:line="240" w:lineRule="atLeast"/>
        <w:rPr>
          <w:rFonts w:ascii="宋体" w:hAnsi="宋体"/>
          <w:b/>
          <w:sz w:val="24"/>
        </w:rPr>
      </w:pPr>
    </w:p>
    <w:p w:rsidR="00BF1399" w:rsidRPr="00E37059" w:rsidRDefault="00BF1399" w:rsidP="00BF1399">
      <w:pPr>
        <w:spacing w:line="240" w:lineRule="atLeast"/>
        <w:jc w:val="center"/>
        <w:rPr>
          <w:rFonts w:ascii="宋体" w:hAnsi="宋体"/>
          <w:b/>
          <w:sz w:val="24"/>
        </w:rPr>
      </w:pPr>
      <w:bookmarkStart w:id="0" w:name="附件1"/>
      <w:bookmarkEnd w:id="0"/>
      <w:r w:rsidRPr="00E37059">
        <w:rPr>
          <w:rFonts w:ascii="宋体" w:hAnsi="宋体" w:hint="eastAsia"/>
          <w:sz w:val="24"/>
        </w:rPr>
        <w:t>××</w:t>
      </w:r>
      <w:r w:rsidRPr="00E37059">
        <w:rPr>
          <w:rFonts w:ascii="宋体" w:hAnsi="宋体" w:hint="eastAsia"/>
          <w:b/>
          <w:sz w:val="24"/>
        </w:rPr>
        <w:t>公司20</w:t>
      </w:r>
      <w:r w:rsidRPr="00E37059">
        <w:rPr>
          <w:rFonts w:ascii="宋体" w:hAnsi="宋体" w:hint="eastAsia"/>
          <w:sz w:val="24"/>
        </w:rPr>
        <w:t>××</w:t>
      </w:r>
      <w:r w:rsidRPr="00E37059">
        <w:rPr>
          <w:rFonts w:ascii="宋体" w:hAnsi="宋体" w:hint="eastAsia"/>
          <w:b/>
          <w:sz w:val="24"/>
        </w:rPr>
        <w:t>年度合</w:t>
      </w:r>
      <w:proofErr w:type="gramStart"/>
      <w:r w:rsidRPr="00E37059">
        <w:rPr>
          <w:rFonts w:ascii="宋体" w:hAnsi="宋体" w:hint="eastAsia"/>
          <w:b/>
          <w:sz w:val="24"/>
        </w:rPr>
        <w:t>规</w:t>
      </w:r>
      <w:proofErr w:type="gramEnd"/>
      <w:r w:rsidRPr="00E37059">
        <w:rPr>
          <w:rFonts w:ascii="宋体" w:hAnsi="宋体" w:hint="eastAsia"/>
          <w:b/>
          <w:sz w:val="24"/>
        </w:rPr>
        <w:t>管理有效性评估报告</w:t>
      </w:r>
    </w:p>
    <w:p w:rsidR="00BF1399" w:rsidRPr="00E37059" w:rsidRDefault="00BF1399" w:rsidP="00BF1399">
      <w:pPr>
        <w:spacing w:line="240" w:lineRule="atLeast"/>
        <w:jc w:val="center"/>
        <w:rPr>
          <w:rFonts w:ascii="宋体" w:hAnsi="宋体"/>
          <w:b/>
          <w:sz w:val="24"/>
        </w:rPr>
      </w:pPr>
      <w:r w:rsidRPr="00E37059">
        <w:rPr>
          <w:rFonts w:ascii="宋体" w:hAnsi="宋体" w:hint="eastAsia"/>
          <w:b/>
          <w:sz w:val="24"/>
        </w:rPr>
        <w:t>（不存在重大风险）</w:t>
      </w:r>
    </w:p>
    <w:p w:rsidR="00BF1399" w:rsidRPr="00E37059" w:rsidRDefault="00BF1399" w:rsidP="00BF1399">
      <w:pPr>
        <w:spacing w:line="240" w:lineRule="atLeast"/>
        <w:ind w:rightChars="73" w:right="153"/>
        <w:jc w:val="right"/>
        <w:rPr>
          <w:rFonts w:ascii="宋体" w:hAnsi="宋体"/>
          <w:sz w:val="24"/>
        </w:rPr>
      </w:pP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根据中国证券监督管理委员会（以下简称“证监会”）《证券公司和证券投资基金管理公司合规管理办法》和中国证券业协会（以下简称“协会”）《证券公司合规管理实施指引》、《证券公司合规管理有效性评估指引》等法律、法规和准则的要求，公司董事会（</w:t>
      </w:r>
      <w:r w:rsidRPr="00E37059">
        <w:rPr>
          <w:rFonts w:ascii="宋体" w:hAnsi="宋体" w:hint="eastAsia"/>
          <w:color w:val="000000"/>
          <w:sz w:val="24"/>
        </w:rPr>
        <w:t>或监事会</w:t>
      </w:r>
      <w:r w:rsidRPr="00E37059">
        <w:rPr>
          <w:rFonts w:ascii="宋体" w:hAnsi="宋体" w:hint="eastAsia"/>
          <w:sz w:val="24"/>
        </w:rPr>
        <w:t>，或董事会授权管理层）牵头成立跨部门评估小组，于**年**月**日至**年**月**日对本公司（以下简称“公司”）20**年度合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管理的有效性进行了评估。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在合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管理有效性评估过程中，评估小组采用了访谈、文本审阅、问卷调查、知识测试、抽样分析、穿行测试、系统及数据测试等评估方法，从合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管理环境、合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管理职责履行情况、合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管理保障、经营管理制度与机制的建设及运行状况等方面，复核了各业务及管理部门的自评底稿等文件，为评估公司合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管理的有效性取得了必要的评价证据。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经评估，报告期内，公司对纳入评估范围的业务与事项均已建立了相应的管理制度，并得到有效执行，达到了公司合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管理的目标，在所有方面不存在重大合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 xml:space="preserve">风险。 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此外，评估小组还注意到，公司合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管理尚存在以下待改进的薄弱环节：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管理环境方面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管理职责履行方面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管理保障方面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经营管理制度与机制的建设及运行方面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本次评估具体情况详见后附合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管理有效性评估报告说明。</w:t>
      </w:r>
    </w:p>
    <w:p w:rsidR="00BF1399" w:rsidRPr="00E37059" w:rsidRDefault="00BF1399" w:rsidP="00BF1399">
      <w:pPr>
        <w:spacing w:line="240" w:lineRule="atLeast"/>
        <w:ind w:right="120" w:firstLine="480"/>
        <w:jc w:val="left"/>
        <w:rPr>
          <w:rFonts w:ascii="宋体" w:hAnsi="宋体"/>
          <w:sz w:val="24"/>
        </w:rPr>
      </w:pPr>
    </w:p>
    <w:p w:rsidR="00BF1399" w:rsidRPr="00E37059" w:rsidRDefault="00BF1399" w:rsidP="00BF1399">
      <w:pPr>
        <w:spacing w:line="240" w:lineRule="atLeast"/>
        <w:ind w:leftChars="2000" w:left="4200" w:firstLineChars="100" w:firstLine="24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XX合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管理有效性评估小组</w:t>
      </w:r>
    </w:p>
    <w:p w:rsidR="00BF1399" w:rsidRPr="00E37059" w:rsidRDefault="00BF1399" w:rsidP="00BF1399">
      <w:pPr>
        <w:spacing w:line="240" w:lineRule="atLeast"/>
        <w:ind w:leftChars="1900" w:left="3990" w:firstLine="482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二零××年××月××日</w:t>
      </w:r>
    </w:p>
    <w:p w:rsidR="00BF1399" w:rsidRPr="00E37059" w:rsidRDefault="00BF1399" w:rsidP="00BF1399">
      <w:pPr>
        <w:spacing w:line="240" w:lineRule="atLeast"/>
        <w:ind w:firstLineChars="1850" w:firstLine="444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评估小组成员（签名）</w:t>
      </w:r>
    </w:p>
    <w:p w:rsidR="00BF1399" w:rsidRPr="00E37059" w:rsidRDefault="00BF1399" w:rsidP="00BF1399">
      <w:pPr>
        <w:spacing w:line="240" w:lineRule="atLeast"/>
        <w:jc w:val="center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 xml:space="preserve"> </w:t>
      </w:r>
      <w:r w:rsidRPr="00E37059">
        <w:rPr>
          <w:rFonts w:ascii="宋体" w:hAnsi="宋体" w:hint="eastAsia"/>
          <w:sz w:val="24"/>
        </w:rPr>
        <w:br w:type="page"/>
      </w:r>
    </w:p>
    <w:p w:rsidR="00BF1399" w:rsidRPr="00E37059" w:rsidRDefault="00BF1399" w:rsidP="00BF1399">
      <w:pPr>
        <w:spacing w:line="240" w:lineRule="atLeast"/>
        <w:jc w:val="center"/>
        <w:rPr>
          <w:rFonts w:ascii="宋体" w:hAnsi="宋体"/>
          <w:b/>
          <w:sz w:val="24"/>
        </w:rPr>
      </w:pPr>
      <w:r w:rsidRPr="00E37059">
        <w:rPr>
          <w:rFonts w:ascii="宋体" w:hAnsi="宋体" w:hint="eastAsia"/>
          <w:sz w:val="24"/>
        </w:rPr>
        <w:lastRenderedPageBreak/>
        <w:t>××</w:t>
      </w:r>
      <w:r w:rsidRPr="00E37059">
        <w:rPr>
          <w:rFonts w:ascii="宋体" w:hAnsi="宋体" w:hint="eastAsia"/>
          <w:b/>
          <w:sz w:val="24"/>
        </w:rPr>
        <w:t>公司20</w:t>
      </w:r>
      <w:r w:rsidRPr="00E37059">
        <w:rPr>
          <w:rFonts w:ascii="宋体" w:hAnsi="宋体" w:hint="eastAsia"/>
          <w:sz w:val="24"/>
        </w:rPr>
        <w:t>××</w:t>
      </w:r>
      <w:r w:rsidRPr="00E37059">
        <w:rPr>
          <w:rFonts w:ascii="宋体" w:hAnsi="宋体" w:hint="eastAsia"/>
          <w:b/>
          <w:sz w:val="24"/>
        </w:rPr>
        <w:t>年度合</w:t>
      </w:r>
      <w:proofErr w:type="gramStart"/>
      <w:r w:rsidRPr="00E37059">
        <w:rPr>
          <w:rFonts w:ascii="宋体" w:hAnsi="宋体" w:hint="eastAsia"/>
          <w:b/>
          <w:sz w:val="24"/>
        </w:rPr>
        <w:t>规</w:t>
      </w:r>
      <w:proofErr w:type="gramEnd"/>
      <w:r w:rsidRPr="00E37059">
        <w:rPr>
          <w:rFonts w:ascii="宋体" w:hAnsi="宋体" w:hint="eastAsia"/>
          <w:b/>
          <w:sz w:val="24"/>
        </w:rPr>
        <w:t>管理有效性评估报告</w:t>
      </w:r>
    </w:p>
    <w:p w:rsidR="00BF1399" w:rsidRPr="00E37059" w:rsidRDefault="00BF1399" w:rsidP="00BF1399">
      <w:pPr>
        <w:spacing w:line="240" w:lineRule="atLeast"/>
        <w:jc w:val="center"/>
        <w:rPr>
          <w:rFonts w:ascii="宋体" w:hAnsi="宋体"/>
          <w:b/>
          <w:sz w:val="24"/>
        </w:rPr>
      </w:pPr>
      <w:r w:rsidRPr="00E37059">
        <w:rPr>
          <w:rFonts w:ascii="宋体" w:hAnsi="宋体" w:hint="eastAsia"/>
          <w:b/>
          <w:sz w:val="24"/>
        </w:rPr>
        <w:t>（存在重大风险）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根据中国证券监督管理委员会（以下简称“证监会”）《证券公司和证券投资基金管理公司合规管理办法》和中国证券业协会（以下简称“协会”）《证券公司合规管理实施指引》、《证券公司合规管理有效性评估指引》等法律、法规和准则的要求，公司董事会（</w:t>
      </w:r>
      <w:r w:rsidRPr="00E37059">
        <w:rPr>
          <w:rFonts w:ascii="宋体" w:hAnsi="宋体" w:hint="eastAsia"/>
          <w:color w:val="000000"/>
          <w:sz w:val="24"/>
        </w:rPr>
        <w:t>或监事会，</w:t>
      </w:r>
      <w:r w:rsidRPr="00E37059">
        <w:rPr>
          <w:rFonts w:ascii="宋体" w:hAnsi="宋体" w:hint="eastAsia"/>
          <w:sz w:val="24"/>
        </w:rPr>
        <w:t>或董事会授权管理层）牵头建立跨部门的评估小组，于**年**月**日至**年**月**日对本公司（以下简称“公司”）20**年度合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管理的有效性进行了评估。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在合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管理有效性评估过程中，评估小组采用了访谈、文本审阅、问卷调查、知识测试、抽样分析、穿行测试、系统及数据测试等评估方法，从合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管理环境、合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管理职责履行情况、合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管理保障、经营管理制度与机制的建设及运行状况等方面，复核了各业务及管理部门的自评底稿等文件，为评估公司合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管理的有效性取得了必要的评价证据。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经评估，报告期内，下述业务及事项存在重大合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风险: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管理环境方面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管理职责履行方面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管理保障方面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经营管理制度与机制建设及运行方面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color w:val="000000"/>
          <w:sz w:val="24"/>
        </w:rPr>
      </w:pPr>
      <w:r w:rsidRPr="00E37059">
        <w:rPr>
          <w:rFonts w:ascii="宋体" w:hAnsi="宋体" w:hint="eastAsia"/>
          <w:sz w:val="24"/>
        </w:rPr>
        <w:t>除上述业务及事项外，其他纳入评估范围的业务与事项已建立了相应的管理制度和</w:t>
      </w:r>
      <w:r w:rsidRPr="00E37059">
        <w:rPr>
          <w:rFonts w:ascii="宋体" w:hAnsi="宋体" w:hint="eastAsia"/>
          <w:color w:val="000000"/>
          <w:sz w:val="24"/>
        </w:rPr>
        <w:t>机制，并得到有效执行，达到了公司合</w:t>
      </w:r>
      <w:proofErr w:type="gramStart"/>
      <w:r w:rsidRPr="00E37059">
        <w:rPr>
          <w:rFonts w:ascii="宋体" w:hAnsi="宋体" w:hint="eastAsia"/>
          <w:color w:val="000000"/>
          <w:sz w:val="24"/>
        </w:rPr>
        <w:t>规</w:t>
      </w:r>
      <w:proofErr w:type="gramEnd"/>
      <w:r w:rsidRPr="00E37059">
        <w:rPr>
          <w:rFonts w:ascii="宋体" w:hAnsi="宋体" w:hint="eastAsia"/>
          <w:color w:val="000000"/>
          <w:sz w:val="24"/>
        </w:rPr>
        <w:t>管理的目标，不存在重大合</w:t>
      </w:r>
      <w:proofErr w:type="gramStart"/>
      <w:r w:rsidRPr="00E37059">
        <w:rPr>
          <w:rFonts w:ascii="宋体" w:hAnsi="宋体" w:hint="eastAsia"/>
          <w:color w:val="000000"/>
          <w:sz w:val="24"/>
        </w:rPr>
        <w:t>规</w:t>
      </w:r>
      <w:proofErr w:type="gramEnd"/>
      <w:r w:rsidRPr="00E37059">
        <w:rPr>
          <w:rFonts w:ascii="宋体" w:hAnsi="宋体" w:hint="eastAsia"/>
          <w:color w:val="000000"/>
          <w:sz w:val="24"/>
        </w:rPr>
        <w:t>风险，但尚存在以下待改进的薄弱环节：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color w:val="000000"/>
          <w:sz w:val="24"/>
        </w:rPr>
      </w:pPr>
      <w:r w:rsidRPr="00E37059">
        <w:rPr>
          <w:rFonts w:ascii="宋体" w:hAnsi="宋体" w:hint="eastAsia"/>
          <w:color w:val="000000"/>
          <w:sz w:val="24"/>
        </w:rPr>
        <w:t>合</w:t>
      </w:r>
      <w:proofErr w:type="gramStart"/>
      <w:r w:rsidRPr="00E37059">
        <w:rPr>
          <w:rFonts w:ascii="宋体" w:hAnsi="宋体" w:hint="eastAsia"/>
          <w:color w:val="000000"/>
          <w:sz w:val="24"/>
        </w:rPr>
        <w:t>规</w:t>
      </w:r>
      <w:proofErr w:type="gramEnd"/>
      <w:r w:rsidRPr="00E37059">
        <w:rPr>
          <w:rFonts w:ascii="宋体" w:hAnsi="宋体" w:hint="eastAsia"/>
          <w:color w:val="000000"/>
          <w:sz w:val="24"/>
        </w:rPr>
        <w:t>管理环境方面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color w:val="000000"/>
          <w:sz w:val="24"/>
        </w:rPr>
      </w:pPr>
      <w:r w:rsidRPr="00E37059">
        <w:rPr>
          <w:rFonts w:ascii="宋体" w:hAnsi="宋体" w:hint="eastAsia"/>
          <w:color w:val="000000"/>
          <w:sz w:val="24"/>
        </w:rPr>
        <w:t>合</w:t>
      </w:r>
      <w:proofErr w:type="gramStart"/>
      <w:r w:rsidRPr="00E37059">
        <w:rPr>
          <w:rFonts w:ascii="宋体" w:hAnsi="宋体" w:hint="eastAsia"/>
          <w:color w:val="000000"/>
          <w:sz w:val="24"/>
        </w:rPr>
        <w:t>规</w:t>
      </w:r>
      <w:proofErr w:type="gramEnd"/>
      <w:r w:rsidRPr="00E37059">
        <w:rPr>
          <w:rFonts w:ascii="宋体" w:hAnsi="宋体" w:hint="eastAsia"/>
          <w:color w:val="000000"/>
          <w:sz w:val="24"/>
        </w:rPr>
        <w:t>管理职责履行方面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color w:val="000000"/>
          <w:sz w:val="24"/>
        </w:rPr>
      </w:pPr>
      <w:r w:rsidRPr="00E37059">
        <w:rPr>
          <w:rFonts w:ascii="宋体" w:hAnsi="宋体" w:hint="eastAsia"/>
          <w:sz w:val="24"/>
        </w:rPr>
        <w:t>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管理保障方面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color w:val="000000"/>
          <w:sz w:val="24"/>
        </w:rPr>
      </w:pPr>
      <w:r w:rsidRPr="00E37059">
        <w:rPr>
          <w:rFonts w:ascii="宋体" w:hAnsi="宋体" w:hint="eastAsia"/>
          <w:sz w:val="24"/>
        </w:rPr>
        <w:t>经营管理制度</w:t>
      </w:r>
      <w:r w:rsidRPr="00E37059">
        <w:rPr>
          <w:rFonts w:ascii="宋体" w:hAnsi="宋体" w:hint="eastAsia"/>
          <w:color w:val="000000"/>
          <w:sz w:val="24"/>
        </w:rPr>
        <w:t>与机制建设及运行方面</w:t>
      </w:r>
    </w:p>
    <w:p w:rsidR="00BF1399" w:rsidRPr="00E37059" w:rsidRDefault="00BF1399" w:rsidP="00BF1399">
      <w:pPr>
        <w:spacing w:line="240" w:lineRule="atLeast"/>
        <w:ind w:firstLineChars="200" w:firstLine="48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本次评估具体情况详见后附合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管理有效性评估报告说明。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sz w:val="24"/>
        </w:rPr>
      </w:pPr>
    </w:p>
    <w:p w:rsidR="00BF1399" w:rsidRPr="00E37059" w:rsidRDefault="00BF1399" w:rsidP="00BF1399">
      <w:pPr>
        <w:spacing w:line="240" w:lineRule="atLeast"/>
        <w:ind w:firstLine="480"/>
        <w:jc w:val="right"/>
        <w:rPr>
          <w:rFonts w:ascii="宋体" w:hAnsi="宋体"/>
          <w:sz w:val="24"/>
        </w:rPr>
      </w:pPr>
    </w:p>
    <w:p w:rsidR="00BF1399" w:rsidRPr="00E37059" w:rsidRDefault="00BF1399" w:rsidP="00BF1399">
      <w:pPr>
        <w:spacing w:line="240" w:lineRule="atLeast"/>
        <w:ind w:leftChars="2000" w:left="4200" w:firstLineChars="100" w:firstLine="24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XX公司合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管理有效性评估小组</w:t>
      </w:r>
    </w:p>
    <w:p w:rsidR="00BF1399" w:rsidRPr="00E37059" w:rsidRDefault="00BF1399" w:rsidP="00BF1399">
      <w:pPr>
        <w:spacing w:line="240" w:lineRule="atLeast"/>
        <w:ind w:leftChars="1900" w:left="3990" w:firstLine="482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二零××年××月××日</w:t>
      </w:r>
    </w:p>
    <w:p w:rsidR="00BF1399" w:rsidRPr="00E37059" w:rsidRDefault="00BF1399" w:rsidP="00BF1399">
      <w:pPr>
        <w:spacing w:line="240" w:lineRule="atLeast"/>
        <w:ind w:firstLineChars="1850" w:firstLine="444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评估小组成员（签名）</w:t>
      </w:r>
    </w:p>
    <w:p w:rsidR="00BF1399" w:rsidRPr="00E37059" w:rsidRDefault="00BF1399" w:rsidP="00BF1399">
      <w:pPr>
        <w:spacing w:line="240" w:lineRule="atLeast"/>
        <w:ind w:leftChars="1900" w:left="3990" w:firstLine="482"/>
        <w:rPr>
          <w:rFonts w:ascii="宋体" w:hAnsi="宋体"/>
          <w:sz w:val="24"/>
        </w:rPr>
      </w:pPr>
    </w:p>
    <w:p w:rsidR="00BF1399" w:rsidRPr="00E37059" w:rsidRDefault="00BF1399" w:rsidP="00BF1399">
      <w:pPr>
        <w:spacing w:line="240" w:lineRule="atLeast"/>
        <w:jc w:val="center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br w:type="page"/>
      </w:r>
    </w:p>
    <w:p w:rsidR="00BF1399" w:rsidRPr="00E37059" w:rsidRDefault="00BF1399" w:rsidP="00BF1399">
      <w:pPr>
        <w:spacing w:line="240" w:lineRule="atLeast"/>
        <w:jc w:val="center"/>
        <w:rPr>
          <w:rFonts w:ascii="宋体" w:hAnsi="宋体"/>
          <w:b/>
          <w:sz w:val="24"/>
        </w:rPr>
      </w:pPr>
      <w:r w:rsidRPr="00E37059">
        <w:rPr>
          <w:rFonts w:ascii="宋体" w:hAnsi="宋体" w:hint="eastAsia"/>
          <w:sz w:val="24"/>
        </w:rPr>
        <w:lastRenderedPageBreak/>
        <w:t>××</w:t>
      </w:r>
      <w:r w:rsidRPr="00E37059">
        <w:rPr>
          <w:rFonts w:ascii="宋体" w:hAnsi="宋体" w:hint="eastAsia"/>
          <w:b/>
          <w:sz w:val="24"/>
        </w:rPr>
        <w:t>公司20</w:t>
      </w:r>
      <w:r w:rsidRPr="00E37059">
        <w:rPr>
          <w:rFonts w:ascii="宋体" w:hAnsi="宋体" w:hint="eastAsia"/>
          <w:sz w:val="24"/>
        </w:rPr>
        <w:t>××</w:t>
      </w:r>
      <w:r w:rsidRPr="00E37059">
        <w:rPr>
          <w:rFonts w:ascii="宋体" w:hAnsi="宋体" w:hint="eastAsia"/>
          <w:b/>
          <w:sz w:val="24"/>
        </w:rPr>
        <w:t>年度合</w:t>
      </w:r>
      <w:proofErr w:type="gramStart"/>
      <w:r w:rsidRPr="00E37059">
        <w:rPr>
          <w:rFonts w:ascii="宋体" w:hAnsi="宋体" w:hint="eastAsia"/>
          <w:b/>
          <w:sz w:val="24"/>
        </w:rPr>
        <w:t>规</w:t>
      </w:r>
      <w:proofErr w:type="gramEnd"/>
      <w:r w:rsidRPr="00E37059">
        <w:rPr>
          <w:rFonts w:ascii="宋体" w:hAnsi="宋体" w:hint="eastAsia"/>
          <w:b/>
          <w:sz w:val="24"/>
        </w:rPr>
        <w:t>管理有效性评估报告说明</w:t>
      </w:r>
    </w:p>
    <w:p w:rsidR="00BF1399" w:rsidRPr="00E37059" w:rsidRDefault="00BF1399" w:rsidP="00BF1399">
      <w:pPr>
        <w:spacing w:line="240" w:lineRule="atLeast"/>
        <w:rPr>
          <w:rFonts w:ascii="宋体" w:hAnsi="宋体"/>
          <w:sz w:val="24"/>
        </w:rPr>
      </w:pP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根据中国证券监督管理委员会（以下简称“证监会”）《证券公司和证券投资基金管理公司合规管理办法》和中国证券业协会（以下简称“协会”）《证券公司合规管理实施指引》、《证券公司合规管理有效性评估指引》等法律、法规和准则的要求，我们对本公司（以下简称“公司”）20**年度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管理的有效性进行了评估。</w:t>
      </w:r>
    </w:p>
    <w:p w:rsidR="00BF1399" w:rsidRPr="00E37059" w:rsidRDefault="00BF1399" w:rsidP="00BF1399">
      <w:pPr>
        <w:spacing w:line="240" w:lineRule="atLeast"/>
        <w:ind w:firstLineChars="196" w:firstLine="472"/>
        <w:rPr>
          <w:rFonts w:ascii="宋体" w:hAnsi="宋体"/>
          <w:b/>
          <w:sz w:val="24"/>
        </w:rPr>
      </w:pPr>
      <w:r w:rsidRPr="00E37059">
        <w:rPr>
          <w:rFonts w:ascii="宋体" w:hAnsi="宋体" w:hint="eastAsia"/>
          <w:b/>
          <w:sz w:val="24"/>
        </w:rPr>
        <w:t>一、合</w:t>
      </w:r>
      <w:proofErr w:type="gramStart"/>
      <w:r w:rsidRPr="00E37059">
        <w:rPr>
          <w:rFonts w:ascii="宋体" w:hAnsi="宋体" w:hint="eastAsia"/>
          <w:b/>
          <w:sz w:val="24"/>
        </w:rPr>
        <w:t>规</w:t>
      </w:r>
      <w:proofErr w:type="gramEnd"/>
      <w:r w:rsidRPr="00E37059">
        <w:rPr>
          <w:rFonts w:ascii="宋体" w:hAnsi="宋体" w:hint="eastAsia"/>
          <w:b/>
          <w:sz w:val="24"/>
        </w:rPr>
        <w:t>管理有效性评估工作的总体情况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i/>
          <w:sz w:val="24"/>
        </w:rPr>
      </w:pPr>
      <w:r w:rsidRPr="00E37059">
        <w:rPr>
          <w:rFonts w:ascii="宋体" w:hAnsi="宋体" w:hint="eastAsia"/>
          <w:sz w:val="24"/>
        </w:rPr>
        <w:t>公司董事会（</w:t>
      </w:r>
      <w:r w:rsidRPr="00E37059">
        <w:rPr>
          <w:rFonts w:ascii="宋体" w:hAnsi="宋体" w:hint="eastAsia"/>
          <w:color w:val="000000"/>
          <w:sz w:val="24"/>
        </w:rPr>
        <w:t>或监事会</w:t>
      </w:r>
      <w:r w:rsidRPr="00E37059">
        <w:rPr>
          <w:rFonts w:ascii="宋体" w:hAnsi="宋体" w:hint="eastAsia"/>
          <w:sz w:val="24"/>
        </w:rPr>
        <w:t>、或董事会授权管理层）授权合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管理有效性评估小组负责具体实施评估工作，</w:t>
      </w:r>
      <w:r w:rsidRPr="00E37059">
        <w:rPr>
          <w:rFonts w:ascii="宋体" w:hAnsi="宋体" w:hint="eastAsia"/>
          <w:i/>
          <w:sz w:val="24"/>
        </w:rPr>
        <w:t>[描述本年度合</w:t>
      </w:r>
      <w:proofErr w:type="gramStart"/>
      <w:r w:rsidRPr="00E37059">
        <w:rPr>
          <w:rFonts w:ascii="宋体" w:hAnsi="宋体" w:hint="eastAsia"/>
          <w:i/>
          <w:sz w:val="24"/>
        </w:rPr>
        <w:t>规</w:t>
      </w:r>
      <w:proofErr w:type="gramEnd"/>
      <w:r w:rsidRPr="00E37059">
        <w:rPr>
          <w:rFonts w:ascii="宋体" w:hAnsi="宋体" w:hint="eastAsia"/>
          <w:i/>
          <w:sz w:val="24"/>
        </w:rPr>
        <w:t>管理有效性评估的组织领导体制，评估工作组的结构图、主要负责人及汇报途径]。评估小组</w:t>
      </w:r>
      <w:r w:rsidRPr="00E37059">
        <w:rPr>
          <w:rFonts w:ascii="宋体" w:hAnsi="宋体" w:hint="eastAsia"/>
          <w:sz w:val="24"/>
        </w:rPr>
        <w:t>对纳入评估范围的单位及业务（事项）进行了评估。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b/>
          <w:sz w:val="24"/>
        </w:rPr>
      </w:pPr>
      <w:r w:rsidRPr="00E37059">
        <w:rPr>
          <w:rFonts w:ascii="宋体" w:hAnsi="宋体" w:hint="eastAsia"/>
          <w:b/>
          <w:sz w:val="24"/>
        </w:rPr>
        <w:t>二、合</w:t>
      </w:r>
      <w:proofErr w:type="gramStart"/>
      <w:r w:rsidRPr="00E37059">
        <w:rPr>
          <w:rFonts w:ascii="宋体" w:hAnsi="宋体" w:hint="eastAsia"/>
          <w:b/>
          <w:sz w:val="24"/>
        </w:rPr>
        <w:t>规</w:t>
      </w:r>
      <w:proofErr w:type="gramEnd"/>
      <w:r w:rsidRPr="00E37059">
        <w:rPr>
          <w:rFonts w:ascii="宋体" w:hAnsi="宋体" w:hint="eastAsia"/>
          <w:b/>
          <w:sz w:val="24"/>
        </w:rPr>
        <w:t>管理有效性评估的内容与范围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本次评估包括以下内容：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（一）合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管理环境。包括但不限于：合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文化建设是否到位、合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管理制度是否健全、合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经营基本要求是否能被遵循等。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（二）合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管理职责履行情况。包括但不限于：各层级合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管理职责履行情况，合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审查、合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检查、合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咨询、合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培训、合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监测、合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考核、合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问责、合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报告、监管沟通与配合、信息隔离墙管理、反洗钱等合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管理职能是否有效履行。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（三）合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管理保障。包括但不限于：</w:t>
      </w:r>
      <w:r w:rsidRPr="00E37059">
        <w:rPr>
          <w:rFonts w:ascii="宋体" w:hAnsi="宋体"/>
          <w:sz w:val="24"/>
        </w:rPr>
        <w:t>合</w:t>
      </w:r>
      <w:proofErr w:type="gramStart"/>
      <w:r w:rsidRPr="00E37059">
        <w:rPr>
          <w:rFonts w:ascii="宋体" w:hAnsi="宋体"/>
          <w:sz w:val="24"/>
        </w:rPr>
        <w:t>规</w:t>
      </w:r>
      <w:proofErr w:type="gramEnd"/>
      <w:r w:rsidRPr="00E37059">
        <w:rPr>
          <w:rFonts w:ascii="宋体" w:hAnsi="宋体"/>
          <w:sz w:val="24"/>
        </w:rPr>
        <w:t>总监任免及缺位代行</w:t>
      </w:r>
      <w:r w:rsidRPr="00E37059">
        <w:rPr>
          <w:rFonts w:ascii="宋体" w:hAnsi="宋体" w:hint="eastAsia"/>
          <w:sz w:val="24"/>
        </w:rPr>
        <w:t>、</w:t>
      </w:r>
      <w:r w:rsidRPr="00E37059">
        <w:rPr>
          <w:rFonts w:ascii="宋体" w:hAnsi="宋体"/>
          <w:sz w:val="24"/>
        </w:rPr>
        <w:t>合</w:t>
      </w:r>
      <w:proofErr w:type="gramStart"/>
      <w:r w:rsidRPr="00E37059">
        <w:rPr>
          <w:rFonts w:ascii="宋体" w:hAnsi="宋体"/>
          <w:sz w:val="24"/>
        </w:rPr>
        <w:t>规</w:t>
      </w:r>
      <w:proofErr w:type="gramEnd"/>
      <w:r w:rsidRPr="00E37059">
        <w:rPr>
          <w:rFonts w:ascii="宋体" w:hAnsi="宋体"/>
          <w:sz w:val="24"/>
        </w:rPr>
        <w:t>部门设立和职责</w:t>
      </w:r>
      <w:r w:rsidRPr="00E37059">
        <w:rPr>
          <w:rFonts w:ascii="宋体" w:hAnsi="宋体" w:hint="eastAsia"/>
          <w:sz w:val="24"/>
        </w:rPr>
        <w:t>、</w:t>
      </w:r>
      <w:r w:rsidRPr="00E37059">
        <w:rPr>
          <w:rFonts w:ascii="宋体" w:hAnsi="宋体"/>
          <w:sz w:val="24"/>
        </w:rPr>
        <w:t>合</w:t>
      </w:r>
      <w:proofErr w:type="gramStart"/>
      <w:r w:rsidRPr="00E37059">
        <w:rPr>
          <w:rFonts w:ascii="宋体" w:hAnsi="宋体"/>
          <w:sz w:val="24"/>
        </w:rPr>
        <w:t>规</w:t>
      </w:r>
      <w:proofErr w:type="gramEnd"/>
      <w:r w:rsidRPr="00E37059">
        <w:rPr>
          <w:rFonts w:ascii="宋体" w:hAnsi="宋体"/>
          <w:sz w:val="24"/>
        </w:rPr>
        <w:t>人员配备</w:t>
      </w:r>
      <w:r w:rsidRPr="00E37059">
        <w:rPr>
          <w:rFonts w:ascii="宋体" w:hAnsi="宋体" w:hint="eastAsia"/>
          <w:sz w:val="24"/>
        </w:rPr>
        <w:t>、</w:t>
      </w:r>
      <w:r w:rsidRPr="00E37059">
        <w:rPr>
          <w:rFonts w:ascii="宋体" w:hAnsi="宋体"/>
          <w:sz w:val="24"/>
        </w:rPr>
        <w:t>子公司合</w:t>
      </w:r>
      <w:proofErr w:type="gramStart"/>
      <w:r w:rsidRPr="00E37059">
        <w:rPr>
          <w:rFonts w:ascii="宋体" w:hAnsi="宋体"/>
          <w:sz w:val="24"/>
        </w:rPr>
        <w:t>规</w:t>
      </w:r>
      <w:proofErr w:type="gramEnd"/>
      <w:r w:rsidRPr="00E37059">
        <w:rPr>
          <w:rFonts w:ascii="宋体" w:hAnsi="宋体"/>
          <w:sz w:val="24"/>
        </w:rPr>
        <w:t>管理</w:t>
      </w:r>
      <w:r w:rsidRPr="00E37059">
        <w:rPr>
          <w:rFonts w:ascii="宋体" w:hAnsi="宋体" w:hint="eastAsia"/>
          <w:sz w:val="24"/>
        </w:rPr>
        <w:t>、</w:t>
      </w:r>
      <w:r w:rsidRPr="00E37059">
        <w:rPr>
          <w:rFonts w:ascii="宋体" w:hAnsi="宋体"/>
          <w:sz w:val="24"/>
        </w:rPr>
        <w:t>合</w:t>
      </w:r>
      <w:proofErr w:type="gramStart"/>
      <w:r w:rsidRPr="00E37059">
        <w:rPr>
          <w:rFonts w:ascii="宋体" w:hAnsi="宋体"/>
          <w:sz w:val="24"/>
        </w:rPr>
        <w:t>规</w:t>
      </w:r>
      <w:proofErr w:type="gramEnd"/>
      <w:r w:rsidRPr="00E37059">
        <w:rPr>
          <w:rFonts w:ascii="宋体" w:hAnsi="宋体"/>
          <w:sz w:val="24"/>
        </w:rPr>
        <w:t>人员履职保障等机制是否健全并实际得到执行</w:t>
      </w:r>
      <w:r w:rsidRPr="00E37059">
        <w:rPr>
          <w:rFonts w:ascii="宋体" w:hAnsi="宋体" w:hint="eastAsia"/>
          <w:sz w:val="24"/>
        </w:rPr>
        <w:t>。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（四）经营管理制度与机制建设情况。包括但不限于：各项经营管理制度和操作流程是否健全，是否与外部法律、法规和准则相一致，是否能够根据外部法律、法规和准则的变化及时修订、完善。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（五）经营管理制度与机制运行状况。包括但不限于：是否能够严格执行经营管理制度和操作流程，是否能够及时发现并纠正有章不循、违规操作等问题。</w:t>
      </w:r>
    </w:p>
    <w:p w:rsidR="00BF1399" w:rsidRPr="00E37059" w:rsidRDefault="00BF1399" w:rsidP="00BF1399">
      <w:pPr>
        <w:spacing w:line="240" w:lineRule="atLeast"/>
        <w:ind w:firstLine="482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纳入本次评估范围的单位包括：</w:t>
      </w:r>
    </w:p>
    <w:p w:rsidR="00BF1399" w:rsidRPr="00E37059" w:rsidRDefault="00BF1399" w:rsidP="00BF1399">
      <w:pPr>
        <w:spacing w:line="240" w:lineRule="atLeast"/>
        <w:ind w:firstLine="482"/>
        <w:rPr>
          <w:rFonts w:ascii="宋体" w:hAnsi="宋体"/>
          <w:sz w:val="24"/>
        </w:rPr>
      </w:pPr>
      <w:r w:rsidRPr="00E37059">
        <w:rPr>
          <w:rFonts w:ascii="宋体" w:hAnsi="宋体" w:hint="eastAsia"/>
          <w:i/>
          <w:sz w:val="24"/>
        </w:rPr>
        <w:t>[列出被评估单位的范围（包括各部门和分支机构）]</w:t>
      </w:r>
    </w:p>
    <w:p w:rsidR="00BF1399" w:rsidRPr="00E37059" w:rsidRDefault="00BF1399" w:rsidP="00BF1399">
      <w:pPr>
        <w:spacing w:line="240" w:lineRule="atLeast"/>
        <w:ind w:firstLine="482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（如存在遗漏）公司本年度未能对以下单位或业务（事项）进行合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管理有效性评估：</w:t>
      </w:r>
      <w:r w:rsidRPr="00E37059">
        <w:rPr>
          <w:rFonts w:ascii="宋体" w:hAnsi="宋体" w:hint="eastAsia"/>
          <w:i/>
          <w:sz w:val="24"/>
        </w:rPr>
        <w:t>[逐条说明未纳入范围的重要单位或业务（事项），包括单位、业务（事项）描述、未纳入原因、对合</w:t>
      </w:r>
      <w:proofErr w:type="gramStart"/>
      <w:r w:rsidRPr="00E37059">
        <w:rPr>
          <w:rFonts w:ascii="宋体" w:hAnsi="宋体" w:hint="eastAsia"/>
          <w:i/>
          <w:sz w:val="24"/>
        </w:rPr>
        <w:t>规</w:t>
      </w:r>
      <w:proofErr w:type="gramEnd"/>
      <w:r w:rsidRPr="00E37059">
        <w:rPr>
          <w:rFonts w:ascii="宋体" w:hAnsi="宋体" w:hint="eastAsia"/>
          <w:i/>
          <w:sz w:val="24"/>
        </w:rPr>
        <w:t>管理有效性评估产生的影响]</w:t>
      </w:r>
      <w:r w:rsidRPr="00E37059">
        <w:rPr>
          <w:rFonts w:ascii="宋体" w:hAnsi="宋体" w:hint="eastAsia"/>
          <w:sz w:val="24"/>
        </w:rPr>
        <w:t>。</w:t>
      </w:r>
    </w:p>
    <w:p w:rsidR="00BF1399" w:rsidRPr="00E37059" w:rsidRDefault="00BF1399" w:rsidP="00BF1399">
      <w:pPr>
        <w:spacing w:line="240" w:lineRule="atLeast"/>
        <w:ind w:firstLine="482"/>
        <w:rPr>
          <w:rFonts w:ascii="宋体" w:hAnsi="宋体"/>
          <w:b/>
          <w:sz w:val="24"/>
        </w:rPr>
      </w:pPr>
      <w:r w:rsidRPr="00E37059">
        <w:rPr>
          <w:rFonts w:ascii="宋体" w:hAnsi="宋体" w:hint="eastAsia"/>
          <w:b/>
          <w:sz w:val="24"/>
        </w:rPr>
        <w:t>三、合</w:t>
      </w:r>
      <w:proofErr w:type="gramStart"/>
      <w:r w:rsidRPr="00E37059">
        <w:rPr>
          <w:rFonts w:ascii="宋体" w:hAnsi="宋体" w:hint="eastAsia"/>
          <w:b/>
          <w:sz w:val="24"/>
        </w:rPr>
        <w:t>规</w:t>
      </w:r>
      <w:proofErr w:type="gramEnd"/>
      <w:r w:rsidRPr="00E37059">
        <w:rPr>
          <w:rFonts w:ascii="宋体" w:hAnsi="宋体" w:hint="eastAsia"/>
          <w:b/>
          <w:sz w:val="24"/>
        </w:rPr>
        <w:t>管理有效性评估的程序和方法</w:t>
      </w:r>
    </w:p>
    <w:p w:rsidR="00BF1399" w:rsidRPr="00E37059" w:rsidRDefault="00BF1399" w:rsidP="00BF1399">
      <w:pPr>
        <w:spacing w:line="240" w:lineRule="atLeast"/>
        <w:ind w:firstLine="482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管理有效性评估工作按照《证券公司和证券投资基金管理公司合规管理办法》、《证券公司合规管理实施指引》、《证券公司合规管理有效性评估指引》及公司内部合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管理有效性评估办法规定的程序执行</w:t>
      </w:r>
      <w:r w:rsidRPr="00E37059">
        <w:rPr>
          <w:rFonts w:ascii="宋体" w:hAnsi="宋体" w:hint="eastAsia"/>
          <w:i/>
          <w:sz w:val="24"/>
        </w:rPr>
        <w:t>[描述公司开展合</w:t>
      </w:r>
      <w:proofErr w:type="gramStart"/>
      <w:r w:rsidRPr="00E37059">
        <w:rPr>
          <w:rFonts w:ascii="宋体" w:hAnsi="宋体" w:hint="eastAsia"/>
          <w:i/>
          <w:sz w:val="24"/>
        </w:rPr>
        <w:t>规</w:t>
      </w:r>
      <w:proofErr w:type="gramEnd"/>
      <w:r w:rsidRPr="00E37059">
        <w:rPr>
          <w:rFonts w:ascii="宋体" w:hAnsi="宋体" w:hint="eastAsia"/>
          <w:i/>
          <w:sz w:val="24"/>
        </w:rPr>
        <w:t>管理有效性评估工作的基本流程，包括准备阶段、实施阶段、报告阶段、整改阶段]</w:t>
      </w:r>
      <w:r w:rsidRPr="00E37059">
        <w:rPr>
          <w:rFonts w:ascii="宋体" w:hAnsi="宋体" w:hint="eastAsia"/>
          <w:sz w:val="24"/>
        </w:rPr>
        <w:t>。</w:t>
      </w:r>
    </w:p>
    <w:p w:rsidR="00BF1399" w:rsidRPr="00E37059" w:rsidRDefault="00BF1399" w:rsidP="00BF1399">
      <w:pPr>
        <w:spacing w:line="240" w:lineRule="atLeast"/>
        <w:ind w:firstLine="482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评估过程中，我们采用了（人员访谈、文本审阅、问卷调查、知识测试、穿行测试、抽样分析、系统及数据测试、活动观测、专题讨论）等必要的方法，收集了较为广泛的评估证据，如实填写了工作底稿，分析、识别了公司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管理存在的问题</w:t>
      </w:r>
      <w:r w:rsidRPr="00E37059">
        <w:rPr>
          <w:rFonts w:ascii="宋体" w:hAnsi="宋体" w:hint="eastAsia"/>
          <w:i/>
          <w:sz w:val="24"/>
        </w:rPr>
        <w:t>[说明评估方法的适当性及证据的充分性]。</w:t>
      </w:r>
    </w:p>
    <w:p w:rsidR="00BF1399" w:rsidRPr="00E37059" w:rsidRDefault="00BF1399" w:rsidP="00BF1399">
      <w:pPr>
        <w:spacing w:line="240" w:lineRule="atLeast"/>
        <w:ind w:firstLine="482"/>
        <w:rPr>
          <w:rFonts w:ascii="宋体" w:hAnsi="宋体"/>
          <w:b/>
          <w:sz w:val="24"/>
        </w:rPr>
      </w:pPr>
      <w:r w:rsidRPr="00E37059">
        <w:rPr>
          <w:rFonts w:ascii="宋体" w:hAnsi="宋体" w:hint="eastAsia"/>
          <w:b/>
          <w:sz w:val="24"/>
        </w:rPr>
        <w:t>四、公司合</w:t>
      </w:r>
      <w:proofErr w:type="gramStart"/>
      <w:r w:rsidRPr="00E37059">
        <w:rPr>
          <w:rFonts w:ascii="宋体" w:hAnsi="宋体" w:hint="eastAsia"/>
          <w:b/>
          <w:sz w:val="24"/>
        </w:rPr>
        <w:t>规</w:t>
      </w:r>
      <w:proofErr w:type="gramEnd"/>
      <w:r w:rsidRPr="00E37059">
        <w:rPr>
          <w:rFonts w:ascii="宋体" w:hAnsi="宋体" w:hint="eastAsia"/>
          <w:b/>
          <w:sz w:val="24"/>
        </w:rPr>
        <w:t>管理状况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（一）合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管理环境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lastRenderedPageBreak/>
        <w:t>（二）合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管理职责履行情况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（三）合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管理保障</w:t>
      </w:r>
    </w:p>
    <w:p w:rsidR="00BF1399" w:rsidRPr="00E37059" w:rsidRDefault="00BF1399" w:rsidP="00BF1399">
      <w:pPr>
        <w:spacing w:line="240" w:lineRule="atLeast"/>
        <w:ind w:firstLine="48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（四）经营管理制度与机制建设及运行状况</w:t>
      </w:r>
    </w:p>
    <w:p w:rsidR="00BF1399" w:rsidRPr="00E37059" w:rsidRDefault="00BF1399" w:rsidP="00BF1399">
      <w:pPr>
        <w:spacing w:line="240" w:lineRule="atLeast"/>
        <w:ind w:firstLine="482"/>
        <w:rPr>
          <w:rFonts w:ascii="宋体" w:hAnsi="宋体"/>
          <w:b/>
          <w:sz w:val="24"/>
        </w:rPr>
      </w:pPr>
      <w:r w:rsidRPr="00E37059">
        <w:rPr>
          <w:rFonts w:ascii="宋体" w:hAnsi="宋体" w:hint="eastAsia"/>
          <w:b/>
          <w:sz w:val="24"/>
        </w:rPr>
        <w:t>五、评估发现的合</w:t>
      </w:r>
      <w:proofErr w:type="gramStart"/>
      <w:r w:rsidRPr="00E37059">
        <w:rPr>
          <w:rFonts w:ascii="宋体" w:hAnsi="宋体" w:hint="eastAsia"/>
          <w:b/>
          <w:sz w:val="24"/>
        </w:rPr>
        <w:t>规</w:t>
      </w:r>
      <w:proofErr w:type="gramEnd"/>
      <w:r w:rsidRPr="00E37059">
        <w:rPr>
          <w:rFonts w:ascii="宋体" w:hAnsi="宋体" w:hint="eastAsia"/>
          <w:b/>
          <w:sz w:val="24"/>
        </w:rPr>
        <w:t>管理问题和整改情况</w:t>
      </w:r>
    </w:p>
    <w:p w:rsidR="00BF1399" w:rsidRPr="00E37059" w:rsidRDefault="00BF1399" w:rsidP="00BF1399">
      <w:pPr>
        <w:spacing w:line="240" w:lineRule="atLeast"/>
        <w:ind w:firstLine="482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评估期间，公司存在的合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管理问题及整改情况如下：</w:t>
      </w: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50"/>
        <w:gridCol w:w="33"/>
        <w:gridCol w:w="1684"/>
        <w:gridCol w:w="2063"/>
        <w:gridCol w:w="1620"/>
        <w:gridCol w:w="1980"/>
      </w:tblGrid>
      <w:tr w:rsidR="00BF1399" w:rsidTr="002824E4">
        <w:tc>
          <w:tcPr>
            <w:tcW w:w="783" w:type="dxa"/>
            <w:gridSpan w:val="2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  <w:r w:rsidRPr="00E37059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684" w:type="dxa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  <w:r w:rsidRPr="00E37059">
              <w:rPr>
                <w:rFonts w:ascii="宋体" w:hAnsi="宋体" w:hint="eastAsia"/>
                <w:sz w:val="24"/>
              </w:rPr>
              <w:t>问题描述</w:t>
            </w:r>
          </w:p>
        </w:tc>
        <w:tc>
          <w:tcPr>
            <w:tcW w:w="2063" w:type="dxa"/>
          </w:tcPr>
          <w:p w:rsidR="00BF1399" w:rsidRPr="00E37059" w:rsidRDefault="00BF1399" w:rsidP="002824E4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E37059">
              <w:rPr>
                <w:rFonts w:ascii="宋体" w:hAnsi="宋体" w:hint="eastAsia"/>
                <w:sz w:val="24"/>
              </w:rPr>
              <w:t>问题涉及的领域或部门</w:t>
            </w:r>
          </w:p>
        </w:tc>
        <w:tc>
          <w:tcPr>
            <w:tcW w:w="1620" w:type="dxa"/>
          </w:tcPr>
          <w:p w:rsidR="00BF1399" w:rsidRPr="00E37059" w:rsidRDefault="00BF1399" w:rsidP="002824E4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E37059">
              <w:rPr>
                <w:rFonts w:ascii="宋体" w:hAnsi="宋体" w:hint="eastAsia"/>
                <w:sz w:val="24"/>
              </w:rPr>
              <w:t>拟采取的整改措施</w:t>
            </w:r>
          </w:p>
        </w:tc>
        <w:tc>
          <w:tcPr>
            <w:tcW w:w="1980" w:type="dxa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  <w:r w:rsidRPr="00E37059">
              <w:rPr>
                <w:rFonts w:ascii="宋体" w:hAnsi="宋体" w:hint="eastAsia"/>
                <w:sz w:val="24"/>
              </w:rPr>
              <w:t>计划整改期限</w:t>
            </w:r>
          </w:p>
        </w:tc>
      </w:tr>
      <w:tr w:rsidR="00BF1399" w:rsidTr="002824E4">
        <w:tc>
          <w:tcPr>
            <w:tcW w:w="8130" w:type="dxa"/>
            <w:gridSpan w:val="6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  <w:r w:rsidRPr="00E37059">
              <w:rPr>
                <w:rFonts w:ascii="宋体" w:hAnsi="宋体" w:hint="eastAsia"/>
                <w:sz w:val="24"/>
              </w:rPr>
              <w:t>一、合</w:t>
            </w:r>
            <w:proofErr w:type="gramStart"/>
            <w:r w:rsidRPr="00E37059">
              <w:rPr>
                <w:rFonts w:ascii="宋体" w:hAnsi="宋体" w:hint="eastAsia"/>
                <w:sz w:val="24"/>
              </w:rPr>
              <w:t>规</w:t>
            </w:r>
            <w:proofErr w:type="gramEnd"/>
            <w:r w:rsidRPr="00E37059">
              <w:rPr>
                <w:rFonts w:ascii="宋体" w:hAnsi="宋体" w:hint="eastAsia"/>
                <w:sz w:val="24"/>
              </w:rPr>
              <w:t>管理环境方面</w:t>
            </w:r>
          </w:p>
        </w:tc>
      </w:tr>
      <w:tr w:rsidR="00BF1399" w:rsidTr="002824E4">
        <w:tc>
          <w:tcPr>
            <w:tcW w:w="783" w:type="dxa"/>
            <w:gridSpan w:val="2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  <w:r w:rsidRPr="00E37059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84" w:type="dxa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:rsidR="00BF1399" w:rsidTr="002824E4">
        <w:tc>
          <w:tcPr>
            <w:tcW w:w="783" w:type="dxa"/>
            <w:gridSpan w:val="2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  <w:r w:rsidRPr="00E37059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684" w:type="dxa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:rsidR="00BF1399" w:rsidTr="002824E4">
        <w:tc>
          <w:tcPr>
            <w:tcW w:w="783" w:type="dxa"/>
            <w:gridSpan w:val="2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  <w:r w:rsidRPr="00E37059">
              <w:rPr>
                <w:rFonts w:ascii="宋体" w:hAnsi="宋体" w:hint="eastAsia"/>
                <w:sz w:val="24"/>
              </w:rPr>
              <w:t>…</w:t>
            </w:r>
          </w:p>
        </w:tc>
        <w:tc>
          <w:tcPr>
            <w:tcW w:w="1684" w:type="dxa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:rsidR="00BF1399" w:rsidTr="002824E4">
        <w:tc>
          <w:tcPr>
            <w:tcW w:w="8130" w:type="dxa"/>
            <w:gridSpan w:val="6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  <w:r w:rsidRPr="00E37059">
              <w:rPr>
                <w:rFonts w:ascii="宋体" w:hAnsi="宋体" w:hint="eastAsia"/>
                <w:sz w:val="24"/>
              </w:rPr>
              <w:t>二、合</w:t>
            </w:r>
            <w:proofErr w:type="gramStart"/>
            <w:r w:rsidRPr="00E37059">
              <w:rPr>
                <w:rFonts w:ascii="宋体" w:hAnsi="宋体" w:hint="eastAsia"/>
                <w:sz w:val="24"/>
              </w:rPr>
              <w:t>规</w:t>
            </w:r>
            <w:proofErr w:type="gramEnd"/>
            <w:r w:rsidRPr="00E37059">
              <w:rPr>
                <w:rFonts w:ascii="宋体" w:hAnsi="宋体" w:hint="eastAsia"/>
                <w:sz w:val="24"/>
              </w:rPr>
              <w:t>管理职责履行方面</w:t>
            </w:r>
          </w:p>
        </w:tc>
      </w:tr>
      <w:tr w:rsidR="00BF1399" w:rsidTr="002824E4">
        <w:tc>
          <w:tcPr>
            <w:tcW w:w="750" w:type="dxa"/>
            <w:tcBorders>
              <w:right w:val="single" w:sz="4" w:space="0" w:color="auto"/>
            </w:tcBorders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  <w:r w:rsidRPr="00E37059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:rsidR="00BF1399" w:rsidTr="002824E4">
        <w:tc>
          <w:tcPr>
            <w:tcW w:w="750" w:type="dxa"/>
            <w:tcBorders>
              <w:right w:val="single" w:sz="4" w:space="0" w:color="auto"/>
            </w:tcBorders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  <w:r w:rsidRPr="00E37059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:rsidR="00BF1399" w:rsidTr="002824E4">
        <w:tc>
          <w:tcPr>
            <w:tcW w:w="750" w:type="dxa"/>
            <w:tcBorders>
              <w:right w:val="single" w:sz="4" w:space="0" w:color="auto"/>
            </w:tcBorders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  <w:r w:rsidRPr="00E37059">
              <w:rPr>
                <w:rFonts w:ascii="宋体" w:hAnsi="宋体" w:hint="eastAsia"/>
                <w:sz w:val="24"/>
              </w:rPr>
              <w:t>…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:rsidR="00BF1399" w:rsidTr="002824E4">
        <w:tc>
          <w:tcPr>
            <w:tcW w:w="8130" w:type="dxa"/>
            <w:gridSpan w:val="6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  <w:r w:rsidRPr="00E37059">
              <w:rPr>
                <w:rFonts w:ascii="宋体" w:hAnsi="宋体" w:hint="eastAsia"/>
                <w:sz w:val="24"/>
              </w:rPr>
              <w:t>三、合</w:t>
            </w:r>
            <w:proofErr w:type="gramStart"/>
            <w:r w:rsidRPr="00E37059">
              <w:rPr>
                <w:rFonts w:ascii="宋体" w:hAnsi="宋体" w:hint="eastAsia"/>
                <w:sz w:val="24"/>
              </w:rPr>
              <w:t>规</w:t>
            </w:r>
            <w:proofErr w:type="gramEnd"/>
            <w:r w:rsidRPr="00E37059">
              <w:rPr>
                <w:rFonts w:ascii="宋体" w:hAnsi="宋体" w:hint="eastAsia"/>
                <w:sz w:val="24"/>
              </w:rPr>
              <w:t>管理保障方面</w:t>
            </w:r>
          </w:p>
        </w:tc>
      </w:tr>
      <w:tr w:rsidR="00BF1399" w:rsidTr="002824E4">
        <w:tc>
          <w:tcPr>
            <w:tcW w:w="750" w:type="dxa"/>
            <w:tcBorders>
              <w:right w:val="single" w:sz="4" w:space="0" w:color="auto"/>
            </w:tcBorders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  <w:r w:rsidRPr="00E37059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:rsidR="00BF1399" w:rsidTr="002824E4">
        <w:tc>
          <w:tcPr>
            <w:tcW w:w="750" w:type="dxa"/>
            <w:tcBorders>
              <w:right w:val="single" w:sz="4" w:space="0" w:color="auto"/>
            </w:tcBorders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  <w:r w:rsidRPr="00E37059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:rsidR="00BF1399" w:rsidTr="002824E4">
        <w:tc>
          <w:tcPr>
            <w:tcW w:w="750" w:type="dxa"/>
            <w:tcBorders>
              <w:right w:val="single" w:sz="4" w:space="0" w:color="auto"/>
            </w:tcBorders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  <w:r w:rsidRPr="00E37059"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  <w:tcBorders>
              <w:left w:val="single" w:sz="4" w:space="0" w:color="auto"/>
              <w:right w:val="single" w:sz="4" w:space="0" w:color="auto"/>
            </w:tcBorders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:rsidR="00BF1399" w:rsidTr="002824E4">
        <w:tc>
          <w:tcPr>
            <w:tcW w:w="8130" w:type="dxa"/>
            <w:gridSpan w:val="6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  <w:r w:rsidRPr="00E37059">
              <w:rPr>
                <w:rFonts w:ascii="宋体" w:hAnsi="宋体" w:hint="eastAsia"/>
                <w:sz w:val="24"/>
              </w:rPr>
              <w:t>四、经营管理制度与机制建设及运行方面</w:t>
            </w:r>
          </w:p>
        </w:tc>
      </w:tr>
      <w:tr w:rsidR="00BF1399" w:rsidTr="002824E4">
        <w:tc>
          <w:tcPr>
            <w:tcW w:w="783" w:type="dxa"/>
            <w:gridSpan w:val="2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  <w:r w:rsidRPr="00E37059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84" w:type="dxa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:rsidR="00BF1399" w:rsidTr="002824E4">
        <w:tc>
          <w:tcPr>
            <w:tcW w:w="783" w:type="dxa"/>
            <w:gridSpan w:val="2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  <w:r w:rsidRPr="00E37059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684" w:type="dxa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:rsidR="00BF1399" w:rsidTr="002824E4">
        <w:tc>
          <w:tcPr>
            <w:tcW w:w="783" w:type="dxa"/>
            <w:gridSpan w:val="2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  <w:r w:rsidRPr="00E37059">
              <w:rPr>
                <w:rFonts w:ascii="宋体" w:hAnsi="宋体" w:hint="eastAsia"/>
                <w:sz w:val="24"/>
              </w:rPr>
              <w:t>…</w:t>
            </w:r>
          </w:p>
        </w:tc>
        <w:tc>
          <w:tcPr>
            <w:tcW w:w="1684" w:type="dxa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2063" w:type="dxa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</w:tcPr>
          <w:p w:rsidR="00BF1399" w:rsidRPr="00E37059" w:rsidRDefault="00BF1399" w:rsidP="002824E4">
            <w:pPr>
              <w:spacing w:line="240" w:lineRule="atLeast"/>
              <w:rPr>
                <w:rFonts w:ascii="宋体" w:hAnsi="宋体"/>
                <w:sz w:val="24"/>
              </w:rPr>
            </w:pPr>
          </w:p>
        </w:tc>
      </w:tr>
    </w:tbl>
    <w:p w:rsidR="00BF1399" w:rsidRPr="00E37059" w:rsidRDefault="00BF1399" w:rsidP="00BF1399">
      <w:pPr>
        <w:spacing w:line="240" w:lineRule="atLeast"/>
        <w:ind w:firstLine="482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经过整改，公司在报告</w:t>
      </w:r>
      <w:proofErr w:type="gramStart"/>
      <w:r w:rsidRPr="00E37059">
        <w:rPr>
          <w:rFonts w:ascii="宋体" w:hAnsi="宋体" w:hint="eastAsia"/>
          <w:sz w:val="24"/>
        </w:rPr>
        <w:t>期末仍</w:t>
      </w:r>
      <w:proofErr w:type="gramEnd"/>
      <w:r w:rsidRPr="00E37059">
        <w:rPr>
          <w:rFonts w:ascii="宋体" w:hAnsi="宋体" w:hint="eastAsia"/>
          <w:sz w:val="24"/>
        </w:rPr>
        <w:t>存在以下问题</w:t>
      </w:r>
      <w:r w:rsidRPr="00E37059">
        <w:rPr>
          <w:rFonts w:ascii="宋体" w:hAnsi="宋体" w:hint="eastAsia"/>
          <w:i/>
          <w:sz w:val="24"/>
        </w:rPr>
        <w:t>[从以上方面对问题进行描述]</w:t>
      </w:r>
      <w:r w:rsidRPr="00E37059">
        <w:rPr>
          <w:rFonts w:ascii="宋体" w:hAnsi="宋体" w:hint="eastAsia"/>
          <w:sz w:val="24"/>
        </w:rPr>
        <w:t>。针对报告期末未完成整改的问题，公司拟进一步采取相应措施加以整改</w:t>
      </w:r>
      <w:r w:rsidRPr="00E37059">
        <w:rPr>
          <w:rFonts w:ascii="宋体" w:hAnsi="宋体" w:hint="eastAsia"/>
          <w:i/>
          <w:sz w:val="24"/>
        </w:rPr>
        <w:t>[描述整改措施的具体内容及预期达到的效果]</w:t>
      </w:r>
      <w:r w:rsidRPr="00E37059">
        <w:rPr>
          <w:rFonts w:ascii="宋体" w:hAnsi="宋体" w:hint="eastAsia"/>
          <w:sz w:val="24"/>
        </w:rPr>
        <w:t>。</w:t>
      </w:r>
    </w:p>
    <w:p w:rsidR="00BF1399" w:rsidRPr="00E37059" w:rsidRDefault="00BF1399" w:rsidP="00BF1399">
      <w:pPr>
        <w:spacing w:line="240" w:lineRule="atLeast"/>
        <w:ind w:firstLine="482"/>
        <w:rPr>
          <w:rFonts w:ascii="宋体" w:hAnsi="宋体"/>
          <w:b/>
          <w:sz w:val="24"/>
        </w:rPr>
      </w:pPr>
      <w:r w:rsidRPr="00E37059">
        <w:rPr>
          <w:rFonts w:ascii="宋体" w:hAnsi="宋体" w:hint="eastAsia"/>
          <w:b/>
          <w:sz w:val="24"/>
        </w:rPr>
        <w:t>六、上一年度未完成整改问题的后续整改情况</w:t>
      </w:r>
    </w:p>
    <w:p w:rsidR="00BF1399" w:rsidRPr="00E37059" w:rsidRDefault="00BF1399" w:rsidP="00BF1399">
      <w:pPr>
        <w:spacing w:line="240" w:lineRule="atLeast"/>
        <w:ind w:firstLine="482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针对上年度合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管理有效性评估报告中所述期末未完成整改事项，具体描述本年度整改情况。</w:t>
      </w:r>
    </w:p>
    <w:p w:rsidR="00BF1399" w:rsidRPr="00E37059" w:rsidRDefault="00BF1399" w:rsidP="00BF1399">
      <w:pPr>
        <w:spacing w:line="240" w:lineRule="atLeast"/>
        <w:ind w:firstLine="482"/>
        <w:rPr>
          <w:rFonts w:ascii="宋体" w:hAnsi="宋体"/>
          <w:b/>
          <w:sz w:val="24"/>
        </w:rPr>
      </w:pPr>
    </w:p>
    <w:p w:rsidR="00BF1399" w:rsidRPr="00E37059" w:rsidRDefault="00BF1399" w:rsidP="00BF1399">
      <w:pPr>
        <w:spacing w:line="240" w:lineRule="atLeast"/>
        <w:ind w:firstLine="482"/>
        <w:rPr>
          <w:rFonts w:ascii="宋体" w:hAnsi="宋体"/>
          <w:b/>
          <w:sz w:val="24"/>
        </w:rPr>
      </w:pPr>
      <w:r w:rsidRPr="00E37059">
        <w:rPr>
          <w:rFonts w:ascii="宋体" w:hAnsi="宋体" w:hint="eastAsia"/>
          <w:b/>
          <w:sz w:val="24"/>
        </w:rPr>
        <w:t>七、评估总结</w:t>
      </w:r>
    </w:p>
    <w:p w:rsidR="00BF1399" w:rsidRPr="00E37059" w:rsidRDefault="00BF1399" w:rsidP="00BF1399">
      <w:pPr>
        <w:spacing w:line="240" w:lineRule="atLeast"/>
        <w:ind w:firstLine="482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（不存在重大合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风险的情形）从本次合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管理有效性评估的总体情况分析，报告期内，公司对纳入评估范围的业务与事项均已建立了相应的管理制度，并得到有效执行，达到了公司合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管理的目标，在所有方面不存在重大合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风险。</w:t>
      </w:r>
    </w:p>
    <w:p w:rsidR="00BF1399" w:rsidRPr="00E37059" w:rsidRDefault="00BF1399" w:rsidP="00BF1399">
      <w:pPr>
        <w:spacing w:line="240" w:lineRule="atLeast"/>
        <w:ind w:firstLine="482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（存在重大合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风险的情形）从本次合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管理有效性评估的总体情况分析，报告期内，公司在经营管理制度的制定和执行方面上存在未完成整改的重大合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问题</w:t>
      </w:r>
      <w:r w:rsidRPr="00E37059">
        <w:rPr>
          <w:rFonts w:ascii="宋体" w:hAnsi="宋体" w:hint="eastAsia"/>
          <w:i/>
          <w:sz w:val="24"/>
        </w:rPr>
        <w:t>[描述该问题的性质及其对实现合</w:t>
      </w:r>
      <w:proofErr w:type="gramStart"/>
      <w:r w:rsidRPr="00E37059">
        <w:rPr>
          <w:rFonts w:ascii="宋体" w:hAnsi="宋体" w:hint="eastAsia"/>
          <w:i/>
          <w:sz w:val="24"/>
        </w:rPr>
        <w:t>规</w:t>
      </w:r>
      <w:proofErr w:type="gramEnd"/>
      <w:r w:rsidRPr="00E37059">
        <w:rPr>
          <w:rFonts w:ascii="宋体" w:hAnsi="宋体" w:hint="eastAsia"/>
          <w:i/>
          <w:sz w:val="24"/>
        </w:rPr>
        <w:t>管理目标的影响程度]</w:t>
      </w:r>
      <w:r w:rsidRPr="00E37059">
        <w:rPr>
          <w:rFonts w:ascii="宋体" w:hAnsi="宋体" w:hint="eastAsia"/>
          <w:sz w:val="24"/>
        </w:rPr>
        <w:t>。由于存在上述问题，可能会给公司未来经营带来相关合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风险</w:t>
      </w:r>
      <w:r w:rsidRPr="00E37059">
        <w:rPr>
          <w:rFonts w:ascii="宋体" w:hAnsi="宋体" w:hint="eastAsia"/>
          <w:i/>
          <w:sz w:val="24"/>
        </w:rPr>
        <w:t>[描述该风险]</w:t>
      </w:r>
      <w:r w:rsidRPr="00E37059">
        <w:rPr>
          <w:rFonts w:ascii="宋体" w:hAnsi="宋体" w:hint="eastAsia"/>
          <w:sz w:val="24"/>
        </w:rPr>
        <w:t>。</w:t>
      </w:r>
    </w:p>
    <w:p w:rsidR="00BF1399" w:rsidRPr="00E37059" w:rsidRDefault="00BF1399" w:rsidP="00BF1399">
      <w:pPr>
        <w:spacing w:line="240" w:lineRule="atLeast"/>
        <w:ind w:firstLine="482"/>
        <w:rPr>
          <w:rFonts w:ascii="宋体" w:hAnsi="宋体"/>
          <w:b/>
          <w:sz w:val="24"/>
        </w:rPr>
      </w:pPr>
      <w:r w:rsidRPr="00E37059">
        <w:rPr>
          <w:rFonts w:ascii="宋体" w:hAnsi="宋体" w:hint="eastAsia"/>
          <w:b/>
          <w:sz w:val="24"/>
        </w:rPr>
        <w:t>八、期后事项</w:t>
      </w:r>
    </w:p>
    <w:p w:rsidR="00BF1399" w:rsidRPr="00E37059" w:rsidRDefault="00BF1399" w:rsidP="00BF1399">
      <w:pPr>
        <w:spacing w:line="240" w:lineRule="atLeast"/>
        <w:ind w:firstLine="482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自合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管理有效性评估报告基准日至合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管理有效性评估报告发出日间</w:t>
      </w:r>
      <w:r w:rsidRPr="00E37059">
        <w:rPr>
          <w:rFonts w:ascii="宋体" w:hAnsi="宋体" w:hint="eastAsia"/>
          <w:i/>
          <w:sz w:val="24"/>
        </w:rPr>
        <w:t>[是/否]</w:t>
      </w:r>
      <w:r w:rsidRPr="00E37059">
        <w:rPr>
          <w:rFonts w:ascii="宋体" w:hAnsi="宋体" w:hint="eastAsia"/>
          <w:sz w:val="24"/>
        </w:rPr>
        <w:t>发生对合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管理有效性评估产生影响的重大变化</w:t>
      </w:r>
      <w:r w:rsidRPr="00E37059">
        <w:rPr>
          <w:rFonts w:ascii="宋体" w:hAnsi="宋体" w:hint="eastAsia"/>
          <w:i/>
          <w:sz w:val="24"/>
        </w:rPr>
        <w:t>[如重大违规事项，及该事项的影响及公司拟采取的措施]</w:t>
      </w:r>
      <w:r w:rsidRPr="00E37059">
        <w:rPr>
          <w:rFonts w:ascii="宋体" w:hAnsi="宋体" w:hint="eastAsia"/>
          <w:sz w:val="24"/>
        </w:rPr>
        <w:t>。</w:t>
      </w:r>
    </w:p>
    <w:p w:rsidR="00BF1399" w:rsidRPr="00E37059" w:rsidRDefault="00BF1399" w:rsidP="00BF1399">
      <w:pPr>
        <w:spacing w:line="240" w:lineRule="atLeast"/>
        <w:ind w:firstLine="482"/>
        <w:rPr>
          <w:rFonts w:ascii="宋体" w:hAnsi="宋体"/>
          <w:sz w:val="24"/>
        </w:rPr>
      </w:pPr>
    </w:p>
    <w:p w:rsidR="00BF1399" w:rsidRPr="00E37059" w:rsidRDefault="00BF1399" w:rsidP="00BF1399">
      <w:pPr>
        <w:spacing w:line="240" w:lineRule="atLeast"/>
        <w:ind w:leftChars="2000" w:left="4200" w:firstLineChars="100" w:firstLine="240"/>
        <w:rPr>
          <w:rFonts w:ascii="宋体" w:hAnsi="宋体"/>
          <w:sz w:val="24"/>
        </w:rPr>
      </w:pPr>
    </w:p>
    <w:p w:rsidR="00BF1399" w:rsidRPr="00E37059" w:rsidRDefault="00BF1399" w:rsidP="00BF1399">
      <w:pPr>
        <w:spacing w:line="240" w:lineRule="atLeast"/>
        <w:ind w:leftChars="2000" w:left="4200" w:firstLineChars="100" w:firstLine="240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lastRenderedPageBreak/>
        <w:t>XX公司合</w:t>
      </w:r>
      <w:proofErr w:type="gramStart"/>
      <w:r w:rsidRPr="00E37059">
        <w:rPr>
          <w:rFonts w:ascii="宋体" w:hAnsi="宋体" w:hint="eastAsia"/>
          <w:sz w:val="24"/>
        </w:rPr>
        <w:t>规</w:t>
      </w:r>
      <w:proofErr w:type="gramEnd"/>
      <w:r w:rsidRPr="00E37059">
        <w:rPr>
          <w:rFonts w:ascii="宋体" w:hAnsi="宋体" w:hint="eastAsia"/>
          <w:sz w:val="24"/>
        </w:rPr>
        <w:t>管理有效性评估小组</w:t>
      </w:r>
    </w:p>
    <w:p w:rsidR="00BF1399" w:rsidRPr="00E37059" w:rsidRDefault="00BF1399" w:rsidP="00BF1399">
      <w:pPr>
        <w:spacing w:line="240" w:lineRule="atLeast"/>
        <w:ind w:leftChars="1900" w:left="3990" w:firstLine="482"/>
        <w:rPr>
          <w:rFonts w:ascii="宋体" w:hAnsi="宋体"/>
          <w:sz w:val="24"/>
        </w:rPr>
      </w:pPr>
      <w:r w:rsidRPr="00E37059">
        <w:rPr>
          <w:rFonts w:ascii="宋体" w:hAnsi="宋体" w:hint="eastAsia"/>
          <w:sz w:val="24"/>
        </w:rPr>
        <w:t>二零××年××月××日</w:t>
      </w:r>
    </w:p>
    <w:p w:rsidR="00BF1399" w:rsidRPr="00E37059" w:rsidRDefault="00BF1399" w:rsidP="00BF1399">
      <w:r w:rsidRPr="00E37059">
        <w:rPr>
          <w:rFonts w:ascii="宋体" w:hAnsi="宋体" w:hint="eastAsia"/>
          <w:sz w:val="24"/>
        </w:rPr>
        <w:t>评估小组成员（签名）</w:t>
      </w:r>
    </w:p>
    <w:p w:rsidR="00060254" w:rsidRDefault="00060254"/>
    <w:sectPr w:rsidR="00060254" w:rsidSect="00060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1399"/>
    <w:rsid w:val="000058FB"/>
    <w:rsid w:val="00060254"/>
    <w:rsid w:val="00210010"/>
    <w:rsid w:val="00BF1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3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付宇</dc:creator>
  <cp:lastModifiedBy>付宇</cp:lastModifiedBy>
  <cp:revision>1</cp:revision>
  <dcterms:created xsi:type="dcterms:W3CDTF">2021-05-31T00:59:00Z</dcterms:created>
  <dcterms:modified xsi:type="dcterms:W3CDTF">2021-05-31T00:59:00Z</dcterms:modified>
</cp:coreProperties>
</file>