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center"/>
        <w:rPr>
          <w:rFonts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2008年1月1日至2008年12月31日期间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center"/>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t>明令废止的证券期货类部门规章目录</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1"/>
        <w:gridCol w:w="3257"/>
        <w:gridCol w:w="1781"/>
        <w:gridCol w:w="1023"/>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5" w:hRule="atLeast"/>
          <w:jc w:val="center"/>
        </w:trPr>
        <w:tc>
          <w:tcPr>
            <w:tcW w:w="100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序号</w:t>
            </w:r>
          </w:p>
        </w:tc>
        <w:tc>
          <w:tcPr>
            <w:tcW w:w="4590"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明令废止的规章规范性文件名称</w:t>
            </w:r>
          </w:p>
        </w:tc>
        <w:tc>
          <w:tcPr>
            <w:tcW w:w="2070"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文号</w:t>
            </w:r>
          </w:p>
        </w:tc>
        <w:tc>
          <w:tcPr>
            <w:tcW w:w="1185"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发布日期</w:t>
            </w:r>
          </w:p>
        </w:tc>
        <w:tc>
          <w:tcPr>
            <w:tcW w:w="1919" w:type="dxa"/>
            <w:tcBorders>
              <w:top w:val="single" w:color="000000" w:sz="4" w:space="0"/>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新发布的规章规范性文件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关于规范上市公司行为若干问题的通知</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证监上字[1996]7号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1996年7月24日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关于修改上市公司现金分红若干规定的决定（证监会令第57号）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关于进一步加强证券公司监管的若干意见</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证监机构字[1999]14号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1999年3月16日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证券公司业务范围审批暂行规定（证监会公告[2008]42号）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3</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关于清理规范远程证券交易网点的通知</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证监机构字[1999]123号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1999年11月1日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关于进一步规范证券营业网点的规定（证监会公告[2008]21号）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4</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期货公司年度报告参考内容与格式准则</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证监会计字[2000]3号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2000年1月11日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期货公司年度报告内容与格式准则（2008修订）（证监会公告[2008]8号）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5</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关于加强证券服务部管理若干问题的通知</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证监机构字[2000]131号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2000年6月21日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关于进一步规范证券营业网点的规定（证监会公告[2008]21号）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6</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关于证券公司申请设立证券服务部有关问题的通知</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证监机构字[2000]264号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2000年11月14日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关于进一步规范证券营业网点的规定（证监会公告[2008]21号）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7</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关于发布《证券公司公开发行股票监管意见书的内容和出具程序》的通知</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证监发[2001]33号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2001年3月2日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关于证券公司申请首次公开发行股票并上市监管意见书有关问题的规定（证监会公告[2008]19号）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8</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首次公开发行股票辅导工作办法</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证监发[2001]125号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2001年10月16日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证券发行上市保荐业务管理办法（证监会令第58号）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9</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关于上市公司重大购买、出售、置换资产若干问题的通知</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证监公司字[2001]105号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2001年12月10日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上市公司重大资产重组管理办法（证监会令53号）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10</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证监会关于对《期货公司年度报告参考内容与格式准则》做出部分调整的通知</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证监期货字[2002]9号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2002年1月14日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期货公司年度报告内容与格式准则（2008修订）（证监会公告[2008]8号）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11</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证券公司年度报告内容与格式准则</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证监会计字[2002]16号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2002年12月27日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证券公司年度报告内容与格式准则（2008年修订）（证监会公告[2008]1号）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12</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公开发行证券的公司信息披露内容与格式准则——商业银行信息披露特别规定</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证监会计字[2003]3号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2003年3月19日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公开发行证券的公司信息披露编报规则第26号——商业银行信息披露特别规定（证监会公告[2008]33号）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13</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证券期货规章制定程序规定（试行）</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证监发[2003]28号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2003年5月15日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证券期货规章制定程序规定（证监会令第59号）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14</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证券发行上市保荐制度暂行办法</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证监会令第18号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2003年12月28日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证券发行上市保荐业务管理办法（证监会令第58号）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006" w:type="dxa"/>
            <w:tcBorders>
              <w:top w:val="nil"/>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15</w:t>
            </w:r>
          </w:p>
        </w:tc>
        <w:tc>
          <w:tcPr>
            <w:tcW w:w="459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关于调整证券公司净资本计算标准的规定</w:t>
            </w:r>
          </w:p>
        </w:tc>
        <w:tc>
          <w:tcPr>
            <w:tcW w:w="2070"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证监机构字[2007]201号</w:t>
            </w:r>
          </w:p>
        </w:tc>
        <w:tc>
          <w:tcPr>
            <w:tcW w:w="1185"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2007年8月21日</w:t>
            </w:r>
          </w:p>
        </w:tc>
        <w:tc>
          <w:tcPr>
            <w:tcW w:w="1919" w:type="dxa"/>
            <w:tcBorders>
              <w:top w:val="nil"/>
              <w:left w:val="nil"/>
              <w:bottom w:val="single" w:color="000000" w:sz="4" w:space="0"/>
              <w:right w:val="single" w:color="000000"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rPr>
                <w:rFonts w:hint="eastAsia" w:ascii="微软雅黑" w:hAnsi="微软雅黑" w:eastAsia="微软雅黑" w:cs="微软雅黑"/>
                <w:sz w:val="21"/>
                <w:szCs w:val="21"/>
                <w:u w:val="none"/>
              </w:rPr>
            </w:pPr>
            <w:r>
              <w:rPr>
                <w:rFonts w:hint="eastAsia" w:ascii="微软雅黑" w:hAnsi="微软雅黑" w:eastAsia="微软雅黑" w:cs="微软雅黑"/>
                <w:i w:val="0"/>
                <w:iCs w:val="0"/>
                <w:caps w:val="0"/>
                <w:color w:val="333333"/>
                <w:spacing w:val="0"/>
                <w:sz w:val="21"/>
                <w:szCs w:val="21"/>
                <w:u w:val="none"/>
                <w:bdr w:val="none" w:color="auto" w:sz="0" w:space="0"/>
              </w:rPr>
              <w:t>关于调整证券公司净资本计算标准的规定（证监会公告[2008]29号）</w:t>
            </w: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47E7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2023-09-21T00:43:56Z</dcterms:created>
  <dc:creator>Fomula</dc:creator>
  <cp:lastModifiedBy>落英&amp;缤纷</cp:lastModifiedBy>
  <dcterms:modified xsi:type="dcterms:W3CDTF">2023-09-21T00:44:39Z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A6BD8E48441F4772A8D95A1A5D26872C_12</vt:lpwstr>
  </property>
</Properties>
</file>