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仿宋_GB2312"/>
          <w:color w:val="000000"/>
          <w:sz w:val="32"/>
          <w:szCs w:val="32"/>
        </w:rPr>
      </w:pPr>
      <w:bookmarkStart w:id="0" w:name="_GoBack"/>
      <w:bookmarkEnd w:id="0"/>
      <w:r>
        <w:rPr>
          <w:rFonts w:eastAsia="仿宋_GB2312"/>
          <w:color w:val="000000"/>
          <w:sz w:val="32"/>
          <w:szCs w:val="32"/>
        </w:rPr>
        <w:t>附件1：</w:t>
      </w:r>
    </w:p>
    <w:p>
      <w:pPr>
        <w:adjustRightInd w:val="0"/>
        <w:snapToGrid w:val="0"/>
        <w:spacing w:line="580" w:lineRule="exact"/>
        <w:ind w:firstLine="803" w:firstLineChars="200"/>
        <w:jc w:val="center"/>
        <w:rPr>
          <w:rFonts w:eastAsia="仿宋_GB2312"/>
          <w:b/>
          <w:sz w:val="40"/>
          <w:szCs w:val="40"/>
        </w:rPr>
      </w:pPr>
      <w:r>
        <w:rPr>
          <w:rFonts w:eastAsia="仿宋_GB2312"/>
          <w:b/>
          <w:sz w:val="40"/>
          <w:szCs w:val="40"/>
        </w:rPr>
        <w:t>大连商品交易所纤维板交割质量标准</w:t>
      </w:r>
    </w:p>
    <w:p>
      <w:pPr>
        <w:adjustRightInd w:val="0"/>
        <w:snapToGrid w:val="0"/>
        <w:spacing w:line="580" w:lineRule="exact"/>
        <w:ind w:firstLine="800" w:firstLineChars="200"/>
        <w:jc w:val="center"/>
        <w:rPr>
          <w:rFonts w:eastAsia="仿宋_GB2312"/>
          <w:color w:val="000000"/>
          <w:sz w:val="32"/>
          <w:szCs w:val="32"/>
        </w:rPr>
      </w:pPr>
      <w:r>
        <w:rPr>
          <w:rFonts w:eastAsia="仿宋_GB2312"/>
          <w:sz w:val="40"/>
          <w:szCs w:val="40"/>
        </w:rPr>
        <w:t>(F/DCE FB001-2019)</w:t>
      </w:r>
    </w:p>
    <w:p>
      <w:pPr>
        <w:spacing w:line="580" w:lineRule="exact"/>
        <w:ind w:firstLine="640" w:firstLineChars="200"/>
        <w:jc w:val="left"/>
        <w:rPr>
          <w:rFonts w:eastAsia="仿宋_GB2312"/>
          <w:color w:val="000000"/>
          <w:sz w:val="32"/>
          <w:szCs w:val="32"/>
        </w:rPr>
      </w:pPr>
      <w:r>
        <w:rPr>
          <w:rFonts w:eastAsia="仿宋_GB2312"/>
          <w:color w:val="000000"/>
          <w:sz w:val="32"/>
          <w:szCs w:val="32"/>
        </w:rPr>
        <w:t>1  主题内容与适用范围</w:t>
      </w:r>
    </w:p>
    <w:p>
      <w:pPr>
        <w:spacing w:line="580" w:lineRule="exact"/>
        <w:ind w:firstLine="640" w:firstLineChars="200"/>
        <w:jc w:val="left"/>
        <w:rPr>
          <w:rFonts w:eastAsia="仿宋_GB2312"/>
          <w:color w:val="000000"/>
          <w:sz w:val="32"/>
          <w:szCs w:val="32"/>
        </w:rPr>
      </w:pPr>
      <w:r>
        <w:rPr>
          <w:rFonts w:eastAsia="仿宋_GB2312"/>
          <w:color w:val="000000"/>
          <w:sz w:val="32"/>
          <w:szCs w:val="32"/>
        </w:rPr>
        <w:t>1.1本标准规定了用于大连商品交易所交割的纤维板质量要求、试验方法、检验规则和包装、运输要求等。</w:t>
      </w:r>
    </w:p>
    <w:p>
      <w:pPr>
        <w:spacing w:line="580" w:lineRule="exact"/>
        <w:ind w:firstLine="640" w:firstLineChars="200"/>
        <w:jc w:val="left"/>
        <w:rPr>
          <w:rFonts w:eastAsia="仿宋_GB2312"/>
          <w:color w:val="000000"/>
          <w:sz w:val="32"/>
          <w:szCs w:val="32"/>
        </w:rPr>
      </w:pPr>
      <w:r>
        <w:rPr>
          <w:rFonts w:eastAsia="仿宋_GB2312"/>
          <w:color w:val="000000"/>
          <w:sz w:val="32"/>
          <w:szCs w:val="32"/>
        </w:rPr>
        <w:t>1.2 本标准适用于大连商品交易所纤维板期货合约交割标准品。</w:t>
      </w:r>
    </w:p>
    <w:p>
      <w:pPr>
        <w:spacing w:line="580" w:lineRule="exact"/>
        <w:ind w:firstLine="640" w:firstLineChars="200"/>
        <w:jc w:val="left"/>
        <w:rPr>
          <w:rFonts w:eastAsia="仿宋_GB2312"/>
          <w:color w:val="000000"/>
          <w:sz w:val="32"/>
          <w:szCs w:val="32"/>
        </w:rPr>
      </w:pPr>
      <w:r>
        <w:rPr>
          <w:rFonts w:eastAsia="仿宋_GB2312"/>
          <w:color w:val="000000"/>
          <w:sz w:val="32"/>
          <w:szCs w:val="32"/>
        </w:rPr>
        <w:t>2  规范性引用文件</w:t>
      </w:r>
    </w:p>
    <w:p>
      <w:pPr>
        <w:spacing w:line="580" w:lineRule="exact"/>
        <w:ind w:firstLine="640" w:firstLineChars="200"/>
        <w:jc w:val="left"/>
        <w:rPr>
          <w:rFonts w:eastAsia="仿宋_GB2312"/>
          <w:color w:val="000000"/>
          <w:sz w:val="32"/>
          <w:szCs w:val="32"/>
        </w:rPr>
      </w:pPr>
      <w:r>
        <w:rPr>
          <w:rFonts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spacing w:line="580" w:lineRule="exact"/>
        <w:ind w:firstLine="640" w:firstLineChars="200"/>
        <w:jc w:val="left"/>
        <w:rPr>
          <w:rFonts w:eastAsia="仿宋_GB2312"/>
          <w:color w:val="000000"/>
          <w:sz w:val="32"/>
          <w:szCs w:val="32"/>
        </w:rPr>
      </w:pPr>
      <w:r>
        <w:rPr>
          <w:rFonts w:eastAsia="仿宋_GB2312"/>
          <w:color w:val="000000"/>
          <w:sz w:val="32"/>
          <w:szCs w:val="32"/>
        </w:rPr>
        <w:t>GB/T 11718-2009中密度纤维板</w:t>
      </w:r>
    </w:p>
    <w:p>
      <w:pPr>
        <w:spacing w:line="580" w:lineRule="exact"/>
        <w:ind w:firstLine="640" w:firstLineChars="200"/>
        <w:jc w:val="left"/>
        <w:rPr>
          <w:rFonts w:eastAsia="仿宋_GB2312"/>
          <w:color w:val="000000"/>
          <w:sz w:val="32"/>
          <w:szCs w:val="32"/>
        </w:rPr>
      </w:pPr>
      <w:r>
        <w:rPr>
          <w:rFonts w:eastAsia="仿宋_GB2312"/>
          <w:color w:val="000000"/>
          <w:sz w:val="32"/>
          <w:szCs w:val="32"/>
        </w:rPr>
        <w:t>GB 18580-2017室内装饰装修材料人造板及其制品中甲醛释放限量</w:t>
      </w:r>
    </w:p>
    <w:p>
      <w:pPr>
        <w:spacing w:line="580" w:lineRule="exact"/>
        <w:ind w:firstLine="640" w:firstLineChars="200"/>
        <w:jc w:val="left"/>
        <w:rPr>
          <w:rFonts w:eastAsia="仿宋_GB2312"/>
          <w:color w:val="000000"/>
          <w:sz w:val="32"/>
          <w:szCs w:val="32"/>
        </w:rPr>
      </w:pPr>
      <w:r>
        <w:rPr>
          <w:rFonts w:eastAsia="仿宋_GB2312"/>
          <w:color w:val="000000"/>
          <w:sz w:val="32"/>
          <w:szCs w:val="32"/>
        </w:rPr>
        <w:t>3  术语和定义</w:t>
      </w:r>
    </w:p>
    <w:p>
      <w:pPr>
        <w:spacing w:line="580" w:lineRule="exact"/>
        <w:ind w:firstLine="640" w:firstLineChars="200"/>
        <w:jc w:val="left"/>
        <w:rPr>
          <w:rFonts w:eastAsia="仿宋_GB2312"/>
          <w:color w:val="000000"/>
          <w:sz w:val="32"/>
          <w:szCs w:val="32"/>
        </w:rPr>
      </w:pPr>
      <w:r>
        <w:rPr>
          <w:rFonts w:eastAsia="仿宋_GB2312"/>
          <w:color w:val="000000"/>
          <w:sz w:val="32"/>
          <w:szCs w:val="32"/>
        </w:rPr>
        <w:t>应符合GB/T 11718-2009、GB 18580-2017中术语和定义的有关规定。</w:t>
      </w:r>
    </w:p>
    <w:p>
      <w:pPr>
        <w:spacing w:line="580" w:lineRule="exact"/>
        <w:ind w:firstLine="640" w:firstLineChars="200"/>
        <w:jc w:val="left"/>
        <w:rPr>
          <w:rFonts w:eastAsia="仿宋_GB2312"/>
          <w:color w:val="000000"/>
          <w:sz w:val="32"/>
          <w:szCs w:val="32"/>
        </w:rPr>
      </w:pPr>
      <w:r>
        <w:rPr>
          <w:rFonts w:eastAsia="仿宋_GB2312"/>
          <w:color w:val="000000"/>
          <w:sz w:val="32"/>
          <w:szCs w:val="32"/>
        </w:rPr>
        <w:t>4  质量要求</w:t>
      </w:r>
    </w:p>
    <w:p>
      <w:pPr>
        <w:spacing w:line="580" w:lineRule="exact"/>
        <w:ind w:firstLine="640" w:firstLineChars="200"/>
        <w:jc w:val="left"/>
        <w:rPr>
          <w:rFonts w:eastAsia="仿宋_GB2312"/>
          <w:color w:val="000000"/>
          <w:sz w:val="32"/>
          <w:szCs w:val="32"/>
        </w:rPr>
      </w:pPr>
      <w:r>
        <w:rPr>
          <w:rFonts w:eastAsia="仿宋_GB2312"/>
          <w:color w:val="000000"/>
          <w:sz w:val="32"/>
          <w:szCs w:val="32"/>
        </w:rPr>
        <w:t>4.1 外观质量</w:t>
      </w:r>
    </w:p>
    <w:p>
      <w:pPr>
        <w:spacing w:line="580" w:lineRule="exact"/>
        <w:ind w:firstLine="640" w:firstLineChars="200"/>
        <w:jc w:val="left"/>
        <w:rPr>
          <w:rFonts w:eastAsia="仿宋_GB2312"/>
          <w:color w:val="000000"/>
          <w:sz w:val="32"/>
          <w:szCs w:val="32"/>
        </w:rPr>
      </w:pPr>
      <w:r>
        <w:rPr>
          <w:rFonts w:eastAsia="仿宋_GB2312"/>
          <w:color w:val="000000"/>
          <w:sz w:val="32"/>
          <w:szCs w:val="32"/>
        </w:rPr>
        <w:t>表面应砂光，且符合如下要求：</w:t>
      </w:r>
    </w:p>
    <w:tbl>
      <w:tblPr>
        <w:tblStyle w:val="4"/>
        <w:tblW w:w="5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名称</w:t>
            </w:r>
          </w:p>
        </w:tc>
        <w:tc>
          <w:tcPr>
            <w:tcW w:w="178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分层、鼓泡或炭化</w:t>
            </w:r>
          </w:p>
        </w:tc>
        <w:tc>
          <w:tcPr>
            <w:tcW w:w="1783" w:type="dxa"/>
            <w:vMerge w:val="restart"/>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局部松软</w:t>
            </w:r>
          </w:p>
        </w:tc>
        <w:tc>
          <w:tcPr>
            <w:tcW w:w="1783" w:type="dxa"/>
            <w:vMerge w:val="continue"/>
            <w:vAlign w:val="center"/>
          </w:tcPr>
          <w:p>
            <w:pPr>
              <w:widowControl/>
              <w:spacing w:line="580" w:lineRule="exact"/>
              <w:jc w:val="lef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板边缺损</w:t>
            </w:r>
          </w:p>
        </w:tc>
        <w:tc>
          <w:tcPr>
            <w:tcW w:w="1783" w:type="dxa"/>
            <w:vMerge w:val="continue"/>
            <w:vAlign w:val="center"/>
          </w:tcPr>
          <w:p>
            <w:pPr>
              <w:widowControl/>
              <w:spacing w:line="580" w:lineRule="exact"/>
              <w:jc w:val="lef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油污斑点或异物</w:t>
            </w:r>
          </w:p>
        </w:tc>
        <w:tc>
          <w:tcPr>
            <w:tcW w:w="1783" w:type="dxa"/>
            <w:vMerge w:val="continue"/>
            <w:vAlign w:val="center"/>
          </w:tcPr>
          <w:p>
            <w:pPr>
              <w:widowControl/>
              <w:spacing w:line="580" w:lineRule="exact"/>
              <w:jc w:val="left"/>
              <w:rPr>
                <w:rFonts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433" w:type="dxa"/>
            <w:shd w:val="clear" w:color="auto" w:fill="auto"/>
            <w:noWrap/>
            <w:vAlign w:val="center"/>
          </w:tcPr>
          <w:p>
            <w:pPr>
              <w:widowControl/>
              <w:spacing w:line="580" w:lineRule="exact"/>
              <w:jc w:val="center"/>
              <w:rPr>
                <w:rFonts w:eastAsia="仿宋_GB2312"/>
                <w:color w:val="000000"/>
                <w:kern w:val="0"/>
                <w:sz w:val="32"/>
                <w:szCs w:val="32"/>
              </w:rPr>
            </w:pPr>
            <w:r>
              <w:rPr>
                <w:rFonts w:eastAsia="仿宋_GB2312"/>
                <w:color w:val="000000"/>
                <w:kern w:val="0"/>
                <w:sz w:val="32"/>
                <w:szCs w:val="32"/>
              </w:rPr>
              <w:t>压痕</w:t>
            </w:r>
          </w:p>
        </w:tc>
        <w:tc>
          <w:tcPr>
            <w:tcW w:w="1783" w:type="dxa"/>
            <w:vMerge w:val="continue"/>
            <w:vAlign w:val="center"/>
          </w:tcPr>
          <w:p>
            <w:pPr>
              <w:widowControl/>
              <w:spacing w:line="580" w:lineRule="exact"/>
              <w:jc w:val="left"/>
              <w:rPr>
                <w:rFonts w:eastAsia="仿宋_GB2312"/>
                <w:color w:val="000000"/>
                <w:kern w:val="0"/>
                <w:sz w:val="32"/>
                <w:szCs w:val="32"/>
              </w:rPr>
            </w:pPr>
          </w:p>
        </w:tc>
      </w:tr>
    </w:tbl>
    <w:p>
      <w:pPr>
        <w:spacing w:line="580" w:lineRule="exact"/>
        <w:ind w:firstLine="640" w:firstLineChars="200"/>
        <w:jc w:val="left"/>
        <w:rPr>
          <w:rFonts w:eastAsia="仿宋_GB2312"/>
          <w:color w:val="000000"/>
          <w:sz w:val="32"/>
          <w:szCs w:val="32"/>
        </w:rPr>
      </w:pPr>
      <w:r>
        <w:rPr>
          <w:rFonts w:eastAsia="仿宋_GB2312"/>
          <w:color w:val="000000"/>
          <w:sz w:val="32"/>
          <w:szCs w:val="32"/>
        </w:rPr>
        <w:t>4.2 幅面尺寸和厚度</w:t>
      </w:r>
    </w:p>
    <w:tbl>
      <w:tblPr>
        <w:tblStyle w:val="4"/>
        <w:tblW w:w="8522" w:type="dxa"/>
        <w:tblInd w:w="0" w:type="dxa"/>
        <w:tblLayout w:type="fixed"/>
        <w:tblCellMar>
          <w:top w:w="0" w:type="dxa"/>
          <w:left w:w="108" w:type="dxa"/>
          <w:bottom w:w="0" w:type="dxa"/>
          <w:right w:w="108" w:type="dxa"/>
        </w:tblCellMar>
      </w:tblPr>
      <w:tblGrid>
        <w:gridCol w:w="2009"/>
        <w:gridCol w:w="2182"/>
        <w:gridCol w:w="4331"/>
      </w:tblGrid>
      <w:tr>
        <w:tblPrEx>
          <w:tblLayout w:type="fixed"/>
          <w:tblCellMar>
            <w:top w:w="0" w:type="dxa"/>
            <w:left w:w="108" w:type="dxa"/>
            <w:bottom w:w="0" w:type="dxa"/>
            <w:right w:w="108" w:type="dxa"/>
          </w:tblCellMar>
        </w:tblPrEx>
        <w:trPr>
          <w:trHeight w:val="270" w:hRule="atLeast"/>
        </w:trPr>
        <w:tc>
          <w:tcPr>
            <w:tcW w:w="20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项目</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单位</w:t>
            </w:r>
          </w:p>
        </w:tc>
        <w:tc>
          <w:tcPr>
            <w:tcW w:w="4331" w:type="dxa"/>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要求</w:t>
            </w:r>
          </w:p>
        </w:tc>
      </w:tr>
      <w:tr>
        <w:tblPrEx>
          <w:tblLayout w:type="fixed"/>
          <w:tblCellMar>
            <w:top w:w="0" w:type="dxa"/>
            <w:left w:w="108" w:type="dxa"/>
            <w:bottom w:w="0" w:type="dxa"/>
            <w:right w:w="108" w:type="dxa"/>
          </w:tblCellMar>
        </w:tblPrEx>
        <w:trPr>
          <w:trHeight w:val="270" w:hRule="atLeast"/>
        </w:trPr>
        <w:tc>
          <w:tcPr>
            <w:tcW w:w="2009"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长度</w:t>
            </w:r>
          </w:p>
        </w:tc>
        <w:tc>
          <w:tcPr>
            <w:tcW w:w="2182"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mm</w:t>
            </w:r>
          </w:p>
        </w:tc>
        <w:tc>
          <w:tcPr>
            <w:tcW w:w="4331"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2440</w:t>
            </w:r>
          </w:p>
        </w:tc>
      </w:tr>
      <w:tr>
        <w:tblPrEx>
          <w:tblLayout w:type="fixed"/>
          <w:tblCellMar>
            <w:top w:w="0" w:type="dxa"/>
            <w:left w:w="108" w:type="dxa"/>
            <w:bottom w:w="0" w:type="dxa"/>
            <w:right w:w="108" w:type="dxa"/>
          </w:tblCellMar>
        </w:tblPrEx>
        <w:trPr>
          <w:trHeight w:val="270" w:hRule="atLeast"/>
        </w:trPr>
        <w:tc>
          <w:tcPr>
            <w:tcW w:w="2009"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宽度</w:t>
            </w:r>
          </w:p>
        </w:tc>
        <w:tc>
          <w:tcPr>
            <w:tcW w:w="2182"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mm</w:t>
            </w:r>
          </w:p>
        </w:tc>
        <w:tc>
          <w:tcPr>
            <w:tcW w:w="4331"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1220</w:t>
            </w:r>
          </w:p>
        </w:tc>
      </w:tr>
      <w:tr>
        <w:tblPrEx>
          <w:tblLayout w:type="fixed"/>
          <w:tblCellMar>
            <w:top w:w="0" w:type="dxa"/>
            <w:left w:w="108" w:type="dxa"/>
            <w:bottom w:w="0" w:type="dxa"/>
            <w:right w:w="108" w:type="dxa"/>
          </w:tblCellMar>
        </w:tblPrEx>
        <w:trPr>
          <w:trHeight w:val="270" w:hRule="atLeast"/>
        </w:trPr>
        <w:tc>
          <w:tcPr>
            <w:tcW w:w="2009"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厚度</w:t>
            </w:r>
          </w:p>
        </w:tc>
        <w:tc>
          <w:tcPr>
            <w:tcW w:w="2182"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mm</w:t>
            </w:r>
          </w:p>
        </w:tc>
        <w:tc>
          <w:tcPr>
            <w:tcW w:w="4331"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kern w:val="0"/>
                <w:sz w:val="32"/>
                <w:szCs w:val="32"/>
              </w:rPr>
            </w:pPr>
            <w:r>
              <w:rPr>
                <w:rFonts w:eastAsia="仿宋_GB2312"/>
                <w:kern w:val="0"/>
                <w:sz w:val="32"/>
                <w:szCs w:val="32"/>
              </w:rPr>
              <w:t>12、15、18</w:t>
            </w:r>
          </w:p>
        </w:tc>
      </w:tr>
    </w:tbl>
    <w:p>
      <w:pPr>
        <w:spacing w:line="580" w:lineRule="exact"/>
        <w:ind w:firstLine="640" w:firstLineChars="200"/>
        <w:jc w:val="left"/>
        <w:rPr>
          <w:rFonts w:eastAsia="仿宋_GB2312"/>
          <w:color w:val="000000"/>
          <w:sz w:val="32"/>
          <w:szCs w:val="32"/>
        </w:rPr>
      </w:pPr>
      <w:r>
        <w:rPr>
          <w:rFonts w:eastAsia="仿宋_GB2312"/>
          <w:color w:val="000000"/>
          <w:sz w:val="32"/>
          <w:szCs w:val="32"/>
        </w:rPr>
        <w:t>4.3 尺寸偏差、密度及偏差和含水率</w:t>
      </w:r>
    </w:p>
    <w:tbl>
      <w:tblPr>
        <w:tblStyle w:val="4"/>
        <w:tblW w:w="8946" w:type="dxa"/>
        <w:tblInd w:w="0" w:type="dxa"/>
        <w:tblLayout w:type="fixed"/>
        <w:tblCellMar>
          <w:top w:w="0" w:type="dxa"/>
          <w:left w:w="108" w:type="dxa"/>
          <w:bottom w:w="0" w:type="dxa"/>
          <w:right w:w="108" w:type="dxa"/>
        </w:tblCellMar>
      </w:tblPr>
      <w:tblGrid>
        <w:gridCol w:w="2632"/>
        <w:gridCol w:w="2864"/>
        <w:gridCol w:w="1278"/>
        <w:gridCol w:w="2172"/>
      </w:tblGrid>
      <w:tr>
        <w:tblPrEx>
          <w:tblLayout w:type="fixed"/>
          <w:tblCellMar>
            <w:top w:w="0" w:type="dxa"/>
            <w:left w:w="108" w:type="dxa"/>
            <w:bottom w:w="0" w:type="dxa"/>
            <w:right w:w="108" w:type="dxa"/>
          </w:tblCellMar>
        </w:tblPrEx>
        <w:trPr>
          <w:trHeight w:val="270" w:hRule="atLeast"/>
        </w:trPr>
        <w:tc>
          <w:tcPr>
            <w:tcW w:w="26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性能</w:t>
            </w:r>
          </w:p>
        </w:tc>
        <w:tc>
          <w:tcPr>
            <w:tcW w:w="28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单位</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公称厚度</w:t>
            </w:r>
          </w:p>
        </w:tc>
      </w:tr>
      <w:tr>
        <w:tblPrEx>
          <w:tblLayout w:type="fixed"/>
          <w:tblCellMar>
            <w:top w:w="0" w:type="dxa"/>
            <w:left w:w="108" w:type="dxa"/>
            <w:bottom w:w="0" w:type="dxa"/>
            <w:right w:w="108" w:type="dxa"/>
          </w:tblCellMar>
        </w:tblPrEx>
        <w:trPr>
          <w:trHeight w:val="270" w:hRule="atLeast"/>
        </w:trPr>
        <w:tc>
          <w:tcPr>
            <w:tcW w:w="2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rPr>
                <w:rFonts w:eastAsia="仿宋_GB2312"/>
                <w:color w:val="000000"/>
                <w:sz w:val="32"/>
                <w:szCs w:val="32"/>
              </w:rPr>
            </w:pPr>
          </w:p>
        </w:tc>
        <w:tc>
          <w:tcPr>
            <w:tcW w:w="28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rPr>
                <w:rFonts w:eastAsia="仿宋_GB2312"/>
                <w:color w:val="000000"/>
                <w:sz w:val="32"/>
                <w:szCs w:val="32"/>
              </w:rPr>
            </w:pPr>
          </w:p>
        </w:tc>
        <w:tc>
          <w:tcPr>
            <w:tcW w:w="1278"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12mm</w:t>
            </w:r>
          </w:p>
        </w:tc>
        <w:tc>
          <w:tcPr>
            <w:tcW w:w="2172"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15mm、18mm</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厚度偏差</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mm</w:t>
            </w:r>
          </w:p>
        </w:tc>
        <w:tc>
          <w:tcPr>
            <w:tcW w:w="1278"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±0.20</w:t>
            </w:r>
          </w:p>
        </w:tc>
        <w:tc>
          <w:tcPr>
            <w:tcW w:w="2172"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±0.30</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长度与宽度偏差</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mm/m</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±2.0</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垂直度</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mm/m</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＜2.0</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密度</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g/cm</w:t>
            </w:r>
            <w:r>
              <w:rPr>
                <w:rFonts w:eastAsia="仿宋_GB2312"/>
                <w:color w:val="000000"/>
                <w:sz w:val="32"/>
                <w:szCs w:val="32"/>
                <w:vertAlign w:val="superscript"/>
              </w:rPr>
              <w:t>3</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0.65-0.80</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板内密度偏差</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±10.0</w:t>
            </w:r>
          </w:p>
        </w:tc>
      </w:tr>
      <w:tr>
        <w:tblPrEx>
          <w:tblLayout w:type="fixed"/>
          <w:tblCellMar>
            <w:top w:w="0" w:type="dxa"/>
            <w:left w:w="108" w:type="dxa"/>
            <w:bottom w:w="0" w:type="dxa"/>
            <w:right w:w="108" w:type="dxa"/>
          </w:tblCellMar>
        </w:tblPrEx>
        <w:trPr>
          <w:trHeight w:val="270" w:hRule="atLeast"/>
        </w:trPr>
        <w:tc>
          <w:tcPr>
            <w:tcW w:w="2632" w:type="dxa"/>
            <w:tcBorders>
              <w:top w:val="nil"/>
              <w:left w:val="single" w:color="auto" w:sz="4" w:space="0"/>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含水率</w:t>
            </w:r>
          </w:p>
        </w:tc>
        <w:tc>
          <w:tcPr>
            <w:tcW w:w="2864" w:type="dxa"/>
            <w:tcBorders>
              <w:top w:val="nil"/>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w:t>
            </w:r>
          </w:p>
        </w:tc>
        <w:tc>
          <w:tcPr>
            <w:tcW w:w="34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3.0-13.0</w:t>
            </w:r>
          </w:p>
        </w:tc>
      </w:tr>
      <w:tr>
        <w:tblPrEx>
          <w:tblLayout w:type="fixed"/>
          <w:tblCellMar>
            <w:top w:w="0" w:type="dxa"/>
            <w:left w:w="108" w:type="dxa"/>
            <w:bottom w:w="0" w:type="dxa"/>
            <w:right w:w="108" w:type="dxa"/>
          </w:tblCellMar>
        </w:tblPrEx>
        <w:trPr>
          <w:trHeight w:val="270"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0" w:lineRule="exact"/>
              <w:jc w:val="left"/>
              <w:rPr>
                <w:rFonts w:eastAsia="仿宋_GB2312"/>
                <w:color w:val="000000"/>
                <w:sz w:val="32"/>
                <w:szCs w:val="32"/>
              </w:rPr>
            </w:pPr>
            <w:r>
              <w:rPr>
                <w:rFonts w:eastAsia="仿宋_GB2312"/>
                <w:color w:val="000000"/>
                <w:sz w:val="32"/>
                <w:szCs w:val="32"/>
              </w:rPr>
              <w:t>每张砂光板内各测量点的厚度不应超过其算术平均值的</w:t>
            </w:r>
          </w:p>
          <w:p>
            <w:pPr>
              <w:widowControl/>
              <w:spacing w:line="580" w:lineRule="exact"/>
              <w:jc w:val="left"/>
              <w:rPr>
                <w:rFonts w:eastAsia="仿宋_GB2312"/>
                <w:color w:val="000000"/>
                <w:sz w:val="32"/>
                <w:szCs w:val="32"/>
              </w:rPr>
            </w:pPr>
            <w:r>
              <w:rPr>
                <w:rFonts w:eastAsia="仿宋_GB2312"/>
                <w:color w:val="000000"/>
                <w:sz w:val="32"/>
                <w:szCs w:val="32"/>
              </w:rPr>
              <w:t>±0.15mm</w:t>
            </w:r>
          </w:p>
        </w:tc>
      </w:tr>
    </w:tbl>
    <w:p>
      <w:pPr>
        <w:spacing w:line="580" w:lineRule="exact"/>
        <w:ind w:firstLine="640" w:firstLineChars="200"/>
        <w:jc w:val="left"/>
        <w:rPr>
          <w:rFonts w:eastAsia="仿宋_GB2312"/>
          <w:color w:val="000000"/>
          <w:sz w:val="32"/>
          <w:szCs w:val="32"/>
        </w:rPr>
      </w:pPr>
      <w:r>
        <w:rPr>
          <w:rFonts w:eastAsia="仿宋_GB2312"/>
          <w:color w:val="000000"/>
          <w:sz w:val="32"/>
          <w:szCs w:val="32"/>
        </w:rPr>
        <w:t>4.4 物理力学性能</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2864"/>
        <w:gridCol w:w="127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vMerge w:val="restart"/>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性能</w:t>
            </w:r>
          </w:p>
        </w:tc>
        <w:tc>
          <w:tcPr>
            <w:tcW w:w="2864" w:type="dxa"/>
            <w:vMerge w:val="restart"/>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单位</w:t>
            </w:r>
          </w:p>
        </w:tc>
        <w:tc>
          <w:tcPr>
            <w:tcW w:w="3450" w:type="dxa"/>
            <w:gridSpan w:val="2"/>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公称厚度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vMerge w:val="continue"/>
            <w:shd w:val="clear" w:color="auto" w:fill="auto"/>
            <w:vAlign w:val="center"/>
          </w:tcPr>
          <w:p>
            <w:pPr>
              <w:widowControl/>
              <w:spacing w:line="580" w:lineRule="exact"/>
              <w:jc w:val="left"/>
              <w:rPr>
                <w:rFonts w:eastAsia="仿宋_GB2312"/>
                <w:color w:val="000000"/>
                <w:sz w:val="32"/>
                <w:szCs w:val="32"/>
              </w:rPr>
            </w:pPr>
          </w:p>
        </w:tc>
        <w:tc>
          <w:tcPr>
            <w:tcW w:w="2864" w:type="dxa"/>
            <w:vMerge w:val="continue"/>
            <w:shd w:val="clear" w:color="auto" w:fill="auto"/>
            <w:vAlign w:val="center"/>
          </w:tcPr>
          <w:p>
            <w:pPr>
              <w:widowControl/>
              <w:spacing w:line="580" w:lineRule="exact"/>
              <w:jc w:val="left"/>
              <w:rPr>
                <w:rFonts w:eastAsia="仿宋_GB2312"/>
                <w:color w:val="000000"/>
                <w:sz w:val="32"/>
                <w:szCs w:val="32"/>
              </w:rPr>
            </w:pP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12mm</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15mm、18mm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静曲强度</w:t>
            </w:r>
          </w:p>
        </w:tc>
        <w:tc>
          <w:tcPr>
            <w:tcW w:w="2864"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MPa</w:t>
            </w: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≥26.0</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弹性模量</w:t>
            </w:r>
          </w:p>
        </w:tc>
        <w:tc>
          <w:tcPr>
            <w:tcW w:w="2864"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MPa</w:t>
            </w: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≥2500</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内结合强度</w:t>
            </w:r>
          </w:p>
        </w:tc>
        <w:tc>
          <w:tcPr>
            <w:tcW w:w="2864"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MPa</w:t>
            </w: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≥0.50</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吸水厚度膨胀率</w:t>
            </w:r>
          </w:p>
        </w:tc>
        <w:tc>
          <w:tcPr>
            <w:tcW w:w="2864"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w:t>
            </w: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≤15.0</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63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表面结合强度</w:t>
            </w:r>
          </w:p>
        </w:tc>
        <w:tc>
          <w:tcPr>
            <w:tcW w:w="2864"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MPa</w:t>
            </w:r>
          </w:p>
        </w:tc>
        <w:tc>
          <w:tcPr>
            <w:tcW w:w="1278"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≥0.60</w:t>
            </w:r>
          </w:p>
        </w:tc>
        <w:tc>
          <w:tcPr>
            <w:tcW w:w="2172" w:type="dxa"/>
            <w:shd w:val="clear" w:color="auto" w:fill="auto"/>
            <w:noWrap/>
            <w:vAlign w:val="center"/>
          </w:tcPr>
          <w:p>
            <w:pPr>
              <w:widowControl/>
              <w:spacing w:line="580" w:lineRule="exact"/>
              <w:jc w:val="center"/>
              <w:rPr>
                <w:rFonts w:eastAsia="仿宋_GB2312"/>
                <w:color w:val="000000"/>
                <w:sz w:val="32"/>
                <w:szCs w:val="32"/>
              </w:rPr>
            </w:pPr>
            <w:r>
              <w:rPr>
                <w:rFonts w:eastAsia="仿宋_GB2312"/>
                <w:color w:val="000000"/>
                <w:sz w:val="32"/>
                <w:szCs w:val="32"/>
              </w:rPr>
              <w:t>≥0.90</w:t>
            </w:r>
          </w:p>
        </w:tc>
      </w:tr>
    </w:tbl>
    <w:p>
      <w:pPr>
        <w:spacing w:line="580" w:lineRule="exact"/>
        <w:ind w:firstLine="640" w:firstLineChars="200"/>
        <w:jc w:val="left"/>
        <w:rPr>
          <w:rFonts w:eastAsia="仿宋_GB2312"/>
          <w:color w:val="000000"/>
          <w:sz w:val="32"/>
          <w:szCs w:val="32"/>
        </w:rPr>
      </w:pPr>
      <w:r>
        <w:rPr>
          <w:rFonts w:eastAsia="仿宋_GB2312"/>
          <w:color w:val="000000"/>
          <w:sz w:val="32"/>
          <w:szCs w:val="32"/>
        </w:rPr>
        <w:t>4.5 甲醛释放量</w:t>
      </w:r>
    </w:p>
    <w:p>
      <w:pPr>
        <w:spacing w:line="580" w:lineRule="exact"/>
        <w:ind w:firstLine="640" w:firstLineChars="200"/>
        <w:jc w:val="left"/>
        <w:rPr>
          <w:rFonts w:eastAsia="仿宋_GB2312"/>
          <w:color w:val="000000"/>
          <w:sz w:val="32"/>
          <w:szCs w:val="32"/>
        </w:rPr>
      </w:pPr>
      <w:r>
        <w:rPr>
          <w:rFonts w:eastAsia="仿宋_GB2312"/>
          <w:color w:val="000000"/>
          <w:sz w:val="32"/>
          <w:szCs w:val="32"/>
        </w:rPr>
        <w:t>甲醛释放量按GB 18580-2017执行。</w:t>
      </w:r>
    </w:p>
    <w:p>
      <w:pPr>
        <w:spacing w:line="580" w:lineRule="exact"/>
        <w:ind w:firstLine="640" w:firstLineChars="200"/>
        <w:jc w:val="left"/>
        <w:rPr>
          <w:rFonts w:eastAsia="仿宋_GB2312"/>
          <w:color w:val="000000"/>
          <w:sz w:val="32"/>
          <w:szCs w:val="32"/>
        </w:rPr>
      </w:pPr>
      <w:r>
        <w:rPr>
          <w:rFonts w:eastAsia="仿宋_GB2312"/>
          <w:color w:val="000000"/>
          <w:sz w:val="32"/>
          <w:szCs w:val="32"/>
        </w:rPr>
        <w:t>5  抽样、测量与检验和判定规则按照GB/T 11718-2009及GB 18580-2017的相关要求执行，其中理化性能抽样按照已验收合格的产品总体实施质量监督的要求进行。</w:t>
      </w:r>
    </w:p>
    <w:p>
      <w:pPr>
        <w:spacing w:line="580" w:lineRule="exact"/>
        <w:ind w:firstLine="640" w:firstLineChars="200"/>
        <w:jc w:val="left"/>
        <w:rPr>
          <w:rFonts w:eastAsia="仿宋_GB2312"/>
          <w:color w:val="000000"/>
          <w:sz w:val="32"/>
          <w:szCs w:val="32"/>
        </w:rPr>
      </w:pPr>
      <w:r>
        <w:rPr>
          <w:rFonts w:eastAsia="仿宋_GB2312"/>
          <w:color w:val="000000"/>
          <w:sz w:val="32"/>
          <w:szCs w:val="32"/>
        </w:rPr>
        <w:t>6  标志、包装、运输和贮存按照GB/T11718-2009的要求执行。</w:t>
      </w:r>
    </w:p>
    <w:p>
      <w:pPr>
        <w:spacing w:line="580" w:lineRule="exact"/>
        <w:ind w:firstLine="640" w:firstLineChars="200"/>
        <w:jc w:val="left"/>
        <w:rPr>
          <w:rFonts w:eastAsia="仿宋_GB2312"/>
          <w:color w:val="000000"/>
          <w:sz w:val="32"/>
          <w:szCs w:val="32"/>
        </w:rPr>
      </w:pPr>
      <w:r>
        <w:rPr>
          <w:rFonts w:eastAsia="仿宋_GB2312"/>
          <w:color w:val="000000"/>
          <w:sz w:val="32"/>
          <w:szCs w:val="32"/>
        </w:rPr>
        <w:t>7  附加说明</w:t>
      </w:r>
    </w:p>
    <w:p>
      <w:pPr>
        <w:spacing w:line="580" w:lineRule="exact"/>
        <w:ind w:firstLine="640" w:firstLineChars="200"/>
        <w:jc w:val="left"/>
        <w:rPr>
          <w:rFonts w:eastAsia="仿宋_GB2312"/>
          <w:color w:val="000000"/>
          <w:sz w:val="32"/>
          <w:szCs w:val="32"/>
        </w:rPr>
      </w:pPr>
      <w:r>
        <w:rPr>
          <w:rFonts w:eastAsia="仿宋_GB2312"/>
          <w:color w:val="000000"/>
          <w:sz w:val="32"/>
          <w:szCs w:val="32"/>
        </w:rPr>
        <w:t>本标准由大连商品交易所负责解释。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45"/>
    <w:rsid w:val="001C6C45"/>
    <w:rsid w:val="00370731"/>
    <w:rsid w:val="00660DB2"/>
    <w:rsid w:val="00C60CDB"/>
    <w:rsid w:val="00EF2459"/>
    <w:rsid w:val="7BEB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873</Characters>
  <Lines>7</Lines>
  <Paragraphs>2</Paragraphs>
  <TotalTime>0</TotalTime>
  <ScaleCrop>false</ScaleCrop>
  <LinksUpToDate>false</LinksUpToDate>
  <CharactersWithSpaces>1024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2019-10-14T09:27:00Z</dcterms:created>
  <dc:creator>tangzhaoxia</dc:creator>
  <cp:lastModifiedBy>lenovo</cp:lastModifiedBy>
  <dcterms:modified xsi:type="dcterms:W3CDTF">2019-10-15T01:39:30Z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