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08F" w:rsidRDefault="000E3644">
      <w:pPr>
        <w:adjustRightInd w:val="0"/>
        <w:snapToGrid w:val="0"/>
        <w:spacing w:line="560" w:lineRule="exact"/>
        <w:outlineLvl w:val="0"/>
        <w:rPr>
          <w:rFonts w:ascii="黑体" w:eastAsia="黑体" w:hAnsi="黑体" w:cs="Times New Roman"/>
          <w:bCs/>
          <w:color w:val="000000"/>
          <w:kern w:val="0"/>
          <w:sz w:val="32"/>
          <w:szCs w:val="32"/>
        </w:rPr>
      </w:pPr>
      <w:bookmarkStart w:id="0" w:name="_Toc56106671"/>
      <w:bookmarkStart w:id="1" w:name="_Toc65698297"/>
      <w:bookmarkStart w:id="2" w:name="_GoBack"/>
      <w:bookmarkEnd w:id="2"/>
      <w:r>
        <w:rPr>
          <w:rFonts w:ascii="黑体" w:eastAsia="黑体" w:hAnsi="黑体" w:cs="Times New Roman" w:hint="eastAsia"/>
          <w:bCs/>
          <w:color w:val="000000"/>
          <w:kern w:val="0"/>
          <w:sz w:val="32"/>
          <w:szCs w:val="32"/>
        </w:rPr>
        <w:t>附件</w:t>
      </w:r>
    </w:p>
    <w:p w:rsidR="00FB108F" w:rsidRDefault="00FB108F">
      <w:pPr>
        <w:adjustRightInd w:val="0"/>
        <w:snapToGrid w:val="0"/>
        <w:spacing w:line="560" w:lineRule="exact"/>
        <w:outlineLvl w:val="0"/>
        <w:rPr>
          <w:rFonts w:ascii="方正小标宋简体" w:eastAsia="方正小标宋简体" w:hAnsi="华文中宋" w:cs="Times New Roman"/>
          <w:bCs/>
          <w:color w:val="000000"/>
          <w:kern w:val="0"/>
          <w:sz w:val="40"/>
          <w:szCs w:val="40"/>
        </w:rPr>
      </w:pPr>
    </w:p>
    <w:p w:rsidR="00FB108F" w:rsidRDefault="000E3644">
      <w:pPr>
        <w:adjustRightInd w:val="0"/>
        <w:snapToGrid w:val="0"/>
        <w:spacing w:line="560" w:lineRule="exact"/>
        <w:jc w:val="center"/>
        <w:outlineLvl w:val="0"/>
        <w:rPr>
          <w:rFonts w:ascii="方正小标宋简体" w:eastAsia="方正小标宋简体" w:hAnsi="华文中宋" w:cs="Times New Roman"/>
          <w:bCs/>
          <w:color w:val="000000"/>
          <w:kern w:val="0"/>
          <w:sz w:val="44"/>
          <w:szCs w:val="40"/>
        </w:rPr>
      </w:pPr>
      <w:r>
        <w:rPr>
          <w:rFonts w:ascii="方正小标宋简体" w:eastAsia="方正小标宋简体" w:hAnsi="华文中宋" w:cs="Times New Roman" w:hint="eastAsia"/>
          <w:bCs/>
          <w:color w:val="000000"/>
          <w:kern w:val="0"/>
          <w:sz w:val="44"/>
          <w:szCs w:val="40"/>
        </w:rPr>
        <w:t>深圳证券交易所公司债券发行上市</w:t>
      </w:r>
    </w:p>
    <w:p w:rsidR="00FB108F" w:rsidRDefault="000E3644">
      <w:pPr>
        <w:adjustRightInd w:val="0"/>
        <w:snapToGrid w:val="0"/>
        <w:spacing w:line="560" w:lineRule="exact"/>
        <w:jc w:val="center"/>
        <w:outlineLvl w:val="0"/>
        <w:rPr>
          <w:rFonts w:ascii="方正小标宋简体" w:eastAsia="方正小标宋简体" w:hAnsi="华文中宋" w:cs="Times New Roman"/>
          <w:bCs/>
          <w:color w:val="000000"/>
          <w:kern w:val="0"/>
          <w:sz w:val="44"/>
          <w:szCs w:val="40"/>
        </w:rPr>
      </w:pPr>
      <w:r>
        <w:rPr>
          <w:rFonts w:ascii="方正小标宋简体" w:eastAsia="方正小标宋简体" w:hAnsi="华文中宋" w:cs="Times New Roman" w:hint="eastAsia"/>
          <w:bCs/>
          <w:color w:val="000000"/>
          <w:kern w:val="0"/>
          <w:sz w:val="44"/>
          <w:szCs w:val="40"/>
        </w:rPr>
        <w:t>审核业务指引第1号</w:t>
      </w:r>
    </w:p>
    <w:p w:rsidR="00FB108F" w:rsidRDefault="000E3644">
      <w:pPr>
        <w:adjustRightInd w:val="0"/>
        <w:snapToGrid w:val="0"/>
        <w:spacing w:line="560" w:lineRule="exact"/>
        <w:jc w:val="center"/>
        <w:outlineLvl w:val="0"/>
        <w:rPr>
          <w:rFonts w:ascii="方正小标宋简体" w:eastAsia="方正小标宋简体" w:hAnsi="华文中宋" w:cs="Times New Roman"/>
          <w:bCs/>
          <w:color w:val="000000"/>
          <w:kern w:val="0"/>
          <w:sz w:val="44"/>
          <w:szCs w:val="40"/>
        </w:rPr>
      </w:pPr>
      <w:r>
        <w:rPr>
          <w:rFonts w:ascii="方正小标宋简体" w:eastAsia="方正小标宋简体" w:hAnsi="华文中宋" w:cs="Times New Roman" w:hint="eastAsia"/>
          <w:bCs/>
          <w:color w:val="000000"/>
          <w:kern w:val="0"/>
          <w:sz w:val="44"/>
          <w:szCs w:val="40"/>
        </w:rPr>
        <w:t>——审核重点关注事项</w:t>
      </w:r>
    </w:p>
    <w:p w:rsidR="00FB108F" w:rsidRDefault="000E3644">
      <w:pPr>
        <w:adjustRightInd w:val="0"/>
        <w:snapToGrid w:val="0"/>
        <w:spacing w:line="560" w:lineRule="exact"/>
        <w:ind w:firstLine="646"/>
        <w:jc w:val="center"/>
        <w:outlineLvl w:val="0"/>
        <w:rPr>
          <w:rFonts w:ascii="仿宋" w:eastAsia="仿宋" w:hAnsi="仿宋" w:cs="Times New Roman"/>
          <w:bCs/>
          <w:color w:val="000000"/>
          <w:kern w:val="0"/>
          <w:sz w:val="32"/>
          <w:szCs w:val="30"/>
        </w:rPr>
      </w:pPr>
      <w:r>
        <w:rPr>
          <w:rFonts w:ascii="仿宋" w:eastAsia="仿宋" w:hAnsi="仿宋" w:cs="Times New Roman" w:hint="eastAsia"/>
          <w:bCs/>
          <w:color w:val="000000"/>
          <w:kern w:val="0"/>
          <w:sz w:val="32"/>
          <w:szCs w:val="30"/>
        </w:rPr>
        <w:t>（2022年修订）</w:t>
      </w:r>
    </w:p>
    <w:p w:rsidR="00FB108F" w:rsidRDefault="00FB108F">
      <w:pPr>
        <w:adjustRightInd w:val="0"/>
        <w:snapToGrid w:val="0"/>
        <w:spacing w:line="560" w:lineRule="exact"/>
        <w:ind w:firstLine="646"/>
        <w:jc w:val="center"/>
        <w:outlineLvl w:val="0"/>
        <w:rPr>
          <w:rFonts w:ascii="方正小标宋简体" w:eastAsia="方正小标宋简体" w:hAnsi="Times New Roman" w:cs="Times New Roman"/>
          <w:bCs/>
          <w:color w:val="000000"/>
          <w:kern w:val="0"/>
          <w:sz w:val="32"/>
          <w:szCs w:val="30"/>
        </w:rPr>
      </w:pPr>
    </w:p>
    <w:p w:rsidR="00FB108F" w:rsidRPr="000B1072" w:rsidRDefault="000E3644">
      <w:pPr>
        <w:adjustRightInd w:val="0"/>
        <w:snapToGrid w:val="0"/>
        <w:spacing w:line="560" w:lineRule="exact"/>
        <w:ind w:firstLine="646"/>
        <w:jc w:val="center"/>
        <w:outlineLvl w:val="0"/>
        <w:rPr>
          <w:rFonts w:ascii="黑体" w:eastAsia="黑体" w:hAnsi="黑体" w:cs="Times New Roman"/>
          <w:bCs/>
          <w:color w:val="000000"/>
          <w:kern w:val="0"/>
          <w:sz w:val="32"/>
          <w:szCs w:val="32"/>
        </w:rPr>
      </w:pPr>
      <w:r w:rsidRPr="000B1072">
        <w:rPr>
          <w:rFonts w:ascii="黑体" w:eastAsia="黑体" w:hAnsi="黑体" w:cs="Times New Roman" w:hint="eastAsia"/>
          <w:bCs/>
          <w:color w:val="000000"/>
          <w:kern w:val="0"/>
          <w:sz w:val="32"/>
          <w:szCs w:val="32"/>
        </w:rPr>
        <w:t xml:space="preserve">第一章 </w:t>
      </w:r>
      <w:bookmarkEnd w:id="0"/>
      <w:bookmarkEnd w:id="1"/>
      <w:r w:rsidRPr="000B1072">
        <w:rPr>
          <w:rFonts w:ascii="黑体" w:eastAsia="黑体" w:hAnsi="黑体" w:cs="Times New Roman" w:hint="eastAsia"/>
          <w:bCs/>
          <w:color w:val="000000"/>
          <w:kern w:val="0"/>
          <w:sz w:val="32"/>
          <w:szCs w:val="32"/>
        </w:rPr>
        <w:t>一般规定</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第一条</w:t>
      </w:r>
      <w:r>
        <w:rPr>
          <w:rFonts w:ascii="仿宋" w:eastAsia="仿宋" w:hAnsi="仿宋" w:cs="Times New Roman" w:hint="eastAsia"/>
          <w:color w:val="000000"/>
          <w:sz w:val="32"/>
          <w:szCs w:val="32"/>
        </w:rPr>
        <w:t xml:space="preserve"> 为强化公司债券发行准入监管，提升审核透明度，深圳证券交易所（以下简称本所）根据《中华人民共和国证券法》《中华人民共和国公司法》（以下简称《公司法》）《国务院办公厅关于贯彻实施修订后的证券法有关工作的通知》《公司债券发行与交易管理办法》等法律、行政法规、部门规章和规范性文件，以及《深圳证券交易所公司债券发行上市审核规则》等业务规则，制定本指引。</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第二条</w:t>
      </w:r>
      <w:r>
        <w:rPr>
          <w:rFonts w:ascii="仿宋" w:eastAsia="仿宋" w:hAnsi="仿宋" w:cs="Times New Roman" w:hint="eastAsia"/>
          <w:color w:val="000000"/>
          <w:sz w:val="32"/>
          <w:szCs w:val="32"/>
        </w:rPr>
        <w:t xml:space="preserve"> 公开发行公司债券的发行上市审核，适用本指引。</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非公开发行公司债券的挂牌条件确认，参照适用本指引。</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上市公司、股票公开转让的非上市公众公司发行附认股权、可转换成股票条款的公司债券的审核，不适用本指引。</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第三条</w:t>
      </w:r>
      <w:r>
        <w:rPr>
          <w:rFonts w:ascii="仿宋" w:eastAsia="仿宋" w:hAnsi="仿宋" w:cs="Times New Roman" w:hint="eastAsia"/>
          <w:color w:val="000000"/>
          <w:sz w:val="32"/>
          <w:szCs w:val="32"/>
        </w:rPr>
        <w:t xml:space="preserve"> 本所围绕公司债券发行人是否符合发行上市条件和信息披露要求开展审核，重点关注发行人公司治理与组织机构运行情况、经营情况、资产负债结构与现金流量等财务状况以及特定情形发行人的信息披露和</w:t>
      </w:r>
      <w:r w:rsidR="000B1072">
        <w:rPr>
          <w:rFonts w:ascii="仿宋" w:eastAsia="仿宋" w:hAnsi="仿宋" w:cs="Times New Roman" w:hint="eastAsia"/>
          <w:color w:val="000000"/>
          <w:sz w:val="32"/>
          <w:szCs w:val="32"/>
        </w:rPr>
        <w:t>主承销商、证券服</w:t>
      </w:r>
      <w:r w:rsidR="000B1072">
        <w:rPr>
          <w:rFonts w:ascii="仿宋" w:eastAsia="仿宋" w:hAnsi="仿宋" w:cs="Times New Roman" w:hint="eastAsia"/>
          <w:color w:val="000000"/>
          <w:sz w:val="32"/>
          <w:szCs w:val="32"/>
        </w:rPr>
        <w:lastRenderedPageBreak/>
        <w:t>务机构</w:t>
      </w:r>
      <w:r>
        <w:rPr>
          <w:rFonts w:ascii="仿宋" w:eastAsia="仿宋" w:hAnsi="仿宋" w:cs="Times New Roman" w:hint="eastAsia"/>
          <w:color w:val="000000"/>
          <w:sz w:val="32"/>
          <w:szCs w:val="32"/>
        </w:rPr>
        <w:t>相关核查情况。</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第四条</w:t>
      </w:r>
      <w:r>
        <w:rPr>
          <w:rFonts w:ascii="仿宋" w:eastAsia="仿宋" w:hAnsi="仿宋" w:cs="Times New Roman" w:hint="eastAsia"/>
          <w:color w:val="000000"/>
          <w:sz w:val="32"/>
          <w:szCs w:val="32"/>
        </w:rPr>
        <w:t xml:space="preserve"> 发行人应当按照本指引要求合理制定公司债券申报发行方案，强化本指引所列重点关注事项的针对性信息披露，便于投资者在信息充分的情况下作出投资决策。</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主承销商、证券服务机构应当按照本指引要求做好审核重点关注事项的核查工作，评估其对公司债券发行可能产生的影响，并审慎发表相关核查意见。</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第五条</w:t>
      </w:r>
      <w:r>
        <w:rPr>
          <w:rFonts w:ascii="仿宋" w:eastAsia="仿宋" w:hAnsi="仿宋" w:cs="Times New Roman" w:hint="eastAsia"/>
          <w:color w:val="000000"/>
          <w:sz w:val="32"/>
          <w:szCs w:val="32"/>
        </w:rPr>
        <w:t xml:space="preserve"> 发行人、主承销商和证券服务机构应当严格按照法律、行政法规、部门规章、规范性文件以及本所业务规则要求全面履行信息披露义务和核查职责。</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本指引未尽事宜按中国证券监督管理委员会</w:t>
      </w:r>
      <w:r w:rsidR="00EA7FFA">
        <w:rPr>
          <w:rFonts w:ascii="仿宋" w:eastAsia="仿宋" w:hAnsi="仿宋" w:cs="Times New Roman" w:hint="eastAsia"/>
          <w:color w:val="000000"/>
          <w:sz w:val="32"/>
          <w:szCs w:val="32"/>
        </w:rPr>
        <w:t>有关规定和</w:t>
      </w:r>
      <w:r w:rsidR="00CB7CB1" w:rsidRPr="00CB7CB1">
        <w:rPr>
          <w:rFonts w:ascii="仿宋" w:eastAsia="仿宋" w:hAnsi="仿宋" w:cs="Times New Roman" w:hint="eastAsia"/>
          <w:color w:val="000000"/>
          <w:sz w:val="32"/>
          <w:szCs w:val="32"/>
        </w:rPr>
        <w:t>本所业务规则</w:t>
      </w:r>
      <w:r>
        <w:rPr>
          <w:rFonts w:ascii="仿宋" w:eastAsia="仿宋" w:hAnsi="仿宋" w:cs="Times New Roman" w:hint="eastAsia"/>
          <w:color w:val="000000"/>
          <w:sz w:val="32"/>
          <w:szCs w:val="32"/>
        </w:rPr>
        <w:t>执行。</w:t>
      </w:r>
    </w:p>
    <w:p w:rsidR="00FB108F" w:rsidRPr="000B1072" w:rsidRDefault="00FB108F" w:rsidP="000B1072">
      <w:pPr>
        <w:rPr>
          <w:sz w:val="32"/>
        </w:rPr>
      </w:pPr>
      <w:bookmarkStart w:id="3" w:name="_Toc65698298"/>
    </w:p>
    <w:p w:rsidR="00FB108F" w:rsidRPr="000B1072" w:rsidRDefault="000E3644">
      <w:pPr>
        <w:adjustRightInd w:val="0"/>
        <w:snapToGrid w:val="0"/>
        <w:spacing w:line="560" w:lineRule="exact"/>
        <w:ind w:firstLine="646"/>
        <w:jc w:val="center"/>
        <w:outlineLvl w:val="0"/>
        <w:rPr>
          <w:rFonts w:ascii="黑体" w:eastAsia="黑体" w:hAnsi="黑体" w:cs="Times New Roman"/>
          <w:bCs/>
          <w:color w:val="000000"/>
          <w:kern w:val="0"/>
          <w:sz w:val="32"/>
          <w:szCs w:val="32"/>
        </w:rPr>
      </w:pPr>
      <w:r w:rsidRPr="000B1072">
        <w:rPr>
          <w:rFonts w:ascii="黑体" w:eastAsia="黑体" w:hAnsi="黑体" w:cs="Times New Roman" w:hint="eastAsia"/>
          <w:bCs/>
          <w:color w:val="000000"/>
          <w:kern w:val="0"/>
          <w:sz w:val="32"/>
          <w:szCs w:val="32"/>
        </w:rPr>
        <w:t>第二章 公司治理与组织机构</w:t>
      </w:r>
      <w:bookmarkEnd w:id="3"/>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第六条</w:t>
      </w:r>
      <w:r>
        <w:rPr>
          <w:rFonts w:ascii="仿宋" w:eastAsia="仿宋" w:hAnsi="仿宋" w:cs="Times New Roman" w:hint="eastAsia"/>
          <w:color w:val="000000"/>
          <w:sz w:val="32"/>
          <w:szCs w:val="32"/>
        </w:rPr>
        <w:t xml:space="preserve"> 报告期内发行人控股股东、实际控制人、董事、监事、高级管理人员涉嫌违法违规被有权机关调查、被采取强制措施或者存在严重失信行为的，发行人应当充分披露事件起因、进展情况及其对自身经营情况、偿债能力的影响。</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发行人控股股东、实际控制人存在债务违约等负面情形，对发行人公司治理、经营情况或者偿债能力造成严重不利影响的，发行人应当结合相关情形审慎确定公司债券申报规模，原则上募集资金应当用于偿还存量公司债券。</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第七条</w:t>
      </w:r>
      <w:r>
        <w:rPr>
          <w:rFonts w:ascii="仿宋" w:eastAsia="仿宋" w:hAnsi="仿宋" w:cs="Times New Roman" w:hint="eastAsia"/>
          <w:color w:val="000000"/>
          <w:sz w:val="32"/>
          <w:szCs w:val="32"/>
        </w:rPr>
        <w:t xml:space="preserve"> 报告期内发行人、发行人控股股东或者实际控制人存在重大负面舆情的，发行人应当充分披露相关情况及</w:t>
      </w:r>
      <w:r>
        <w:rPr>
          <w:rFonts w:ascii="仿宋" w:eastAsia="仿宋" w:hAnsi="仿宋" w:cs="Times New Roman" w:hint="eastAsia"/>
          <w:color w:val="000000"/>
          <w:sz w:val="32"/>
          <w:szCs w:val="32"/>
        </w:rPr>
        <w:lastRenderedPageBreak/>
        <w:t>其对自身偿债能力的影响。</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 xml:space="preserve">前款所称重大负面舆情，包括但不限于发行人、发行人控股股东或者实际控制人频繁受到监管关注或者问询、面临大额诉讼、存在被媒体质疑的重大事项。 </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第八条</w:t>
      </w:r>
      <w:r>
        <w:rPr>
          <w:rFonts w:ascii="仿宋" w:eastAsia="仿宋" w:hAnsi="仿宋" w:cs="Times New Roman" w:hint="eastAsia"/>
          <w:color w:val="000000"/>
          <w:sz w:val="32"/>
          <w:szCs w:val="32"/>
        </w:rPr>
        <w:t xml:space="preserve"> 发行人控股股东或者实际控制人可支配的发行人股权存在高比例质押、冻结或者发生诉讼、仲裁等事项，可能造成发行人股权结构不稳定的，发行人应当充分披露相关事项对其经营、融资环境以及偿债能力的影响。</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第九条</w:t>
      </w:r>
      <w:r>
        <w:rPr>
          <w:rFonts w:ascii="仿宋" w:eastAsia="仿宋" w:hAnsi="仿宋" w:cs="Times New Roman" w:hint="eastAsia"/>
          <w:color w:val="000000"/>
          <w:sz w:val="32"/>
          <w:szCs w:val="32"/>
        </w:rPr>
        <w:t xml:space="preserve"> 报告期内发行人董事、高级管理人员变动频繁或者变动比例较大的，发行人应当披露变动原因及其对自身组织机构运行的影响。</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第十条</w:t>
      </w:r>
      <w:r>
        <w:rPr>
          <w:rFonts w:ascii="仿宋" w:eastAsia="仿宋" w:hAnsi="仿宋" w:cs="Times New Roman" w:hint="eastAsia"/>
          <w:color w:val="000000"/>
          <w:sz w:val="32"/>
          <w:szCs w:val="32"/>
        </w:rPr>
        <w:t xml:space="preserve"> 发行人非因生产经营直接产生的对其他企业或者机构的往来占款（以下简称非经营性往来占款）和资金拆借余额超过最近一年末经审计总资产3%的，发行人应当充分披露下列事项，并作风险提示或者重大事项提示：</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（一）非经营性往来占款和资金拆借的决策权限、决策程序和定价机制。</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（二）非经营性往来占款和资金拆借的前五名债务方及其与发行人是否存在关联关系。关联方参照《企业会计准则第36号——关联方披露》的相关要求认定。</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（三）发行人与前五名债务方形成非经营性往来占款和资金拆借的原因、回款安排、报告期内回款情况。</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（四）债券存续期内是否新增非经营性往来占款和资金拆借事项。如有，应当进一步披露相关事项需履行的决策程</w:t>
      </w:r>
      <w:r>
        <w:rPr>
          <w:rFonts w:ascii="仿宋" w:eastAsia="仿宋" w:hAnsi="仿宋" w:cs="Times New Roman" w:hint="eastAsia"/>
          <w:color w:val="000000"/>
          <w:sz w:val="32"/>
          <w:szCs w:val="32"/>
        </w:rPr>
        <w:lastRenderedPageBreak/>
        <w:t>序和持续信息披露安排。</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发行人非经营性往来占款和资金拆借余额超过最近一年末经审计总资产5%的，应当承诺债券存续期内原则上不新增非经营性往来占款和资金拆借余额。</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发行人非经营性往来占款和资金拆借余额超过最近一年末经审计总资产10%的，本次申报债券的募集资金原则上应当用于偿还存量公司债券，且应当进一步披露主要债务方信用资质情况、偿还安排以及资金拆借的必要性和合理性，并说明对</w:t>
      </w:r>
      <w:r w:rsidR="00CB5D6C">
        <w:rPr>
          <w:rFonts w:ascii="仿宋" w:eastAsia="仿宋" w:hAnsi="仿宋" w:cs="Times New Roman" w:hint="eastAsia"/>
          <w:color w:val="000000"/>
          <w:sz w:val="32"/>
          <w:szCs w:val="32"/>
        </w:rPr>
        <w:t>自身</w:t>
      </w:r>
      <w:r>
        <w:rPr>
          <w:rFonts w:ascii="仿宋" w:eastAsia="仿宋" w:hAnsi="仿宋" w:cs="Times New Roman" w:hint="eastAsia"/>
          <w:color w:val="000000"/>
          <w:sz w:val="32"/>
          <w:szCs w:val="32"/>
        </w:rPr>
        <w:t>偿债能力的影响。</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金融机构（含融资租赁等类金融机构）和适用本所优化审核安排的发行人不适用本条规定。</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第十一条</w:t>
      </w:r>
      <w:r>
        <w:rPr>
          <w:rFonts w:ascii="仿宋" w:eastAsia="仿宋" w:hAnsi="仿宋" w:cs="Times New Roman" w:hint="eastAsia"/>
          <w:color w:val="000000"/>
          <w:sz w:val="32"/>
          <w:szCs w:val="32"/>
        </w:rPr>
        <w:t xml:space="preserve"> 发行人最近一期末对外担保余额超过当期末净资产的，应当充分披露被担保人的基本情况和资信状况、担保类型、被担保债务的到期时间以及对外担保事项对自身偿债能力的影响</w:t>
      </w:r>
      <w:r w:rsidR="00A47233">
        <w:rPr>
          <w:rFonts w:ascii="仿宋" w:eastAsia="仿宋" w:hAnsi="仿宋" w:cs="Times New Roman" w:hint="eastAsia"/>
          <w:color w:val="000000"/>
          <w:sz w:val="32"/>
          <w:szCs w:val="32"/>
        </w:rPr>
        <w:t>等</w:t>
      </w:r>
      <w:r>
        <w:rPr>
          <w:rFonts w:ascii="仿宋" w:eastAsia="仿宋" w:hAnsi="仿宋" w:cs="Times New Roman" w:hint="eastAsia"/>
          <w:color w:val="000000"/>
          <w:sz w:val="32"/>
          <w:szCs w:val="32"/>
        </w:rPr>
        <w:t>，并审慎确定公司债券申报规模。</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第十二条</w:t>
      </w:r>
      <w:r>
        <w:rPr>
          <w:rFonts w:ascii="仿宋" w:eastAsia="仿宋" w:hAnsi="仿宋" w:cs="Times New Roman" w:hint="eastAsia"/>
          <w:color w:val="000000"/>
          <w:sz w:val="32"/>
          <w:szCs w:val="32"/>
        </w:rPr>
        <w:t xml:space="preserve"> 发行人资金因所属集团设置财务公司等原因受到集中归集、统一管理的，应当充分披露资金归集和支取的具体安排、相关安排对其自由支配自有资金能力以及偿债能力的影响。</w:t>
      </w:r>
    </w:p>
    <w:p w:rsidR="00FB108F" w:rsidRPr="000B1072" w:rsidRDefault="00FB108F" w:rsidP="000B1072">
      <w:pPr>
        <w:rPr>
          <w:sz w:val="32"/>
        </w:rPr>
      </w:pPr>
      <w:bookmarkStart w:id="4" w:name="_Toc65698299"/>
    </w:p>
    <w:p w:rsidR="00FB108F" w:rsidRPr="000B1072" w:rsidRDefault="000E3644">
      <w:pPr>
        <w:adjustRightInd w:val="0"/>
        <w:snapToGrid w:val="0"/>
        <w:spacing w:line="560" w:lineRule="exact"/>
        <w:ind w:firstLine="646"/>
        <w:jc w:val="center"/>
        <w:outlineLvl w:val="0"/>
        <w:rPr>
          <w:rFonts w:ascii="黑体" w:eastAsia="黑体" w:hAnsi="黑体" w:cs="Times New Roman"/>
          <w:bCs/>
          <w:color w:val="000000"/>
          <w:kern w:val="0"/>
          <w:sz w:val="32"/>
          <w:szCs w:val="32"/>
        </w:rPr>
      </w:pPr>
      <w:r w:rsidRPr="000B1072">
        <w:rPr>
          <w:rFonts w:ascii="黑体" w:eastAsia="黑体" w:hAnsi="黑体" w:cs="Times New Roman" w:hint="eastAsia"/>
          <w:bCs/>
          <w:color w:val="000000"/>
          <w:kern w:val="0"/>
          <w:sz w:val="32"/>
          <w:szCs w:val="32"/>
        </w:rPr>
        <w:t>第三章 财务信息披露</w:t>
      </w:r>
      <w:bookmarkEnd w:id="4"/>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第十三条</w:t>
      </w:r>
      <w:r>
        <w:rPr>
          <w:rFonts w:ascii="仿宋" w:eastAsia="仿宋" w:hAnsi="仿宋" w:cs="Times New Roman" w:hint="eastAsia"/>
          <w:color w:val="000000"/>
          <w:sz w:val="32"/>
          <w:szCs w:val="32"/>
        </w:rPr>
        <w:t xml:space="preserve"> 发行人应当优化债务结构，保持各类债券、银行借款等存量规模的合理匹配。</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最近一期末发行人同时存在下列情形的，本次申报债券</w:t>
      </w:r>
      <w:r>
        <w:rPr>
          <w:rFonts w:ascii="仿宋" w:eastAsia="仿宋" w:hAnsi="仿宋" w:cs="Times New Roman" w:hint="eastAsia"/>
          <w:color w:val="000000"/>
          <w:sz w:val="32"/>
          <w:szCs w:val="32"/>
        </w:rPr>
        <w:lastRenderedPageBreak/>
        <w:t>的募集资金应当优先用于偿还存量公司债券：</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（一）银行借款余额低于有息</w:t>
      </w:r>
      <w:r w:rsidR="00A47233">
        <w:rPr>
          <w:rFonts w:ascii="仿宋" w:eastAsia="仿宋" w:hAnsi="仿宋" w:cs="Times New Roman" w:hint="eastAsia"/>
          <w:color w:val="000000"/>
          <w:sz w:val="32"/>
          <w:szCs w:val="32"/>
        </w:rPr>
        <w:t>债务</w:t>
      </w:r>
      <w:r>
        <w:rPr>
          <w:rFonts w:ascii="仿宋" w:eastAsia="仿宋" w:hAnsi="仿宋" w:cs="Times New Roman" w:hint="eastAsia"/>
          <w:color w:val="000000"/>
          <w:sz w:val="32"/>
          <w:szCs w:val="32"/>
        </w:rPr>
        <w:t>总额的30%；</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（二）银行借款与公司债券外其他公司信用类债券余额之和低于有息</w:t>
      </w:r>
      <w:r w:rsidR="00A47233">
        <w:rPr>
          <w:rFonts w:ascii="仿宋" w:eastAsia="仿宋" w:hAnsi="仿宋" w:cs="Times New Roman" w:hint="eastAsia"/>
          <w:color w:val="000000"/>
          <w:sz w:val="32"/>
          <w:szCs w:val="32"/>
        </w:rPr>
        <w:t>债务</w:t>
      </w:r>
      <w:r>
        <w:rPr>
          <w:rFonts w:ascii="仿宋" w:eastAsia="仿宋" w:hAnsi="仿宋" w:cs="Times New Roman" w:hint="eastAsia"/>
          <w:color w:val="000000"/>
          <w:sz w:val="32"/>
          <w:szCs w:val="32"/>
        </w:rPr>
        <w:t>总额的50%。</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证券公司和适用本所优化审核安排的发行人不适用前款规定。</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第十四条</w:t>
      </w:r>
      <w:r>
        <w:rPr>
          <w:rFonts w:ascii="仿宋" w:eastAsia="仿宋" w:hAnsi="仿宋" w:cs="Times New Roman" w:hint="eastAsia"/>
          <w:color w:val="000000"/>
          <w:sz w:val="32"/>
          <w:szCs w:val="32"/>
        </w:rPr>
        <w:t xml:space="preserve"> 发行人报告期内有息债务结构发生大幅变化，如存在银行借款余额被动大幅减少、银行授信大幅下降等情形的，应当详细披露报告期各期末有息债务结构、变动情况、变动原因及其对自身偿债能力的影响，并结合相关情形审慎确定公司债券申报规模。</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发行人偿债能力因有息债务结构变化受到显著不利影响的，本次申报债券的募集资金原则上应当用于偿还存量公司债券。</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第十五条</w:t>
      </w:r>
      <w:r>
        <w:rPr>
          <w:rFonts w:ascii="仿宋" w:eastAsia="仿宋" w:hAnsi="仿宋" w:cs="Times New Roman" w:hint="eastAsia"/>
          <w:color w:val="000000"/>
          <w:sz w:val="32"/>
          <w:szCs w:val="32"/>
        </w:rPr>
        <w:t xml:space="preserve"> 发行人报告期内短期债务占比显著上升或者最近一期末有息债务构成以短期债务为主的，应当披露具体原因和合理性，量化说明短期债务和本次债券的偿付资金来源，制定切实可行的偿债保障措施，并审慎确定公司债券申报规模和募集资金用途。</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第十六条</w:t>
      </w:r>
      <w:r>
        <w:rPr>
          <w:rFonts w:ascii="仿宋" w:eastAsia="仿宋" w:hAnsi="仿宋" w:cs="Times New Roman" w:hint="eastAsia"/>
          <w:color w:val="000000"/>
          <w:sz w:val="32"/>
          <w:szCs w:val="32"/>
        </w:rPr>
        <w:t xml:space="preserve"> 发行人或者其所属企业集团合并报表范围内公司债券余额较大且存在显著债务集中兑付压力的，应当合理确定公司债券申报规模，募集资金应当优先用于偿还存量公司债券。发行人还应当结合有息债务结构、债务集中偿付压力等情况控制存量公司债券规模。</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lastRenderedPageBreak/>
        <w:t>证券公司和适用本所优化审核安排的发行人不适用本条规定。</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第十七条</w:t>
      </w:r>
      <w:r>
        <w:rPr>
          <w:rFonts w:ascii="仿宋" w:eastAsia="仿宋" w:hAnsi="仿宋" w:cs="Times New Roman" w:hint="eastAsia"/>
          <w:color w:val="000000"/>
          <w:sz w:val="32"/>
          <w:szCs w:val="32"/>
        </w:rPr>
        <w:t xml:space="preserve"> 发行人非公开发行公司债券余额占最近一期末净资产</w:t>
      </w:r>
      <w:r w:rsidR="00A47233">
        <w:rPr>
          <w:rFonts w:ascii="仿宋" w:eastAsia="仿宋" w:hAnsi="仿宋" w:cs="Times New Roman" w:hint="eastAsia"/>
          <w:color w:val="000000"/>
          <w:sz w:val="32"/>
          <w:szCs w:val="32"/>
        </w:rPr>
        <w:t>的</w:t>
      </w:r>
      <w:r>
        <w:rPr>
          <w:rFonts w:ascii="仿宋" w:eastAsia="仿宋" w:hAnsi="仿宋" w:cs="Times New Roman" w:hint="eastAsia"/>
          <w:color w:val="000000"/>
          <w:sz w:val="32"/>
          <w:szCs w:val="32"/>
        </w:rPr>
        <w:t>比例达到40%，再次申请非公开发行公司债券的，应当结合自身经营情况、财务状况、偿债能力等审慎确定公司债券申报规模，原则上募集资金应当用于偿还存量公司债券。</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金融机构（含融资租赁等类金融机构）和适用本所优化审核安排的发行人不适用本条规定。</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第十八条</w:t>
      </w:r>
      <w:r>
        <w:rPr>
          <w:rFonts w:ascii="仿宋" w:eastAsia="仿宋" w:hAnsi="仿宋" w:cs="Times New Roman" w:hint="eastAsia"/>
          <w:color w:val="000000"/>
          <w:sz w:val="32"/>
          <w:szCs w:val="32"/>
        </w:rPr>
        <w:t xml:space="preserve"> 发行人经审计的年度财务报告披露的财务指标存在下列情形之一的，应当加强针对性信息披露和风险提示：</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（一）报告期内有息</w:t>
      </w:r>
      <w:r w:rsidR="00A47233">
        <w:rPr>
          <w:rFonts w:ascii="仿宋" w:eastAsia="仿宋" w:hAnsi="仿宋" w:cs="Times New Roman" w:hint="eastAsia"/>
          <w:color w:val="000000"/>
          <w:sz w:val="32"/>
          <w:szCs w:val="32"/>
        </w:rPr>
        <w:t>债务</w:t>
      </w:r>
      <w:r>
        <w:rPr>
          <w:rFonts w:ascii="仿宋" w:eastAsia="仿宋" w:hAnsi="仿宋" w:cs="Times New Roman" w:hint="eastAsia"/>
          <w:color w:val="000000"/>
          <w:sz w:val="32"/>
          <w:szCs w:val="32"/>
        </w:rPr>
        <w:t>余额年均增长率超过30%、最近一年末资产负债率超过行业平均水平且速动比率小于1；</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（二）最近一年末资产负债率、有息</w:t>
      </w:r>
      <w:r w:rsidR="00A47233">
        <w:rPr>
          <w:rFonts w:ascii="仿宋" w:eastAsia="仿宋" w:hAnsi="仿宋" w:cs="Times New Roman" w:hint="eastAsia"/>
          <w:color w:val="000000"/>
          <w:sz w:val="32"/>
          <w:szCs w:val="32"/>
        </w:rPr>
        <w:t>债务</w:t>
      </w:r>
      <w:r>
        <w:rPr>
          <w:rFonts w:ascii="仿宋" w:eastAsia="仿宋" w:hAnsi="仿宋" w:cs="Times New Roman" w:hint="eastAsia"/>
          <w:color w:val="000000"/>
          <w:sz w:val="32"/>
          <w:szCs w:val="32"/>
        </w:rPr>
        <w:t>与净资产比例均超出行业平均水平的30%。</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存在前款规定情形之一的，发行人应当披露报告期各期末全口径有息债务情况、报告期内有息债务增长幅度较大的原因，以及相关财务指标显著高于行业平均水平的原因，并结合自身经营情况、财务状况、偿债能力等审慎确定公司债券申报规模，原则上募集资金应当用于偿还存量公司债券。</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金融机构（含融资租赁等类金融机构）和适用本所优化审核安排的发行人不适用本条规定。</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第十九条</w:t>
      </w:r>
      <w:r>
        <w:rPr>
          <w:rFonts w:ascii="仿宋" w:eastAsia="仿宋" w:hAnsi="仿宋" w:cs="Times New Roman" w:hint="eastAsia"/>
          <w:color w:val="000000"/>
          <w:sz w:val="32"/>
          <w:szCs w:val="32"/>
        </w:rPr>
        <w:t xml:space="preserve"> 发行人非流动资产占总资产的比例显著高于</w:t>
      </w:r>
      <w:r>
        <w:rPr>
          <w:rFonts w:ascii="仿宋" w:eastAsia="仿宋" w:hAnsi="仿宋" w:cs="Times New Roman" w:hint="eastAsia"/>
          <w:color w:val="000000"/>
          <w:sz w:val="32"/>
          <w:szCs w:val="32"/>
        </w:rPr>
        <w:lastRenderedPageBreak/>
        <w:t>同行业可比企业的，应当结合业务情况、行业特征等披露形成原因，并加强对资产变现能力的针对性信息披露。</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第二十条</w:t>
      </w:r>
      <w:r>
        <w:rPr>
          <w:rFonts w:ascii="仿宋" w:eastAsia="仿宋" w:hAnsi="仿宋" w:cs="Times New Roman" w:hint="eastAsia"/>
          <w:color w:val="000000"/>
          <w:sz w:val="32"/>
          <w:szCs w:val="32"/>
        </w:rPr>
        <w:t xml:space="preserve"> 发行人最近一期末存在资产因抵押、质押、被查封、扣押、冻结、必须具备一定条件才能变现、无法变现、无法用于抵偿债务等情况，导致权利受限制的资产账面价值超过总资产50%的，应当充分披露受限资产明细、受限原因、目前状态和对自身偿债能力的影响，并审慎确定公司债券申报规模。</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第二十一条</w:t>
      </w:r>
      <w:r>
        <w:rPr>
          <w:rFonts w:ascii="仿宋" w:eastAsia="仿宋" w:hAnsi="仿宋" w:cs="Times New Roman" w:hint="eastAsia"/>
          <w:color w:val="000000"/>
          <w:sz w:val="32"/>
          <w:szCs w:val="32"/>
        </w:rPr>
        <w:t xml:space="preserve"> 发行人报告期内现金及现金等价物净增加额持续大额为负，或者现金流量结构特征显著异于同行业可比企业的，应当披露具体原因和合理性，并作风险提示。</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前款规定情形对发行人偿债能力影响较大的，发行人应当量化分析本次债券偿付资金来源、细化偿债安排，并充分说明偿债安排的可行性。</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第二十二条</w:t>
      </w:r>
      <w:r>
        <w:rPr>
          <w:rFonts w:ascii="仿宋" w:eastAsia="仿宋" w:hAnsi="仿宋" w:cs="Times New Roman" w:hint="eastAsia"/>
          <w:color w:val="000000"/>
          <w:sz w:val="32"/>
          <w:szCs w:val="32"/>
        </w:rPr>
        <w:t xml:space="preserve"> 发行人报告期内经营活动现金流缺乏可持续性的，应当加强针对性信息披露和风险提示，相关情形包括但不限于：</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（一）报告期内经营活动现金流量净额持续大额为负或者持续下降；</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（二）报告期内经营活动现金流入金额大幅波动或者构成大幅变化；</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（三）报告期内销售商品、提供劳务收到的现金流入占营业收入的比例持续显著低于同行业可比企业平均水平；</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（四）报告期内经营活动现金流入对收到其他与经营活</w:t>
      </w:r>
      <w:r>
        <w:rPr>
          <w:rFonts w:ascii="仿宋" w:eastAsia="仿宋" w:hAnsi="仿宋" w:cs="Times New Roman" w:hint="eastAsia"/>
          <w:color w:val="000000"/>
          <w:sz w:val="32"/>
          <w:szCs w:val="32"/>
        </w:rPr>
        <w:lastRenderedPageBreak/>
        <w:t>动有关的现金流入依赖度较高。</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有前款规定情形之一的，发行人应当结合行业特征、具体业务板块经营情况等披露产生相关情形的原因、合理性及其对自身偿债能力的影响，量化分析偿债资金来源，并充分说明偿债安排的可行性。</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第二十三条</w:t>
      </w:r>
      <w:r>
        <w:rPr>
          <w:rFonts w:ascii="仿宋" w:eastAsia="仿宋" w:hAnsi="仿宋" w:cs="Times New Roman" w:hint="eastAsia"/>
          <w:color w:val="000000"/>
          <w:sz w:val="32"/>
          <w:szCs w:val="32"/>
        </w:rPr>
        <w:t xml:space="preserve"> 发行人报告期内购建固定资产、无形资产和其他长期资产支付的现金或者投资所支付的现金金额较大的，应当披露主要投资活动现金流出的具体投向、预计收益实现方式和回收周期，说明相关投资对发行人本次债券偿付的影响。</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第二十四条</w:t>
      </w:r>
      <w:r>
        <w:rPr>
          <w:rFonts w:ascii="仿宋" w:eastAsia="仿宋" w:hAnsi="仿宋" w:cs="Times New Roman" w:hint="eastAsia"/>
          <w:color w:val="000000"/>
          <w:sz w:val="32"/>
          <w:szCs w:val="32"/>
        </w:rPr>
        <w:t xml:space="preserve"> 发行人报告期内筹资活动现金流量净额持续大额为负、大幅波动，或者筹资渠道发生较大变化的，应当披露变动情况、变动原因及其对自身偿债能力的影响。</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第二十五条</w:t>
      </w:r>
      <w:r>
        <w:rPr>
          <w:rFonts w:ascii="仿宋" w:eastAsia="仿宋" w:hAnsi="仿宋" w:cs="Times New Roman" w:hint="eastAsia"/>
          <w:color w:val="000000"/>
          <w:sz w:val="32"/>
          <w:szCs w:val="32"/>
        </w:rPr>
        <w:t xml:space="preserve"> 发行人报告期内存在净利润持续为负，营业收入、净利润持续下滑或者大幅波动，毛利率波动较大</w:t>
      </w:r>
      <w:r w:rsidR="00A47233">
        <w:rPr>
          <w:rFonts w:ascii="仿宋" w:eastAsia="仿宋" w:hAnsi="仿宋" w:cs="Times New Roman" w:hint="eastAsia"/>
          <w:color w:val="000000"/>
          <w:sz w:val="32"/>
          <w:szCs w:val="32"/>
        </w:rPr>
        <w:t>或者</w:t>
      </w:r>
      <w:r>
        <w:rPr>
          <w:rFonts w:ascii="仿宋" w:eastAsia="仿宋" w:hAnsi="仿宋" w:cs="Times New Roman" w:hint="eastAsia"/>
          <w:color w:val="000000"/>
          <w:sz w:val="32"/>
          <w:szCs w:val="32"/>
        </w:rPr>
        <w:t>与同行业可比企业存在较大差异等情形的，应当结合业务开展情况披露具体原因、盈利可持续性及其对自身偿债能力的影响。</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第二十六条</w:t>
      </w:r>
      <w:r>
        <w:rPr>
          <w:rFonts w:ascii="仿宋" w:eastAsia="仿宋" w:hAnsi="仿宋" w:cs="Times New Roman" w:hint="eastAsia"/>
          <w:color w:val="000000"/>
          <w:sz w:val="32"/>
          <w:szCs w:val="32"/>
        </w:rPr>
        <w:t xml:space="preserve"> 发行人报告期内存在净利润较为依赖大额资产处置收益，尤其扣除处置收益后不满足发行条件，或者盈利较为依赖股票二级市场投资收益、投资性房地产增值等非经常性损益等情形的，应当充分披露形成非经常性损益的具体事项及其对盈利能力稳定性的影响。</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涉及资产处置交易事项的，发行人应当充分披露相关交</w:t>
      </w:r>
      <w:r>
        <w:rPr>
          <w:rFonts w:ascii="仿宋" w:eastAsia="仿宋" w:hAnsi="仿宋" w:cs="Times New Roman" w:hint="eastAsia"/>
          <w:color w:val="000000"/>
          <w:sz w:val="32"/>
          <w:szCs w:val="32"/>
        </w:rPr>
        <w:lastRenderedPageBreak/>
        <w:t>易背景、协议签署、定价依据和交易价格合理性等情况以及自身盈利能力可持续性。</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发行人盈利能力缺乏可持续性且显著影响偿债能力的，应当结合相关情形审慎确定本次公司债券申报规模，原则上募集资金应当用于偿还存量公司债券。</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第二十七条</w:t>
      </w:r>
      <w:r>
        <w:rPr>
          <w:rFonts w:ascii="仿宋" w:eastAsia="仿宋" w:hAnsi="仿宋" w:cs="Times New Roman" w:hint="eastAsia"/>
          <w:color w:val="000000"/>
          <w:sz w:val="32"/>
          <w:szCs w:val="32"/>
        </w:rPr>
        <w:t xml:space="preserve"> 发行人存在“存贷双高”等财务指标明显异常、财务信息不透明特征的，应当详细说明相关财务指标异常的具体原因和合理性。</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发行人存在“存贷双高”情形的，主承销商和申报会计师应当采取对发行人资产负债表日前后一段时期内的货币资金余额及其变动情况进行延伸核查等各类必要方式进行针对性核查，并发表明确意见。</w:t>
      </w:r>
    </w:p>
    <w:p w:rsidR="00FB108F" w:rsidRPr="000B1072" w:rsidRDefault="00FB108F" w:rsidP="000B1072">
      <w:pPr>
        <w:rPr>
          <w:sz w:val="32"/>
        </w:rPr>
      </w:pPr>
      <w:bookmarkStart w:id="5" w:name="_Toc65698300"/>
    </w:p>
    <w:p w:rsidR="00FB108F" w:rsidRPr="000B1072" w:rsidRDefault="000E3644">
      <w:pPr>
        <w:adjustRightInd w:val="0"/>
        <w:snapToGrid w:val="0"/>
        <w:spacing w:line="560" w:lineRule="exact"/>
        <w:ind w:firstLine="646"/>
        <w:jc w:val="center"/>
        <w:outlineLvl w:val="0"/>
        <w:rPr>
          <w:rFonts w:ascii="黑体" w:eastAsia="黑体" w:hAnsi="黑体" w:cs="Times New Roman"/>
          <w:bCs/>
          <w:color w:val="000000"/>
          <w:kern w:val="0"/>
          <w:sz w:val="32"/>
          <w:szCs w:val="32"/>
        </w:rPr>
      </w:pPr>
      <w:r w:rsidRPr="000B1072">
        <w:rPr>
          <w:rFonts w:ascii="黑体" w:eastAsia="黑体" w:hAnsi="黑体" w:cs="Times New Roman" w:hint="eastAsia"/>
          <w:bCs/>
          <w:color w:val="000000"/>
          <w:kern w:val="0"/>
          <w:sz w:val="32"/>
          <w:szCs w:val="32"/>
        </w:rPr>
        <w:t>第四章 特定情形发行人</w:t>
      </w:r>
      <w:bookmarkEnd w:id="5"/>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第二十八条</w:t>
      </w:r>
      <w:r>
        <w:rPr>
          <w:rFonts w:ascii="仿宋" w:eastAsia="仿宋" w:hAnsi="仿宋" w:cs="Times New Roman" w:hint="eastAsia"/>
          <w:color w:val="000000"/>
          <w:sz w:val="32"/>
          <w:szCs w:val="32"/>
        </w:rPr>
        <w:t xml:space="preserve"> 多元化经营、治理结构复杂的企业集团发行人，应当充分披露集团公司股权架构、公司治理、融资情况以及集团内主要经营主体、融资主体等情况。</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企业集团存在公司治理不规范、经营范围不明确等问题的，集团内子公司发行公司债券应当合理确定申报</w:t>
      </w:r>
      <w:r w:rsidR="00A47233">
        <w:rPr>
          <w:rFonts w:ascii="仿宋" w:eastAsia="仿宋" w:hAnsi="仿宋" w:cs="Times New Roman" w:hint="eastAsia"/>
          <w:color w:val="000000"/>
          <w:sz w:val="32"/>
          <w:szCs w:val="32"/>
        </w:rPr>
        <w:t>规模</w:t>
      </w:r>
      <w:r>
        <w:rPr>
          <w:rFonts w:ascii="仿宋" w:eastAsia="仿宋" w:hAnsi="仿宋" w:cs="Times New Roman" w:hint="eastAsia"/>
          <w:color w:val="000000"/>
          <w:sz w:val="32"/>
          <w:szCs w:val="32"/>
        </w:rPr>
        <w:t>，并对募集资金使用管理制度和偿债保障措施进行充分披露，原则上募集资金应当优先用于偿还存量公司债券。</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第二十九条</w:t>
      </w:r>
      <w:r>
        <w:rPr>
          <w:rFonts w:ascii="仿宋" w:eastAsia="仿宋" w:hAnsi="仿宋" w:cs="Times New Roman" w:hint="eastAsia"/>
          <w:color w:val="000000"/>
          <w:sz w:val="32"/>
          <w:szCs w:val="32"/>
        </w:rPr>
        <w:t xml:space="preserve"> 投资控股型发行人经营成果主要来自子公司的，应当结合母公司单体资产受限、资金拆借、有息</w:t>
      </w:r>
      <w:r w:rsidR="00A47233">
        <w:rPr>
          <w:rFonts w:ascii="仿宋" w:eastAsia="仿宋" w:hAnsi="仿宋" w:cs="Times New Roman" w:hint="eastAsia"/>
          <w:color w:val="000000"/>
          <w:sz w:val="32"/>
          <w:szCs w:val="32"/>
        </w:rPr>
        <w:t>债务</w:t>
      </w:r>
      <w:r>
        <w:rPr>
          <w:rFonts w:ascii="仿宋" w:eastAsia="仿宋" w:hAnsi="仿宋" w:cs="Times New Roman" w:hint="eastAsia"/>
          <w:color w:val="000000"/>
          <w:sz w:val="32"/>
          <w:szCs w:val="32"/>
        </w:rPr>
        <w:t>、对核心子公司控制力、股权质押、子公司分红政策、报告期</w:t>
      </w:r>
      <w:r>
        <w:rPr>
          <w:rFonts w:ascii="仿宋" w:eastAsia="仿宋" w:hAnsi="仿宋" w:cs="Times New Roman" w:hint="eastAsia"/>
          <w:color w:val="000000"/>
          <w:sz w:val="32"/>
          <w:szCs w:val="32"/>
        </w:rPr>
        <w:lastRenderedPageBreak/>
        <w:t>内实际分红等情况披露投资控股型架构对</w:t>
      </w:r>
      <w:r w:rsidR="00CB5D6C">
        <w:rPr>
          <w:rFonts w:ascii="仿宋" w:eastAsia="仿宋" w:hAnsi="仿宋" w:cs="Times New Roman" w:hint="eastAsia"/>
          <w:color w:val="000000"/>
          <w:sz w:val="32"/>
          <w:szCs w:val="32"/>
        </w:rPr>
        <w:t>自身</w:t>
      </w:r>
      <w:r>
        <w:rPr>
          <w:rFonts w:ascii="仿宋" w:eastAsia="仿宋" w:hAnsi="仿宋" w:cs="Times New Roman" w:hint="eastAsia"/>
          <w:color w:val="000000"/>
          <w:sz w:val="32"/>
          <w:szCs w:val="32"/>
        </w:rPr>
        <w:t>偿债能力的影响。</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投资控股型发行人主要资产和业务集中于下属上市公司的，应当披露剔除上市公司后的财务报表、主要财务指标、重要报表科目及其变动情况等。</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发行人母公司单体资产质量较低、盈利能力较弱、有息债务负担较重的，应当审慎确定公司债券申报规模，募集资金应当优先用于偿还存量公司债券。</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第三十条</w:t>
      </w:r>
      <w:r>
        <w:rPr>
          <w:rFonts w:ascii="仿宋" w:eastAsia="仿宋" w:hAnsi="仿宋" w:cs="Times New Roman" w:hint="eastAsia"/>
          <w:color w:val="000000"/>
          <w:sz w:val="32"/>
          <w:szCs w:val="32"/>
        </w:rPr>
        <w:t xml:space="preserve"> 发行人首次申请发行公司债券的，应当结合自身在债券市场历史融资表现等情况审慎确定公司债券申报方案。</w:t>
      </w:r>
    </w:p>
    <w:p w:rsidR="00FB108F" w:rsidRDefault="000E3644">
      <w:pPr>
        <w:adjustRightInd w:val="0"/>
        <w:snapToGrid w:val="0"/>
        <w:spacing w:line="560" w:lineRule="exact"/>
        <w:ind w:firstLineChars="200" w:firstLine="643"/>
        <w:rPr>
          <w:rFonts w:ascii="Calibri" w:eastAsia="宋体" w:hAnsi="Calibri" w:cs="Times New Roman"/>
        </w:rPr>
      </w:pPr>
      <w:r>
        <w:rPr>
          <w:rFonts w:ascii="仿宋" w:eastAsia="仿宋" w:hAnsi="仿宋" w:cs="Times New Roman" w:hint="eastAsia"/>
          <w:b/>
          <w:color w:val="000000"/>
          <w:sz w:val="32"/>
          <w:szCs w:val="32"/>
        </w:rPr>
        <w:t>第三十一条</w:t>
      </w:r>
      <w:r>
        <w:rPr>
          <w:rFonts w:ascii="仿宋" w:eastAsia="仿宋" w:hAnsi="仿宋" w:cs="Times New Roman" w:hint="eastAsia"/>
          <w:color w:val="000000"/>
          <w:sz w:val="32"/>
          <w:szCs w:val="32"/>
        </w:rPr>
        <w:t xml:space="preserve"> 报告期内曾发生公司债券或者其他债务违约、延迟支付本息，存续期公司债券存在《深圳证券交易所公司债券存续期信用风险管理指引（试行）》规定的风险类情形，或者存在其他重大风险事项的，发行人应当全面披露风险事项的具体情形、产生原因、化解处置情况或者拟采取的应对措施，以及前述事项对发行人本次债券偿付的影响，并审慎确定公司债券申报方案。</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主承销商应当严格评估公司资信状况和偿债能力，就发行人是否存在短期流动性问题、生产经营是否正常、</w:t>
      </w:r>
      <w:r w:rsidR="00977255">
        <w:rPr>
          <w:rFonts w:ascii="仿宋" w:eastAsia="仿宋" w:hAnsi="仿宋" w:cs="Times New Roman" w:hint="eastAsia"/>
          <w:color w:val="000000"/>
          <w:sz w:val="32"/>
          <w:szCs w:val="32"/>
        </w:rPr>
        <w:t>发展</w:t>
      </w:r>
      <w:r>
        <w:rPr>
          <w:rFonts w:ascii="仿宋" w:eastAsia="仿宋" w:hAnsi="仿宋" w:cs="Times New Roman" w:hint="eastAsia"/>
          <w:color w:val="000000"/>
          <w:sz w:val="32"/>
          <w:szCs w:val="32"/>
        </w:rPr>
        <w:t>前景等进行审慎核查，并发表明确意见。</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第三十二条</w:t>
      </w:r>
      <w:r>
        <w:rPr>
          <w:rFonts w:ascii="仿宋" w:eastAsia="仿宋" w:hAnsi="仿宋" w:cs="Times New Roman" w:hint="eastAsia"/>
          <w:color w:val="000000"/>
          <w:sz w:val="32"/>
          <w:szCs w:val="32"/>
        </w:rPr>
        <w:t xml:space="preserve"> 报告期内发行人主体信用评级（如有）下调的，发行人应当结合自身业务模式、盈利情况、偿债能力、评级机构主要关注的风险因素等，强化评级下调事项相关信</w:t>
      </w:r>
      <w:r>
        <w:rPr>
          <w:rFonts w:ascii="仿宋" w:eastAsia="仿宋" w:hAnsi="仿宋" w:cs="Times New Roman" w:hint="eastAsia"/>
          <w:color w:val="000000"/>
          <w:sz w:val="32"/>
          <w:szCs w:val="32"/>
        </w:rPr>
        <w:lastRenderedPageBreak/>
        <w:t>息披露和风险揭示，并审慎确定公司债券申报方案。</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第三十三条</w:t>
      </w:r>
      <w:r>
        <w:rPr>
          <w:rFonts w:ascii="仿宋" w:eastAsia="仿宋" w:hAnsi="仿宋" w:cs="Times New Roman" w:hint="eastAsia"/>
          <w:color w:val="000000"/>
          <w:sz w:val="32"/>
          <w:szCs w:val="32"/>
        </w:rPr>
        <w:t xml:space="preserve"> 最近一期末发行人短期债券余额占全部债券余额比例显著高于同行业可比企业，且报告期内短期债券余额呈大幅增长趋势的，发行人应当充分披露相关资金运营内控制度、资金管理运营模式和短期资金调度应急预案，并审慎确定公司债券申报方案。</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前款所称短期债券包括期限不超过一年（含）的各类短期债券产品。</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证券公司和适用本所优化审核安排的发行人不适用本条规定。</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第三十四条</w:t>
      </w:r>
      <w:r>
        <w:rPr>
          <w:rFonts w:ascii="仿宋" w:eastAsia="仿宋" w:hAnsi="仿宋" w:cs="Times New Roman" w:hint="eastAsia"/>
          <w:color w:val="000000"/>
          <w:sz w:val="32"/>
          <w:szCs w:val="32"/>
        </w:rPr>
        <w:t xml:space="preserve"> 发行人存在特殊会计处理，可能影响本次债券发行条件或者对投资决策影响较大的，应当披露相关会计处理的依据及其合理性。</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主承销商、证券服务机构应当结合《企业会计准则》的具体条款说明相关会计处理的合规性并发表核查意见；《企业会计准则》的适用涉及职业判断的，应当提供充分依据。</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第三十五条</w:t>
      </w:r>
      <w:r>
        <w:rPr>
          <w:rFonts w:ascii="仿宋" w:eastAsia="仿宋" w:hAnsi="仿宋" w:cs="Times New Roman" w:hint="eastAsia"/>
          <w:color w:val="000000"/>
          <w:sz w:val="32"/>
          <w:szCs w:val="32"/>
        </w:rPr>
        <w:t xml:space="preserve"> 发行人经营情况、财务状况存在本指引重点关注事项或者其他重大不利情形，可能严重影响偿债能力的，原则上应当设置增信、财务承诺、行为限制承诺等投资者保护条款，切实保护投资者合法权益。</w:t>
      </w:r>
    </w:p>
    <w:p w:rsidR="00FB108F" w:rsidRDefault="000E3644">
      <w:pPr>
        <w:adjustRightInd w:val="0"/>
        <w:snapToGrid w:val="0"/>
        <w:spacing w:line="560" w:lineRule="exact"/>
        <w:ind w:firstLineChars="200" w:firstLine="643"/>
        <w:rPr>
          <w:rFonts w:ascii="仿宋" w:eastAsia="仿宋" w:hAnsi="仿宋" w:cs="Times New Roman"/>
          <w:color w:val="000000"/>
          <w:sz w:val="32"/>
          <w:szCs w:val="30"/>
        </w:rPr>
      </w:pPr>
      <w:r>
        <w:rPr>
          <w:rFonts w:ascii="仿宋" w:eastAsia="仿宋" w:hAnsi="仿宋" w:cs="Times New Roman" w:hint="eastAsia"/>
          <w:b/>
          <w:color w:val="000000"/>
          <w:kern w:val="0"/>
          <w:sz w:val="32"/>
          <w:szCs w:val="30"/>
          <w:lang w:bidi="en-US"/>
        </w:rPr>
        <w:t>第三十</w:t>
      </w:r>
      <w:r>
        <w:rPr>
          <w:rFonts w:ascii="仿宋" w:eastAsia="仿宋" w:hAnsi="仿宋" w:cs="Times New Roman"/>
          <w:b/>
          <w:color w:val="000000"/>
          <w:kern w:val="0"/>
          <w:sz w:val="32"/>
          <w:szCs w:val="30"/>
          <w:lang w:bidi="en-US"/>
        </w:rPr>
        <w:t>六</w:t>
      </w:r>
      <w:r>
        <w:rPr>
          <w:rFonts w:ascii="仿宋" w:eastAsia="仿宋" w:hAnsi="仿宋" w:cs="Times New Roman" w:hint="eastAsia"/>
          <w:b/>
          <w:color w:val="000000"/>
          <w:kern w:val="0"/>
          <w:sz w:val="32"/>
          <w:szCs w:val="30"/>
          <w:lang w:bidi="en-US"/>
        </w:rPr>
        <w:t xml:space="preserve">条 </w:t>
      </w:r>
      <w:r>
        <w:rPr>
          <w:rFonts w:ascii="仿宋_GB2312" w:eastAsia="仿宋_GB2312" w:hAnsi="仿宋" w:cs="Times New Roman" w:hint="eastAsia"/>
          <w:color w:val="000000"/>
          <w:sz w:val="32"/>
          <w:szCs w:val="30"/>
        </w:rPr>
        <w:t>主营业务主要为市政基础设施项目建设投资与运营、土地一级开发等业务的地方国有企业（以下简称城投企业）申报发行公司债券，应当符合地方政府性债务管理的相关规定，不得新增政府债务。募集资金用于偿还公司</w:t>
      </w:r>
      <w:r>
        <w:rPr>
          <w:rFonts w:ascii="仿宋_GB2312" w:eastAsia="仿宋_GB2312" w:hAnsi="仿宋" w:cs="Times New Roman" w:hint="eastAsia"/>
          <w:color w:val="000000"/>
          <w:sz w:val="32"/>
          <w:szCs w:val="30"/>
        </w:rPr>
        <w:lastRenderedPageBreak/>
        <w:t>债券以外存量债务的，发行人应当披露拟偿还的存量债务明细，并承诺所偿还的存量债务不涉及地方政府隐性债务。</w:t>
      </w:r>
    </w:p>
    <w:p w:rsidR="00FB108F" w:rsidRDefault="000E3644">
      <w:pPr>
        <w:adjustRightInd w:val="0"/>
        <w:snapToGrid w:val="0"/>
        <w:spacing w:line="560" w:lineRule="exact"/>
        <w:ind w:firstLineChars="200" w:firstLine="640"/>
        <w:rPr>
          <w:rFonts w:ascii="仿宋" w:eastAsia="仿宋" w:hAnsi="仿宋" w:cs="Times New Roman"/>
          <w:color w:val="000000"/>
          <w:sz w:val="32"/>
          <w:szCs w:val="30"/>
        </w:rPr>
      </w:pPr>
      <w:r>
        <w:rPr>
          <w:rFonts w:ascii="仿宋" w:eastAsia="仿宋" w:hAnsi="仿宋" w:cs="Times New Roman"/>
          <w:color w:val="000000"/>
          <w:sz w:val="32"/>
          <w:szCs w:val="32"/>
        </w:rPr>
        <w:t>城投企业总资产规模小于100亿元或</w:t>
      </w:r>
      <w:r>
        <w:rPr>
          <w:rFonts w:ascii="仿宋" w:eastAsia="仿宋" w:hAnsi="仿宋" w:cs="Times New Roman" w:hint="eastAsia"/>
          <w:color w:val="000000"/>
          <w:sz w:val="32"/>
          <w:szCs w:val="32"/>
        </w:rPr>
        <w:t>者偿债能力</w:t>
      </w:r>
      <w:r>
        <w:rPr>
          <w:rFonts w:ascii="仿宋" w:eastAsia="仿宋" w:hAnsi="仿宋" w:cs="Times New Roman"/>
          <w:color w:val="000000"/>
          <w:sz w:val="32"/>
          <w:szCs w:val="32"/>
        </w:rPr>
        <w:t>较弱的，</w:t>
      </w:r>
      <w:r>
        <w:rPr>
          <w:rFonts w:ascii="仿宋" w:eastAsia="仿宋" w:hAnsi="仿宋" w:cs="Times New Roman" w:hint="eastAsia"/>
          <w:color w:val="000000"/>
          <w:sz w:val="32"/>
          <w:szCs w:val="30"/>
        </w:rPr>
        <w:t>应当结合自身所属行政层级、业务规模、盈利情况、资产负债结构、现金流量情况等评估自身经营和偿债能力，合理确定公司债券申报方案，并采取调整本次公司债券申报规模、调整募集资金用于偿还存量公司债券等措施强化偿债保障能力。</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kern w:val="0"/>
          <w:sz w:val="32"/>
          <w:szCs w:val="32"/>
        </w:rPr>
        <w:t xml:space="preserve">第三十七条 </w:t>
      </w:r>
      <w:r>
        <w:rPr>
          <w:rFonts w:ascii="仿宋" w:eastAsia="仿宋" w:hAnsi="仿宋" w:cs="Times New Roman" w:hint="eastAsia"/>
          <w:color w:val="000000"/>
          <w:sz w:val="32"/>
          <w:szCs w:val="32"/>
        </w:rPr>
        <w:t>房地产企业申报发行公司债券，发行人存在扣除合同负债后资产负债率较高、净负债率较高或者现金对短期债务覆盖程度较低情形的，应当结合报告期内经营情况、财务状况等细化本次债券的偿付安排，制定切实可行的偿债保障措施。</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第三十八条</w:t>
      </w:r>
      <w:r>
        <w:rPr>
          <w:rFonts w:ascii="仿宋" w:eastAsia="仿宋" w:hAnsi="仿宋" w:cs="Times New Roman" w:hint="eastAsia"/>
          <w:color w:val="000000"/>
          <w:sz w:val="32"/>
          <w:szCs w:val="32"/>
        </w:rPr>
        <w:t xml:space="preserve"> 公司债券募集资金应当投向符合国家产业政策的业务领域。发行人所在行业涉及国家产业政策调整的，发行人和主承销商应当就行业政策调整情况，公司业务资质、展业范围、经营情况、财务状况、偿债能力等方面受到的影响和应对措施进行充分披露与核查。</w:t>
      </w:r>
    </w:p>
    <w:p w:rsidR="00FB108F" w:rsidRDefault="00FB108F">
      <w:pPr>
        <w:adjustRightInd w:val="0"/>
        <w:snapToGrid w:val="0"/>
        <w:spacing w:line="560" w:lineRule="exact"/>
        <w:ind w:firstLineChars="200" w:firstLine="643"/>
        <w:jc w:val="left"/>
        <w:rPr>
          <w:rFonts w:ascii="仿宋" w:eastAsia="仿宋" w:hAnsi="仿宋" w:cs="Times New Roman"/>
          <w:b/>
          <w:bCs/>
          <w:color w:val="000000"/>
          <w:kern w:val="0"/>
          <w:sz w:val="32"/>
          <w:szCs w:val="32"/>
        </w:rPr>
      </w:pPr>
      <w:bookmarkStart w:id="6" w:name="_Toc65698301"/>
    </w:p>
    <w:p w:rsidR="00FB108F" w:rsidRPr="000B1072" w:rsidRDefault="000E3644">
      <w:pPr>
        <w:adjustRightInd w:val="0"/>
        <w:snapToGrid w:val="0"/>
        <w:spacing w:line="560" w:lineRule="exact"/>
        <w:ind w:firstLine="646"/>
        <w:jc w:val="center"/>
        <w:outlineLvl w:val="0"/>
        <w:rPr>
          <w:rFonts w:ascii="黑体" w:eastAsia="黑体" w:hAnsi="黑体" w:cs="Times New Roman"/>
          <w:bCs/>
          <w:color w:val="000000"/>
          <w:kern w:val="0"/>
          <w:sz w:val="32"/>
          <w:szCs w:val="32"/>
        </w:rPr>
      </w:pPr>
      <w:r w:rsidRPr="000B1072">
        <w:rPr>
          <w:rFonts w:ascii="黑体" w:eastAsia="黑体" w:hAnsi="黑体" w:cs="Times New Roman" w:hint="eastAsia"/>
          <w:bCs/>
          <w:color w:val="000000"/>
          <w:kern w:val="0"/>
          <w:sz w:val="32"/>
          <w:szCs w:val="32"/>
        </w:rPr>
        <w:t xml:space="preserve">第五章 </w:t>
      </w:r>
      <w:bookmarkStart w:id="7" w:name="_Toc56106688"/>
      <w:r w:rsidRPr="000B1072">
        <w:rPr>
          <w:rFonts w:ascii="黑体" w:eastAsia="黑体" w:hAnsi="黑体" w:cs="Times New Roman" w:hint="eastAsia"/>
          <w:bCs/>
          <w:color w:val="000000"/>
          <w:kern w:val="0"/>
          <w:sz w:val="32"/>
          <w:szCs w:val="32"/>
        </w:rPr>
        <w:t>主承销商执业要求</w:t>
      </w:r>
      <w:bookmarkEnd w:id="6"/>
      <w:bookmarkEnd w:id="7"/>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第三十九条</w:t>
      </w:r>
      <w:r>
        <w:rPr>
          <w:rFonts w:ascii="仿宋" w:eastAsia="仿宋" w:hAnsi="仿宋" w:cs="Times New Roman" w:hint="eastAsia"/>
          <w:color w:val="000000"/>
          <w:sz w:val="32"/>
          <w:szCs w:val="32"/>
        </w:rPr>
        <w:t xml:space="preserve"> 主承销商应当按照本指引要求对审核重点关注事项进行逐项核查并发表明确意见，在提交公司债券申请文件时同步提交《主承销商关注事项核查对照表》（格式见附表）并加盖公章。</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lastRenderedPageBreak/>
        <w:t>第四十条</w:t>
      </w:r>
      <w:r>
        <w:rPr>
          <w:rFonts w:ascii="仿宋" w:eastAsia="仿宋" w:hAnsi="仿宋" w:cs="Times New Roman" w:hint="eastAsia"/>
          <w:color w:val="000000"/>
          <w:sz w:val="32"/>
          <w:szCs w:val="32"/>
        </w:rPr>
        <w:t xml:space="preserve"> 本所将结合主承销商及其</w:t>
      </w:r>
      <w:r w:rsidR="00200EB8">
        <w:rPr>
          <w:rFonts w:ascii="仿宋" w:eastAsia="仿宋" w:hAnsi="仿宋" w:cs="Times New Roman" w:hint="eastAsia"/>
          <w:color w:val="000000"/>
          <w:sz w:val="32"/>
          <w:szCs w:val="32"/>
        </w:rPr>
        <w:t>相关人员</w:t>
      </w:r>
      <w:r>
        <w:rPr>
          <w:rFonts w:ascii="仿宋" w:eastAsia="仿宋" w:hAnsi="仿宋" w:cs="Times New Roman" w:hint="eastAsia"/>
          <w:color w:val="000000"/>
          <w:sz w:val="32"/>
          <w:szCs w:val="32"/>
        </w:rPr>
        <w:t>历史执业情况、主承销商执业质量评价记录等对主承销商实施分类管理。</w:t>
      </w:r>
    </w:p>
    <w:p w:rsidR="00FB108F" w:rsidRDefault="000E3644">
      <w:pPr>
        <w:adjustRightInd w:val="0"/>
        <w:snapToGrid w:val="0"/>
        <w:spacing w:line="560" w:lineRule="exact"/>
        <w:ind w:firstLineChars="200" w:firstLine="640"/>
        <w:rPr>
          <w:rFonts w:ascii="仿宋" w:eastAsia="仿宋" w:hAnsi="仿宋" w:cs="Times New Roman"/>
          <w:color w:val="000000"/>
          <w:sz w:val="32"/>
          <w:szCs w:val="32"/>
        </w:rPr>
      </w:pPr>
      <w:r>
        <w:rPr>
          <w:rFonts w:ascii="仿宋" w:eastAsia="仿宋" w:hAnsi="仿宋" w:cs="Times New Roman" w:hint="eastAsia"/>
          <w:color w:val="000000"/>
          <w:sz w:val="32"/>
          <w:szCs w:val="32"/>
        </w:rPr>
        <w:t>主承销商提交公司债券申请文件时，应当同步提交承销机构和项目负责人近两年内承销债券违约情况。主承销商和相关人员存在严重负面执业记录的，本所对其申报的项目从严审核，加大问询力度。</w:t>
      </w:r>
    </w:p>
    <w:p w:rsidR="00FB108F" w:rsidRPr="000B1072" w:rsidRDefault="00FB108F" w:rsidP="000B1072">
      <w:pPr>
        <w:rPr>
          <w:sz w:val="32"/>
        </w:rPr>
      </w:pPr>
    </w:p>
    <w:p w:rsidR="00FB108F" w:rsidRPr="000B1072" w:rsidRDefault="000E3644">
      <w:pPr>
        <w:adjustRightInd w:val="0"/>
        <w:snapToGrid w:val="0"/>
        <w:spacing w:line="560" w:lineRule="exact"/>
        <w:ind w:firstLine="646"/>
        <w:jc w:val="center"/>
        <w:outlineLvl w:val="0"/>
        <w:rPr>
          <w:rFonts w:ascii="黑体" w:eastAsia="黑体" w:hAnsi="黑体" w:cs="Times New Roman"/>
          <w:bCs/>
          <w:color w:val="000000"/>
          <w:kern w:val="0"/>
          <w:sz w:val="32"/>
          <w:szCs w:val="32"/>
        </w:rPr>
      </w:pPr>
      <w:r w:rsidRPr="000B1072">
        <w:rPr>
          <w:rFonts w:ascii="黑体" w:eastAsia="黑体" w:hAnsi="黑体" w:cs="Times New Roman" w:hint="eastAsia"/>
          <w:bCs/>
          <w:color w:val="000000"/>
          <w:kern w:val="0"/>
          <w:sz w:val="32"/>
          <w:szCs w:val="32"/>
        </w:rPr>
        <w:t>第六章 附则</w:t>
      </w:r>
    </w:p>
    <w:p w:rsidR="00FB108F" w:rsidRDefault="000E3644">
      <w:pPr>
        <w:adjustRightInd w:val="0"/>
        <w:snapToGrid w:val="0"/>
        <w:spacing w:line="560" w:lineRule="exact"/>
        <w:ind w:firstLineChars="200" w:firstLine="643"/>
        <w:rPr>
          <w:rFonts w:ascii="仿宋" w:eastAsia="仿宋" w:hAnsi="仿宋" w:cs="Times New Roman"/>
          <w:b/>
          <w:color w:val="000000"/>
          <w:sz w:val="32"/>
          <w:szCs w:val="32"/>
        </w:rPr>
      </w:pPr>
      <w:r>
        <w:rPr>
          <w:rFonts w:ascii="仿宋" w:eastAsia="仿宋" w:hAnsi="仿宋" w:cs="Times New Roman"/>
          <w:b/>
          <w:color w:val="000000"/>
          <w:sz w:val="32"/>
          <w:szCs w:val="32"/>
        </w:rPr>
        <w:t>第四十</w:t>
      </w:r>
      <w:r>
        <w:rPr>
          <w:rFonts w:ascii="仿宋" w:eastAsia="仿宋" w:hAnsi="仿宋" w:cs="Times New Roman" w:hint="eastAsia"/>
          <w:b/>
          <w:color w:val="000000"/>
          <w:sz w:val="32"/>
          <w:szCs w:val="32"/>
        </w:rPr>
        <w:t>一</w:t>
      </w:r>
      <w:r>
        <w:rPr>
          <w:rFonts w:ascii="仿宋" w:eastAsia="仿宋" w:hAnsi="仿宋" w:cs="Times New Roman"/>
          <w:b/>
          <w:color w:val="000000"/>
          <w:sz w:val="32"/>
          <w:szCs w:val="32"/>
        </w:rPr>
        <w:t>条</w:t>
      </w:r>
      <w:r>
        <w:rPr>
          <w:rFonts w:ascii="仿宋" w:eastAsia="仿宋" w:hAnsi="仿宋" w:cs="Times New Roman" w:hint="eastAsia"/>
          <w:b/>
          <w:color w:val="000000"/>
          <w:sz w:val="32"/>
          <w:szCs w:val="32"/>
        </w:rPr>
        <w:t xml:space="preserve"> </w:t>
      </w:r>
      <w:r>
        <w:rPr>
          <w:rFonts w:ascii="仿宋" w:eastAsia="仿宋" w:hAnsi="仿宋" w:cs="Times New Roman" w:hint="eastAsia"/>
          <w:color w:val="000000"/>
          <w:sz w:val="32"/>
          <w:szCs w:val="32"/>
        </w:rPr>
        <w:t>本所对于特定行业企业的信息披露和核查事项另有规定的，从其规定。</w:t>
      </w:r>
    </w:p>
    <w:p w:rsidR="00FB108F" w:rsidRDefault="000E3644">
      <w:pPr>
        <w:adjustRightInd w:val="0"/>
        <w:snapToGrid w:val="0"/>
        <w:spacing w:line="560" w:lineRule="exact"/>
        <w:ind w:firstLineChars="200" w:firstLine="643"/>
        <w:rPr>
          <w:rFonts w:ascii="仿宋" w:eastAsia="仿宋" w:hAnsi="仿宋" w:cs="仿宋"/>
          <w:color w:val="000000"/>
          <w:sz w:val="32"/>
          <w:szCs w:val="32"/>
        </w:rPr>
      </w:pPr>
      <w:r>
        <w:rPr>
          <w:rFonts w:ascii="仿宋" w:eastAsia="仿宋" w:hAnsi="仿宋" w:cs="Times New Roman" w:hint="eastAsia"/>
          <w:b/>
          <w:color w:val="000000"/>
          <w:sz w:val="32"/>
          <w:szCs w:val="32"/>
        </w:rPr>
        <w:t>第四十二条</w:t>
      </w:r>
      <w:r>
        <w:rPr>
          <w:rFonts w:ascii="仿宋" w:eastAsia="仿宋" w:hAnsi="仿宋" w:cs="Times New Roman" w:hint="eastAsia"/>
          <w:color w:val="000000"/>
          <w:sz w:val="32"/>
          <w:szCs w:val="32"/>
        </w:rPr>
        <w:t xml:space="preserve"> </w:t>
      </w:r>
      <w:r>
        <w:rPr>
          <w:rFonts w:ascii="仿宋" w:eastAsia="仿宋" w:hAnsi="仿宋" w:cs="仿宋" w:hint="eastAsia"/>
          <w:color w:val="000000"/>
          <w:sz w:val="32"/>
          <w:szCs w:val="32"/>
        </w:rPr>
        <w:t>发行人、主承销商和证券服务机构违反本指引的，本所可以根据相关业务规则采取自律监管措施或者纪律处分。</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第四十三条</w:t>
      </w:r>
      <w:r>
        <w:rPr>
          <w:rFonts w:ascii="仿宋" w:eastAsia="仿宋" w:hAnsi="仿宋" w:cs="Times New Roman" w:hint="eastAsia"/>
          <w:color w:val="000000"/>
          <w:sz w:val="32"/>
          <w:szCs w:val="32"/>
        </w:rPr>
        <w:t xml:space="preserve"> 本指引由本所负责解释。</w:t>
      </w:r>
    </w:p>
    <w:p w:rsidR="00FB108F" w:rsidRDefault="000E3644">
      <w:pPr>
        <w:adjustRightInd w:val="0"/>
        <w:snapToGrid w:val="0"/>
        <w:spacing w:line="560" w:lineRule="exact"/>
        <w:ind w:firstLineChars="200" w:firstLine="643"/>
        <w:rPr>
          <w:rFonts w:ascii="仿宋" w:eastAsia="仿宋" w:hAnsi="仿宋" w:cs="Times New Roman"/>
          <w:color w:val="000000"/>
          <w:sz w:val="32"/>
          <w:szCs w:val="32"/>
        </w:rPr>
      </w:pPr>
      <w:r>
        <w:rPr>
          <w:rFonts w:ascii="仿宋" w:eastAsia="仿宋" w:hAnsi="仿宋" w:cs="Times New Roman" w:hint="eastAsia"/>
          <w:b/>
          <w:color w:val="000000"/>
          <w:sz w:val="32"/>
          <w:szCs w:val="32"/>
        </w:rPr>
        <w:t>第四十四条</w:t>
      </w:r>
      <w:r>
        <w:rPr>
          <w:rFonts w:ascii="仿宋" w:eastAsia="仿宋" w:hAnsi="仿宋" w:cs="Times New Roman" w:hint="eastAsia"/>
          <w:color w:val="000000"/>
          <w:sz w:val="32"/>
          <w:szCs w:val="32"/>
        </w:rPr>
        <w:t xml:space="preserve"> 本指引自发布之日起施行。</w:t>
      </w:r>
    </w:p>
    <w:p w:rsidR="00FB108F" w:rsidRPr="000B1072" w:rsidRDefault="00FB108F" w:rsidP="000B1072">
      <w:pPr>
        <w:rPr>
          <w:sz w:val="32"/>
        </w:rPr>
      </w:pPr>
    </w:p>
    <w:p w:rsidR="00FB108F" w:rsidRDefault="000E3644">
      <w:pPr>
        <w:widowControl/>
        <w:jc w:val="left"/>
        <w:rPr>
          <w:rFonts w:ascii="方正仿宋简体" w:eastAsia="方正仿宋简体" w:hAnsi="仿宋" w:cs="Times New Roman"/>
          <w:b/>
          <w:sz w:val="32"/>
          <w:szCs w:val="32"/>
        </w:rPr>
      </w:pPr>
      <w:r>
        <w:rPr>
          <w:rFonts w:ascii="方正仿宋简体" w:eastAsia="方正仿宋简体" w:hAnsi="仿宋" w:cs="Times New Roman" w:hint="eastAsia"/>
          <w:b/>
        </w:rPr>
        <w:br w:type="page"/>
      </w:r>
      <w:bookmarkStart w:id="8" w:name="_Toc96687526"/>
      <w:r>
        <w:rPr>
          <w:rFonts w:ascii="仿宋" w:eastAsia="仿宋" w:hAnsi="仿宋" w:cs="Times New Roman" w:hint="eastAsia"/>
          <w:b/>
          <w:bCs/>
          <w:color w:val="000000"/>
          <w:kern w:val="0"/>
          <w:sz w:val="32"/>
          <w:szCs w:val="32"/>
          <w:lang w:bidi="en-US"/>
        </w:rPr>
        <w:lastRenderedPageBreak/>
        <w:t xml:space="preserve"> </w:t>
      </w:r>
      <w:bookmarkEnd w:id="8"/>
      <w:r>
        <w:rPr>
          <w:rFonts w:ascii="方正仿宋简体" w:eastAsia="方正仿宋简体" w:hAnsi="仿宋" w:cs="Times New Roman" w:hint="eastAsia"/>
          <w:b/>
          <w:sz w:val="32"/>
          <w:szCs w:val="32"/>
        </w:rPr>
        <w:t>附表：主承销商关注事项核查对照表</w:t>
      </w:r>
    </w:p>
    <w:tbl>
      <w:tblPr>
        <w:tblStyle w:val="a7"/>
        <w:tblW w:w="107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2"/>
        <w:gridCol w:w="4111"/>
        <w:gridCol w:w="1794"/>
        <w:gridCol w:w="1984"/>
        <w:gridCol w:w="2174"/>
      </w:tblGrid>
      <w:tr w:rsidR="00FB108F" w:rsidRPr="000B1072" w:rsidTr="000B1072">
        <w:trPr>
          <w:tblHeader/>
          <w:jc w:val="center"/>
        </w:trPr>
        <w:tc>
          <w:tcPr>
            <w:tcW w:w="722" w:type="dxa"/>
            <w:vAlign w:val="center"/>
          </w:tcPr>
          <w:p w:rsidR="00FB108F" w:rsidRPr="000B1072" w:rsidRDefault="000E3644">
            <w:pPr>
              <w:adjustRightInd w:val="0"/>
              <w:snapToGrid w:val="0"/>
              <w:spacing w:line="360" w:lineRule="exact"/>
              <w:jc w:val="center"/>
              <w:outlineLvl w:val="0"/>
              <w:rPr>
                <w:b/>
                <w:color w:val="000000"/>
                <w:kern w:val="0"/>
                <w:szCs w:val="21"/>
              </w:rPr>
            </w:pPr>
            <w:r w:rsidRPr="000B1072">
              <w:rPr>
                <w:rFonts w:ascii="宋体" w:hAnsi="宋体" w:hint="eastAsia"/>
                <w:b/>
                <w:color w:val="000000"/>
                <w:kern w:val="0"/>
                <w:szCs w:val="21"/>
              </w:rPr>
              <w:t>序号</w:t>
            </w:r>
          </w:p>
        </w:tc>
        <w:tc>
          <w:tcPr>
            <w:tcW w:w="4111" w:type="dxa"/>
            <w:vAlign w:val="center"/>
          </w:tcPr>
          <w:p w:rsidR="00FB108F" w:rsidRPr="000B1072" w:rsidRDefault="000E3644">
            <w:pPr>
              <w:adjustRightInd w:val="0"/>
              <w:snapToGrid w:val="0"/>
              <w:spacing w:line="360" w:lineRule="exact"/>
              <w:jc w:val="center"/>
              <w:outlineLvl w:val="0"/>
              <w:rPr>
                <w:b/>
                <w:color w:val="000000"/>
                <w:kern w:val="0"/>
                <w:szCs w:val="21"/>
              </w:rPr>
            </w:pPr>
            <w:r w:rsidRPr="000B1072">
              <w:rPr>
                <w:rFonts w:ascii="宋体" w:hAnsi="宋体" w:hint="eastAsia"/>
                <w:b/>
                <w:color w:val="000000"/>
                <w:kern w:val="0"/>
                <w:szCs w:val="21"/>
              </w:rPr>
              <w:t>审核重点关注事项</w:t>
            </w:r>
          </w:p>
        </w:tc>
        <w:tc>
          <w:tcPr>
            <w:tcW w:w="1794" w:type="dxa"/>
            <w:vAlign w:val="center"/>
          </w:tcPr>
          <w:p w:rsidR="00FB108F" w:rsidRPr="000B1072" w:rsidRDefault="000E3644">
            <w:pPr>
              <w:adjustRightInd w:val="0"/>
              <w:snapToGrid w:val="0"/>
              <w:spacing w:line="360" w:lineRule="exact"/>
              <w:jc w:val="center"/>
              <w:outlineLvl w:val="0"/>
              <w:rPr>
                <w:b/>
                <w:color w:val="000000"/>
                <w:kern w:val="0"/>
                <w:szCs w:val="21"/>
              </w:rPr>
            </w:pPr>
            <w:r w:rsidRPr="000B1072">
              <w:rPr>
                <w:rFonts w:ascii="宋体" w:hAnsi="宋体" w:hint="eastAsia"/>
                <w:b/>
                <w:color w:val="000000"/>
                <w:kern w:val="0"/>
                <w:szCs w:val="21"/>
              </w:rPr>
              <w:t>对应本指引条文</w:t>
            </w:r>
          </w:p>
        </w:tc>
        <w:tc>
          <w:tcPr>
            <w:tcW w:w="1984" w:type="dxa"/>
            <w:vAlign w:val="center"/>
          </w:tcPr>
          <w:p w:rsidR="00FB108F" w:rsidRPr="000B1072" w:rsidRDefault="000E3644">
            <w:pPr>
              <w:adjustRightInd w:val="0"/>
              <w:snapToGrid w:val="0"/>
              <w:spacing w:line="360" w:lineRule="exact"/>
              <w:jc w:val="center"/>
              <w:outlineLvl w:val="0"/>
              <w:rPr>
                <w:b/>
                <w:color w:val="000000"/>
                <w:kern w:val="0"/>
                <w:szCs w:val="21"/>
              </w:rPr>
            </w:pPr>
            <w:r w:rsidRPr="000B1072">
              <w:rPr>
                <w:rFonts w:ascii="宋体" w:hAnsi="宋体" w:hint="eastAsia"/>
                <w:b/>
                <w:color w:val="000000"/>
                <w:kern w:val="0"/>
                <w:szCs w:val="21"/>
              </w:rPr>
              <w:t>是否存在该情形</w:t>
            </w:r>
          </w:p>
          <w:p w:rsidR="00FB108F" w:rsidRPr="000B1072" w:rsidRDefault="000E3644">
            <w:pPr>
              <w:adjustRightInd w:val="0"/>
              <w:snapToGrid w:val="0"/>
              <w:spacing w:line="360" w:lineRule="exact"/>
              <w:jc w:val="center"/>
              <w:outlineLvl w:val="0"/>
              <w:rPr>
                <w:b/>
                <w:color w:val="000000"/>
                <w:kern w:val="0"/>
                <w:szCs w:val="21"/>
              </w:rPr>
            </w:pPr>
            <w:r w:rsidRPr="000B1072">
              <w:rPr>
                <w:rFonts w:ascii="宋体" w:hAnsi="宋体" w:hint="eastAsia"/>
                <w:b/>
                <w:color w:val="000000"/>
                <w:kern w:val="0"/>
                <w:szCs w:val="21"/>
              </w:rPr>
              <w:t>（是</w:t>
            </w:r>
            <w:r w:rsidRPr="000B1072">
              <w:rPr>
                <w:rFonts w:ascii="宋体" w:hAnsi="宋体"/>
                <w:b/>
                <w:color w:val="000000"/>
                <w:kern w:val="0"/>
                <w:szCs w:val="21"/>
              </w:rPr>
              <w:t>/否/不适用）</w:t>
            </w:r>
          </w:p>
        </w:tc>
        <w:tc>
          <w:tcPr>
            <w:tcW w:w="2174" w:type="dxa"/>
            <w:vAlign w:val="center"/>
          </w:tcPr>
          <w:p w:rsidR="00FB108F" w:rsidRPr="000B1072" w:rsidRDefault="000E3644">
            <w:pPr>
              <w:adjustRightInd w:val="0"/>
              <w:snapToGrid w:val="0"/>
              <w:spacing w:line="360" w:lineRule="exact"/>
              <w:jc w:val="center"/>
              <w:outlineLvl w:val="0"/>
              <w:rPr>
                <w:b/>
                <w:color w:val="000000"/>
                <w:kern w:val="0"/>
                <w:szCs w:val="21"/>
              </w:rPr>
            </w:pPr>
            <w:r w:rsidRPr="000B1072">
              <w:rPr>
                <w:rFonts w:ascii="宋体" w:hAnsi="宋体" w:hint="eastAsia"/>
                <w:b/>
                <w:color w:val="000000"/>
                <w:kern w:val="0"/>
                <w:szCs w:val="21"/>
              </w:rPr>
              <w:t>相关情况简要说明</w:t>
            </w:r>
          </w:p>
          <w:p w:rsidR="00FB108F" w:rsidRPr="000B1072" w:rsidRDefault="000E3644">
            <w:pPr>
              <w:adjustRightInd w:val="0"/>
              <w:snapToGrid w:val="0"/>
              <w:spacing w:line="360" w:lineRule="exact"/>
              <w:jc w:val="center"/>
              <w:outlineLvl w:val="0"/>
              <w:rPr>
                <w:b/>
                <w:color w:val="000000"/>
                <w:kern w:val="0"/>
                <w:szCs w:val="21"/>
              </w:rPr>
            </w:pPr>
            <w:r w:rsidRPr="000B1072">
              <w:rPr>
                <w:rFonts w:ascii="宋体" w:hAnsi="宋体" w:hint="eastAsia"/>
                <w:b/>
                <w:color w:val="000000"/>
                <w:kern w:val="0"/>
                <w:szCs w:val="21"/>
              </w:rPr>
              <w:t>（如存在该情形）</w:t>
            </w:r>
          </w:p>
        </w:tc>
      </w:tr>
      <w:tr w:rsidR="00FB108F" w:rsidRPr="000B1072">
        <w:trPr>
          <w:jc w:val="center"/>
        </w:trPr>
        <w:tc>
          <w:tcPr>
            <w:tcW w:w="10785" w:type="dxa"/>
            <w:gridSpan w:val="5"/>
            <w:vAlign w:val="center"/>
          </w:tcPr>
          <w:p w:rsidR="00FB108F" w:rsidRPr="000B1072" w:rsidRDefault="000E3644">
            <w:pPr>
              <w:adjustRightInd w:val="0"/>
              <w:snapToGrid w:val="0"/>
              <w:spacing w:line="360" w:lineRule="exact"/>
              <w:ind w:firstLine="426"/>
              <w:jc w:val="center"/>
              <w:outlineLvl w:val="0"/>
              <w:rPr>
                <w:b/>
                <w:color w:val="000000"/>
                <w:kern w:val="0"/>
                <w:szCs w:val="21"/>
              </w:rPr>
            </w:pPr>
            <w:r w:rsidRPr="000B1072">
              <w:rPr>
                <w:rFonts w:ascii="宋体" w:hAnsi="宋体" w:hint="eastAsia"/>
                <w:b/>
                <w:color w:val="000000"/>
                <w:kern w:val="0"/>
                <w:szCs w:val="21"/>
              </w:rPr>
              <w:t>一、公司治理与组织机构</w:t>
            </w: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bCs/>
                <w:color w:val="000000"/>
                <w:kern w:val="0"/>
                <w:szCs w:val="21"/>
              </w:rPr>
              <w:t>1-1</w:t>
            </w:r>
          </w:p>
        </w:tc>
        <w:tc>
          <w:tcPr>
            <w:tcW w:w="4111" w:type="dxa"/>
            <w:vAlign w:val="center"/>
          </w:tcPr>
          <w:p w:rsidR="00FB108F" w:rsidRPr="000B1072" w:rsidRDefault="00A47233" w:rsidP="00736988">
            <w:pPr>
              <w:adjustRightInd w:val="0"/>
              <w:snapToGrid w:val="0"/>
              <w:spacing w:line="360" w:lineRule="exact"/>
              <w:outlineLvl w:val="0"/>
              <w:rPr>
                <w:bCs/>
                <w:color w:val="000000"/>
                <w:kern w:val="0"/>
                <w:szCs w:val="21"/>
              </w:rPr>
            </w:pPr>
            <w:r>
              <w:rPr>
                <w:rFonts w:ascii="宋体" w:hAnsi="宋体" w:hint="eastAsia"/>
                <w:bCs/>
                <w:color w:val="000000"/>
                <w:kern w:val="0"/>
                <w:szCs w:val="21"/>
              </w:rPr>
              <w:t>报告期内</w:t>
            </w:r>
            <w:r w:rsidR="000E3644" w:rsidRPr="000B1072">
              <w:rPr>
                <w:rFonts w:ascii="宋体" w:hAnsi="宋体" w:hint="eastAsia"/>
                <w:bCs/>
                <w:color w:val="000000"/>
                <w:kern w:val="0"/>
                <w:szCs w:val="21"/>
              </w:rPr>
              <w:t>发行人控股股东、实际控制人、董事、监事、高级管理人员涉嫌违法违规被有权机关调查、采取强制措施或者存在严重失信行为</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第六条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bCs/>
                <w:color w:val="000000"/>
                <w:kern w:val="0"/>
                <w:szCs w:val="21"/>
              </w:rPr>
              <w:t>1-2</w:t>
            </w:r>
          </w:p>
        </w:tc>
        <w:tc>
          <w:tcPr>
            <w:tcW w:w="4111" w:type="dxa"/>
            <w:vAlign w:val="center"/>
          </w:tcPr>
          <w:p w:rsidR="00FB108F" w:rsidRPr="000B1072" w:rsidRDefault="000E3644">
            <w:pPr>
              <w:adjustRightInd w:val="0"/>
              <w:snapToGrid w:val="0"/>
              <w:spacing w:line="360" w:lineRule="exact"/>
              <w:outlineLvl w:val="0"/>
              <w:rPr>
                <w:bCs/>
                <w:color w:val="000000"/>
                <w:kern w:val="0"/>
                <w:szCs w:val="21"/>
              </w:rPr>
            </w:pPr>
            <w:r w:rsidRPr="000B1072">
              <w:rPr>
                <w:rFonts w:ascii="宋体" w:hAnsi="宋体" w:hint="eastAsia"/>
                <w:bCs/>
                <w:color w:val="000000"/>
                <w:kern w:val="0"/>
                <w:szCs w:val="21"/>
              </w:rPr>
              <w:t>发行人控股股东、实际控制人存在债务违约等严重负面情形</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第六条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bCs/>
                <w:color w:val="000000"/>
                <w:kern w:val="0"/>
                <w:szCs w:val="21"/>
              </w:rPr>
              <w:t>1-3</w:t>
            </w:r>
          </w:p>
        </w:tc>
        <w:tc>
          <w:tcPr>
            <w:tcW w:w="4111" w:type="dxa"/>
            <w:vAlign w:val="center"/>
          </w:tcPr>
          <w:p w:rsidR="00FB108F" w:rsidRPr="000B1072" w:rsidRDefault="00A47233" w:rsidP="00736988">
            <w:pPr>
              <w:adjustRightInd w:val="0"/>
              <w:snapToGrid w:val="0"/>
              <w:spacing w:line="360" w:lineRule="exact"/>
              <w:outlineLvl w:val="0"/>
              <w:rPr>
                <w:bCs/>
                <w:color w:val="000000"/>
                <w:kern w:val="0"/>
                <w:szCs w:val="21"/>
              </w:rPr>
            </w:pPr>
            <w:r>
              <w:rPr>
                <w:rFonts w:ascii="宋体" w:hAnsi="宋体" w:hint="eastAsia"/>
                <w:bCs/>
                <w:color w:val="000000"/>
                <w:kern w:val="0"/>
                <w:szCs w:val="21"/>
              </w:rPr>
              <w:t>报告期内</w:t>
            </w:r>
            <w:r w:rsidR="000E3644" w:rsidRPr="000B1072">
              <w:rPr>
                <w:rFonts w:ascii="宋体" w:hAnsi="宋体" w:hint="eastAsia"/>
                <w:bCs/>
                <w:color w:val="000000"/>
                <w:kern w:val="0"/>
                <w:szCs w:val="21"/>
              </w:rPr>
              <w:t>发行人、发行人控股股东或者实际控制人存在重大负面舆情</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第七条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bCs/>
                <w:color w:val="000000"/>
                <w:kern w:val="0"/>
                <w:szCs w:val="21"/>
              </w:rPr>
              <w:t>1-4</w:t>
            </w:r>
          </w:p>
        </w:tc>
        <w:tc>
          <w:tcPr>
            <w:tcW w:w="4111" w:type="dxa"/>
            <w:vAlign w:val="center"/>
          </w:tcPr>
          <w:p w:rsidR="00FB108F" w:rsidRPr="000B1072" w:rsidRDefault="000E3644">
            <w:pPr>
              <w:adjustRightInd w:val="0"/>
              <w:snapToGrid w:val="0"/>
              <w:spacing w:line="360" w:lineRule="exact"/>
              <w:outlineLvl w:val="0"/>
              <w:rPr>
                <w:bCs/>
                <w:color w:val="000000"/>
                <w:kern w:val="0"/>
                <w:szCs w:val="21"/>
              </w:rPr>
            </w:pPr>
            <w:r w:rsidRPr="000B1072">
              <w:rPr>
                <w:rFonts w:ascii="宋体" w:hAnsi="宋体" w:hint="eastAsia"/>
                <w:bCs/>
                <w:color w:val="000000"/>
                <w:kern w:val="0"/>
                <w:szCs w:val="21"/>
              </w:rPr>
              <w:t>发行人控股股东或者实际控制人可支配的发行人股权存在高比例质押、冻结或者发生诉讼、仲裁等事项，可能造成发行人股权结构不稳定</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第八条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bCs/>
                <w:color w:val="000000"/>
                <w:kern w:val="0"/>
                <w:szCs w:val="21"/>
              </w:rPr>
              <w:t>1-5</w:t>
            </w:r>
          </w:p>
        </w:tc>
        <w:tc>
          <w:tcPr>
            <w:tcW w:w="4111" w:type="dxa"/>
            <w:vAlign w:val="center"/>
          </w:tcPr>
          <w:p w:rsidR="00FB108F" w:rsidRPr="000B1072" w:rsidRDefault="000E3644">
            <w:pPr>
              <w:adjustRightInd w:val="0"/>
              <w:snapToGrid w:val="0"/>
              <w:spacing w:line="360" w:lineRule="exact"/>
              <w:outlineLvl w:val="0"/>
              <w:rPr>
                <w:bCs/>
                <w:color w:val="000000"/>
                <w:kern w:val="0"/>
                <w:szCs w:val="21"/>
              </w:rPr>
            </w:pPr>
            <w:r w:rsidRPr="000B1072">
              <w:rPr>
                <w:rFonts w:ascii="宋体" w:hAnsi="宋体" w:hint="eastAsia"/>
                <w:bCs/>
                <w:color w:val="000000"/>
                <w:kern w:val="0"/>
                <w:szCs w:val="21"/>
              </w:rPr>
              <w:t>报告期内发行人董事、高级管理人员变动频繁或者变动比例较大</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第九条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bCs/>
                <w:color w:val="000000"/>
                <w:kern w:val="0"/>
                <w:szCs w:val="21"/>
              </w:rPr>
              <w:t>1-6</w:t>
            </w:r>
          </w:p>
        </w:tc>
        <w:tc>
          <w:tcPr>
            <w:tcW w:w="4111" w:type="dxa"/>
            <w:vAlign w:val="center"/>
          </w:tcPr>
          <w:p w:rsidR="00FB108F" w:rsidRPr="000B1072" w:rsidRDefault="000E3644">
            <w:pPr>
              <w:adjustRightInd w:val="0"/>
              <w:snapToGrid w:val="0"/>
              <w:spacing w:line="360" w:lineRule="exact"/>
              <w:outlineLvl w:val="0"/>
              <w:rPr>
                <w:bCs/>
                <w:color w:val="000000"/>
                <w:kern w:val="0"/>
                <w:szCs w:val="21"/>
              </w:rPr>
            </w:pPr>
            <w:r w:rsidRPr="000B1072">
              <w:rPr>
                <w:rFonts w:ascii="宋体" w:hAnsi="宋体" w:hint="eastAsia"/>
                <w:bCs/>
                <w:color w:val="000000"/>
                <w:kern w:val="0"/>
                <w:szCs w:val="21"/>
              </w:rPr>
              <w:t>发行人非经营性往来占款和资金拆借余额较高</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第十条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bCs/>
                <w:color w:val="000000"/>
                <w:kern w:val="0"/>
                <w:szCs w:val="21"/>
              </w:rPr>
              <w:t>1-7</w:t>
            </w:r>
          </w:p>
        </w:tc>
        <w:tc>
          <w:tcPr>
            <w:tcW w:w="4111" w:type="dxa"/>
            <w:vAlign w:val="center"/>
          </w:tcPr>
          <w:p w:rsidR="00FB108F" w:rsidRPr="000B1072" w:rsidRDefault="000E3644">
            <w:pPr>
              <w:adjustRightInd w:val="0"/>
              <w:snapToGrid w:val="0"/>
              <w:spacing w:line="360" w:lineRule="exact"/>
              <w:outlineLvl w:val="0"/>
              <w:rPr>
                <w:bCs/>
                <w:color w:val="000000"/>
                <w:kern w:val="0"/>
                <w:szCs w:val="21"/>
              </w:rPr>
            </w:pPr>
            <w:r w:rsidRPr="000B1072">
              <w:rPr>
                <w:rFonts w:ascii="宋体" w:hAnsi="宋体" w:hint="eastAsia"/>
                <w:bCs/>
                <w:color w:val="000000"/>
                <w:kern w:val="0"/>
                <w:szCs w:val="21"/>
              </w:rPr>
              <w:t>发行人存在大额对外担保</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第十一条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bCs/>
                <w:color w:val="000000"/>
                <w:kern w:val="0"/>
                <w:szCs w:val="21"/>
              </w:rPr>
              <w:t>1-8</w:t>
            </w:r>
          </w:p>
        </w:tc>
        <w:tc>
          <w:tcPr>
            <w:tcW w:w="4111" w:type="dxa"/>
            <w:vAlign w:val="center"/>
          </w:tcPr>
          <w:p w:rsidR="00FB108F" w:rsidRPr="000B1072" w:rsidRDefault="000E3644">
            <w:pPr>
              <w:adjustRightInd w:val="0"/>
              <w:snapToGrid w:val="0"/>
              <w:spacing w:line="360" w:lineRule="exact"/>
              <w:outlineLvl w:val="0"/>
              <w:rPr>
                <w:bCs/>
                <w:color w:val="000000"/>
                <w:kern w:val="0"/>
                <w:szCs w:val="21"/>
              </w:rPr>
            </w:pPr>
            <w:r w:rsidRPr="000B1072">
              <w:rPr>
                <w:rFonts w:ascii="宋体" w:hAnsi="宋体" w:hint="eastAsia"/>
                <w:bCs/>
                <w:color w:val="000000"/>
                <w:kern w:val="0"/>
                <w:szCs w:val="21"/>
              </w:rPr>
              <w:t>发行人资金受到集中归集、统一管理</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第十二条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r w:rsidR="00FB108F" w:rsidRPr="000B1072">
        <w:trPr>
          <w:jc w:val="center"/>
        </w:trPr>
        <w:tc>
          <w:tcPr>
            <w:tcW w:w="10785" w:type="dxa"/>
            <w:gridSpan w:val="5"/>
            <w:vAlign w:val="center"/>
          </w:tcPr>
          <w:p w:rsidR="00FB108F" w:rsidRPr="000B1072" w:rsidRDefault="000E3644">
            <w:pPr>
              <w:adjustRightInd w:val="0"/>
              <w:snapToGrid w:val="0"/>
              <w:spacing w:line="360" w:lineRule="exact"/>
              <w:ind w:firstLine="426"/>
              <w:jc w:val="center"/>
              <w:outlineLvl w:val="0"/>
              <w:rPr>
                <w:b/>
                <w:color w:val="000000"/>
                <w:kern w:val="0"/>
                <w:szCs w:val="21"/>
              </w:rPr>
            </w:pPr>
            <w:r w:rsidRPr="000B1072">
              <w:rPr>
                <w:rFonts w:ascii="宋体" w:hAnsi="宋体" w:hint="eastAsia"/>
                <w:b/>
                <w:color w:val="000000"/>
                <w:kern w:val="0"/>
                <w:szCs w:val="21"/>
              </w:rPr>
              <w:t>二、财务信息披露</w:t>
            </w: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bCs/>
                <w:color w:val="000000"/>
                <w:kern w:val="0"/>
                <w:szCs w:val="21"/>
              </w:rPr>
              <w:t>2-1</w:t>
            </w:r>
          </w:p>
        </w:tc>
        <w:tc>
          <w:tcPr>
            <w:tcW w:w="4111" w:type="dxa"/>
            <w:vAlign w:val="center"/>
          </w:tcPr>
          <w:p w:rsidR="00FB108F" w:rsidRPr="000B1072" w:rsidRDefault="000E3644">
            <w:pPr>
              <w:adjustRightInd w:val="0"/>
              <w:snapToGrid w:val="0"/>
              <w:spacing w:line="360" w:lineRule="exact"/>
              <w:outlineLvl w:val="0"/>
              <w:rPr>
                <w:bCs/>
                <w:color w:val="000000"/>
                <w:kern w:val="0"/>
                <w:szCs w:val="21"/>
              </w:rPr>
            </w:pPr>
            <w:r w:rsidRPr="000B1072">
              <w:rPr>
                <w:rFonts w:ascii="宋体" w:hAnsi="宋体" w:hint="eastAsia"/>
                <w:bCs/>
                <w:color w:val="000000"/>
                <w:kern w:val="0"/>
                <w:szCs w:val="21"/>
              </w:rPr>
              <w:t>发行人债务结构不均衡</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第十三条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bCs/>
                <w:color w:val="000000"/>
                <w:kern w:val="0"/>
                <w:szCs w:val="21"/>
              </w:rPr>
              <w:t>2-2</w:t>
            </w:r>
          </w:p>
        </w:tc>
        <w:tc>
          <w:tcPr>
            <w:tcW w:w="4111" w:type="dxa"/>
            <w:vAlign w:val="center"/>
          </w:tcPr>
          <w:p w:rsidR="00FB108F" w:rsidRPr="000B1072" w:rsidRDefault="00A47233">
            <w:pPr>
              <w:adjustRightInd w:val="0"/>
              <w:snapToGrid w:val="0"/>
              <w:spacing w:line="360" w:lineRule="exact"/>
              <w:outlineLvl w:val="0"/>
              <w:rPr>
                <w:bCs/>
                <w:color w:val="000000"/>
                <w:kern w:val="0"/>
                <w:szCs w:val="21"/>
              </w:rPr>
            </w:pPr>
            <w:r>
              <w:rPr>
                <w:rFonts w:ascii="宋体" w:hAnsi="宋体" w:hint="eastAsia"/>
                <w:bCs/>
                <w:color w:val="000000"/>
                <w:kern w:val="0"/>
                <w:szCs w:val="21"/>
              </w:rPr>
              <w:t>发行人</w:t>
            </w:r>
            <w:r w:rsidR="000E3644" w:rsidRPr="000B1072">
              <w:rPr>
                <w:rFonts w:ascii="宋体" w:hAnsi="宋体" w:hint="eastAsia"/>
                <w:bCs/>
                <w:color w:val="000000"/>
                <w:kern w:val="0"/>
                <w:szCs w:val="21"/>
              </w:rPr>
              <w:t>报告期内有息债务结构大幅变化</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第十四条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bCs/>
                <w:color w:val="000000"/>
                <w:kern w:val="0"/>
                <w:szCs w:val="21"/>
              </w:rPr>
              <w:t>2-3</w:t>
            </w:r>
          </w:p>
        </w:tc>
        <w:tc>
          <w:tcPr>
            <w:tcW w:w="4111" w:type="dxa"/>
            <w:vAlign w:val="center"/>
          </w:tcPr>
          <w:p w:rsidR="00FB108F" w:rsidRPr="000B1072" w:rsidRDefault="000E3644">
            <w:pPr>
              <w:adjustRightInd w:val="0"/>
              <w:snapToGrid w:val="0"/>
              <w:spacing w:line="360" w:lineRule="exact"/>
              <w:outlineLvl w:val="0"/>
              <w:rPr>
                <w:bCs/>
                <w:color w:val="000000"/>
                <w:kern w:val="0"/>
                <w:szCs w:val="21"/>
              </w:rPr>
            </w:pPr>
            <w:r w:rsidRPr="000B1072">
              <w:rPr>
                <w:rFonts w:ascii="宋体" w:hAnsi="宋体" w:hint="eastAsia"/>
                <w:bCs/>
                <w:color w:val="000000"/>
                <w:kern w:val="0"/>
                <w:szCs w:val="21"/>
              </w:rPr>
              <w:t>发行人债务短期化</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第十五条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bCs/>
                <w:color w:val="000000"/>
                <w:kern w:val="0"/>
                <w:szCs w:val="21"/>
              </w:rPr>
              <w:t>2-4</w:t>
            </w:r>
          </w:p>
        </w:tc>
        <w:tc>
          <w:tcPr>
            <w:tcW w:w="4111" w:type="dxa"/>
            <w:vAlign w:val="center"/>
          </w:tcPr>
          <w:p w:rsidR="00FB108F" w:rsidRPr="000B1072" w:rsidRDefault="000E3644">
            <w:pPr>
              <w:adjustRightInd w:val="0"/>
              <w:snapToGrid w:val="0"/>
              <w:spacing w:line="360" w:lineRule="exact"/>
              <w:outlineLvl w:val="0"/>
              <w:rPr>
                <w:bCs/>
                <w:color w:val="000000"/>
                <w:kern w:val="0"/>
                <w:szCs w:val="21"/>
              </w:rPr>
            </w:pPr>
            <w:r w:rsidRPr="000B1072">
              <w:rPr>
                <w:rFonts w:ascii="宋体" w:hAnsi="宋体" w:hint="eastAsia"/>
                <w:bCs/>
                <w:color w:val="000000"/>
                <w:kern w:val="0"/>
                <w:szCs w:val="21"/>
              </w:rPr>
              <w:t>发行人或者其所属企业集团合并报表范围内公司债券余额较大且存在显著债务集中兑付压力</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第十六条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bCs/>
                <w:color w:val="000000"/>
                <w:kern w:val="0"/>
                <w:szCs w:val="21"/>
              </w:rPr>
              <w:t>2-5</w:t>
            </w:r>
          </w:p>
        </w:tc>
        <w:tc>
          <w:tcPr>
            <w:tcW w:w="4111" w:type="dxa"/>
            <w:vAlign w:val="center"/>
          </w:tcPr>
          <w:p w:rsidR="00FB108F" w:rsidRPr="000B1072" w:rsidRDefault="000E3644">
            <w:pPr>
              <w:adjustRightInd w:val="0"/>
              <w:snapToGrid w:val="0"/>
              <w:spacing w:line="360" w:lineRule="exact"/>
              <w:outlineLvl w:val="0"/>
              <w:rPr>
                <w:bCs/>
                <w:color w:val="000000"/>
                <w:kern w:val="0"/>
                <w:szCs w:val="21"/>
              </w:rPr>
            </w:pPr>
            <w:r w:rsidRPr="000B1072">
              <w:rPr>
                <w:rFonts w:ascii="宋体" w:hAnsi="宋体" w:hint="eastAsia"/>
                <w:bCs/>
                <w:color w:val="000000"/>
                <w:kern w:val="0"/>
                <w:szCs w:val="21"/>
              </w:rPr>
              <w:t>发行人非公开发行公司债券余额占净资产比例达</w:t>
            </w:r>
            <w:r w:rsidRPr="000B1072">
              <w:rPr>
                <w:rFonts w:ascii="宋体" w:hAnsi="宋体"/>
                <w:bCs/>
                <w:color w:val="000000"/>
                <w:kern w:val="0"/>
                <w:szCs w:val="21"/>
              </w:rPr>
              <w:t>40%</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第十七条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bCs/>
                <w:color w:val="000000"/>
                <w:kern w:val="0"/>
                <w:szCs w:val="21"/>
              </w:rPr>
              <w:t>2-6</w:t>
            </w:r>
          </w:p>
        </w:tc>
        <w:tc>
          <w:tcPr>
            <w:tcW w:w="4111" w:type="dxa"/>
            <w:vAlign w:val="center"/>
          </w:tcPr>
          <w:p w:rsidR="00FB108F" w:rsidRPr="000B1072" w:rsidRDefault="000E3644">
            <w:pPr>
              <w:adjustRightInd w:val="0"/>
              <w:snapToGrid w:val="0"/>
              <w:spacing w:line="360" w:lineRule="exact"/>
              <w:outlineLvl w:val="0"/>
              <w:rPr>
                <w:bCs/>
                <w:color w:val="000000"/>
                <w:kern w:val="0"/>
                <w:szCs w:val="21"/>
              </w:rPr>
            </w:pPr>
            <w:r w:rsidRPr="000B1072">
              <w:rPr>
                <w:rFonts w:ascii="宋体" w:hAnsi="宋体" w:hint="eastAsia"/>
                <w:bCs/>
                <w:color w:val="000000"/>
                <w:kern w:val="0"/>
                <w:szCs w:val="21"/>
              </w:rPr>
              <w:t>发行人存在过度融资情形</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第十八条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bCs/>
                <w:color w:val="000000"/>
                <w:kern w:val="0"/>
                <w:szCs w:val="21"/>
              </w:rPr>
              <w:t>2-7</w:t>
            </w:r>
          </w:p>
        </w:tc>
        <w:tc>
          <w:tcPr>
            <w:tcW w:w="4111" w:type="dxa"/>
            <w:vAlign w:val="center"/>
          </w:tcPr>
          <w:p w:rsidR="00FB108F" w:rsidRPr="000B1072" w:rsidRDefault="000E3644">
            <w:pPr>
              <w:adjustRightInd w:val="0"/>
              <w:snapToGrid w:val="0"/>
              <w:spacing w:line="360" w:lineRule="exact"/>
              <w:outlineLvl w:val="0"/>
              <w:rPr>
                <w:bCs/>
                <w:color w:val="000000"/>
                <w:kern w:val="0"/>
                <w:szCs w:val="21"/>
              </w:rPr>
            </w:pPr>
            <w:r w:rsidRPr="000B1072">
              <w:rPr>
                <w:rFonts w:ascii="宋体" w:hAnsi="宋体" w:hint="eastAsia"/>
                <w:bCs/>
                <w:color w:val="000000"/>
                <w:kern w:val="0"/>
                <w:szCs w:val="21"/>
              </w:rPr>
              <w:t>发行人非流动资产占比显著高于同行业可比企业</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第十九条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bCs/>
                <w:color w:val="000000"/>
                <w:kern w:val="0"/>
                <w:szCs w:val="21"/>
              </w:rPr>
              <w:t>2-8</w:t>
            </w:r>
          </w:p>
        </w:tc>
        <w:tc>
          <w:tcPr>
            <w:tcW w:w="4111" w:type="dxa"/>
            <w:vAlign w:val="center"/>
          </w:tcPr>
          <w:p w:rsidR="00FB108F" w:rsidRPr="000B1072" w:rsidRDefault="000E3644">
            <w:pPr>
              <w:adjustRightInd w:val="0"/>
              <w:snapToGrid w:val="0"/>
              <w:spacing w:line="360" w:lineRule="exact"/>
              <w:outlineLvl w:val="0"/>
              <w:rPr>
                <w:bCs/>
                <w:color w:val="000000"/>
                <w:kern w:val="0"/>
                <w:szCs w:val="21"/>
              </w:rPr>
            </w:pPr>
            <w:r w:rsidRPr="000B1072">
              <w:rPr>
                <w:rFonts w:ascii="宋体" w:hAnsi="宋体" w:hint="eastAsia"/>
                <w:bCs/>
                <w:color w:val="000000"/>
                <w:kern w:val="0"/>
                <w:szCs w:val="21"/>
              </w:rPr>
              <w:t>发行人最近一期末存在大额资产权利受限的情形</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第二十条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bCs/>
                <w:color w:val="000000"/>
                <w:kern w:val="0"/>
                <w:szCs w:val="21"/>
              </w:rPr>
              <w:t>2-9</w:t>
            </w:r>
          </w:p>
        </w:tc>
        <w:tc>
          <w:tcPr>
            <w:tcW w:w="4111" w:type="dxa"/>
            <w:vAlign w:val="center"/>
          </w:tcPr>
          <w:p w:rsidR="00FB108F" w:rsidRPr="000B1072" w:rsidRDefault="000E3644">
            <w:pPr>
              <w:adjustRightInd w:val="0"/>
              <w:snapToGrid w:val="0"/>
              <w:spacing w:line="360" w:lineRule="exact"/>
              <w:outlineLvl w:val="0"/>
              <w:rPr>
                <w:bCs/>
                <w:color w:val="000000"/>
                <w:kern w:val="0"/>
                <w:szCs w:val="21"/>
              </w:rPr>
            </w:pPr>
            <w:r w:rsidRPr="000B1072">
              <w:rPr>
                <w:rFonts w:ascii="宋体" w:hAnsi="宋体" w:hint="eastAsia"/>
                <w:bCs/>
                <w:color w:val="000000"/>
                <w:kern w:val="0"/>
                <w:szCs w:val="21"/>
              </w:rPr>
              <w:t>发行人报告期内现金流量情况异常</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第二十一条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bCs/>
                <w:color w:val="000000"/>
                <w:kern w:val="0"/>
                <w:szCs w:val="21"/>
              </w:rPr>
              <w:lastRenderedPageBreak/>
              <w:t>2-10</w:t>
            </w:r>
          </w:p>
        </w:tc>
        <w:tc>
          <w:tcPr>
            <w:tcW w:w="4111" w:type="dxa"/>
            <w:vAlign w:val="center"/>
          </w:tcPr>
          <w:p w:rsidR="00FB108F" w:rsidRPr="000B1072" w:rsidRDefault="000E3644">
            <w:pPr>
              <w:adjustRightInd w:val="0"/>
              <w:snapToGrid w:val="0"/>
              <w:spacing w:line="360" w:lineRule="exact"/>
              <w:outlineLvl w:val="0"/>
              <w:rPr>
                <w:bCs/>
                <w:color w:val="000000"/>
                <w:kern w:val="0"/>
                <w:szCs w:val="21"/>
              </w:rPr>
            </w:pPr>
            <w:r w:rsidRPr="000B1072">
              <w:rPr>
                <w:rFonts w:ascii="宋体" w:hAnsi="宋体" w:hint="eastAsia"/>
                <w:bCs/>
                <w:color w:val="000000"/>
                <w:kern w:val="0"/>
                <w:szCs w:val="21"/>
              </w:rPr>
              <w:t>发行人报告期内经营活动现金流缺乏可持续性</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第二十二条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bCs/>
                <w:color w:val="000000"/>
                <w:kern w:val="0"/>
                <w:szCs w:val="21"/>
              </w:rPr>
              <w:t>2-11</w:t>
            </w:r>
          </w:p>
        </w:tc>
        <w:tc>
          <w:tcPr>
            <w:tcW w:w="4111" w:type="dxa"/>
            <w:vAlign w:val="center"/>
          </w:tcPr>
          <w:p w:rsidR="00FB108F" w:rsidRPr="000B1072" w:rsidRDefault="000E3644">
            <w:pPr>
              <w:adjustRightInd w:val="0"/>
              <w:snapToGrid w:val="0"/>
              <w:spacing w:line="360" w:lineRule="exact"/>
              <w:outlineLvl w:val="0"/>
              <w:rPr>
                <w:bCs/>
                <w:color w:val="000000"/>
                <w:kern w:val="0"/>
                <w:szCs w:val="21"/>
              </w:rPr>
            </w:pPr>
            <w:r w:rsidRPr="000B1072">
              <w:rPr>
                <w:rFonts w:ascii="宋体" w:hAnsi="宋体" w:hint="eastAsia"/>
                <w:bCs/>
                <w:color w:val="000000"/>
                <w:kern w:val="0"/>
                <w:szCs w:val="21"/>
              </w:rPr>
              <w:t>发行人报告期内投资活动现金流出较大</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第二十三条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bCs/>
                <w:color w:val="000000"/>
                <w:kern w:val="0"/>
                <w:szCs w:val="21"/>
              </w:rPr>
              <w:t>2-12</w:t>
            </w:r>
          </w:p>
        </w:tc>
        <w:tc>
          <w:tcPr>
            <w:tcW w:w="4111" w:type="dxa"/>
            <w:vAlign w:val="center"/>
          </w:tcPr>
          <w:p w:rsidR="00FB108F" w:rsidRPr="000B1072" w:rsidRDefault="000E3644">
            <w:pPr>
              <w:adjustRightInd w:val="0"/>
              <w:snapToGrid w:val="0"/>
              <w:spacing w:line="360" w:lineRule="exact"/>
              <w:outlineLvl w:val="0"/>
              <w:rPr>
                <w:bCs/>
                <w:color w:val="000000"/>
                <w:kern w:val="0"/>
                <w:szCs w:val="21"/>
              </w:rPr>
            </w:pPr>
            <w:r w:rsidRPr="000B1072">
              <w:rPr>
                <w:rFonts w:ascii="宋体" w:hAnsi="宋体" w:hint="eastAsia"/>
                <w:bCs/>
                <w:color w:val="000000"/>
                <w:kern w:val="0"/>
                <w:szCs w:val="21"/>
              </w:rPr>
              <w:t>发行人报告期内筹资活动现金流缺乏稳定性</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第二十四条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bCs/>
                <w:color w:val="000000"/>
                <w:kern w:val="0"/>
                <w:szCs w:val="21"/>
              </w:rPr>
              <w:t>2-13</w:t>
            </w:r>
          </w:p>
        </w:tc>
        <w:tc>
          <w:tcPr>
            <w:tcW w:w="4111" w:type="dxa"/>
            <w:vAlign w:val="center"/>
          </w:tcPr>
          <w:p w:rsidR="00FB108F" w:rsidRPr="000B1072" w:rsidRDefault="000E3644">
            <w:pPr>
              <w:adjustRightInd w:val="0"/>
              <w:snapToGrid w:val="0"/>
              <w:spacing w:line="360" w:lineRule="exact"/>
              <w:outlineLvl w:val="0"/>
              <w:rPr>
                <w:bCs/>
                <w:color w:val="000000"/>
                <w:kern w:val="0"/>
                <w:szCs w:val="21"/>
              </w:rPr>
            </w:pPr>
            <w:r w:rsidRPr="000B1072">
              <w:rPr>
                <w:rFonts w:ascii="宋体" w:hAnsi="宋体" w:hint="eastAsia"/>
                <w:bCs/>
                <w:color w:val="000000"/>
                <w:kern w:val="0"/>
                <w:szCs w:val="21"/>
              </w:rPr>
              <w:t>发行人报告期内盈利能力缺乏持续性</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第二十五条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bCs/>
                <w:color w:val="000000"/>
                <w:kern w:val="0"/>
                <w:szCs w:val="21"/>
              </w:rPr>
              <w:t>2-14</w:t>
            </w:r>
          </w:p>
        </w:tc>
        <w:tc>
          <w:tcPr>
            <w:tcW w:w="4111" w:type="dxa"/>
            <w:vAlign w:val="center"/>
          </w:tcPr>
          <w:p w:rsidR="00FB108F" w:rsidRPr="000B1072" w:rsidRDefault="000E3644">
            <w:pPr>
              <w:adjustRightInd w:val="0"/>
              <w:snapToGrid w:val="0"/>
              <w:spacing w:line="360" w:lineRule="exact"/>
              <w:outlineLvl w:val="0"/>
              <w:rPr>
                <w:bCs/>
                <w:color w:val="000000"/>
                <w:kern w:val="0"/>
                <w:szCs w:val="21"/>
              </w:rPr>
            </w:pPr>
            <w:r w:rsidRPr="000B1072">
              <w:rPr>
                <w:rFonts w:ascii="宋体" w:hAnsi="宋体" w:hint="eastAsia"/>
                <w:bCs/>
                <w:color w:val="000000"/>
                <w:kern w:val="0"/>
                <w:szCs w:val="21"/>
              </w:rPr>
              <w:t>发行人报告期内净利润较</w:t>
            </w:r>
            <w:r w:rsidR="00A47233">
              <w:rPr>
                <w:rFonts w:ascii="宋体" w:hAnsi="宋体" w:hint="eastAsia"/>
                <w:bCs/>
                <w:color w:val="000000"/>
                <w:kern w:val="0"/>
                <w:szCs w:val="21"/>
              </w:rPr>
              <w:t>为</w:t>
            </w:r>
            <w:r w:rsidRPr="000B1072">
              <w:rPr>
                <w:rFonts w:ascii="宋体" w:hAnsi="宋体" w:hint="eastAsia"/>
                <w:bCs/>
                <w:color w:val="000000"/>
                <w:kern w:val="0"/>
                <w:szCs w:val="21"/>
              </w:rPr>
              <w:t>依赖大额非经常性损益</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第二十六条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bCs/>
                <w:color w:val="000000"/>
                <w:kern w:val="0"/>
                <w:szCs w:val="21"/>
              </w:rPr>
              <w:t>2-15</w:t>
            </w:r>
          </w:p>
        </w:tc>
        <w:tc>
          <w:tcPr>
            <w:tcW w:w="4111" w:type="dxa"/>
            <w:vAlign w:val="center"/>
          </w:tcPr>
          <w:p w:rsidR="00FB108F" w:rsidRPr="000B1072" w:rsidRDefault="000E3644">
            <w:pPr>
              <w:adjustRightInd w:val="0"/>
              <w:snapToGrid w:val="0"/>
              <w:spacing w:line="360" w:lineRule="exact"/>
              <w:outlineLvl w:val="0"/>
              <w:rPr>
                <w:bCs/>
                <w:color w:val="000000"/>
                <w:kern w:val="0"/>
                <w:szCs w:val="21"/>
              </w:rPr>
            </w:pPr>
            <w:r w:rsidRPr="000B1072">
              <w:rPr>
                <w:rFonts w:ascii="宋体" w:hAnsi="宋体" w:hint="eastAsia"/>
                <w:bCs/>
                <w:color w:val="000000"/>
                <w:kern w:val="0"/>
                <w:szCs w:val="21"/>
              </w:rPr>
              <w:t>发行人存在“存贷双高”等财务指标明显异常、财务信息不透明的特征</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第二十七条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r w:rsidR="00FB108F" w:rsidRPr="000B1072">
        <w:trPr>
          <w:jc w:val="center"/>
        </w:trPr>
        <w:tc>
          <w:tcPr>
            <w:tcW w:w="10785" w:type="dxa"/>
            <w:gridSpan w:val="5"/>
            <w:vAlign w:val="center"/>
          </w:tcPr>
          <w:p w:rsidR="00FB108F" w:rsidRPr="000B1072" w:rsidRDefault="000E3644">
            <w:pPr>
              <w:adjustRightInd w:val="0"/>
              <w:snapToGrid w:val="0"/>
              <w:spacing w:line="360" w:lineRule="exact"/>
              <w:ind w:firstLine="426"/>
              <w:jc w:val="center"/>
              <w:outlineLvl w:val="0"/>
              <w:rPr>
                <w:b/>
                <w:color w:val="000000"/>
                <w:kern w:val="0"/>
                <w:szCs w:val="21"/>
              </w:rPr>
            </w:pPr>
            <w:r w:rsidRPr="000B1072">
              <w:rPr>
                <w:rFonts w:ascii="宋体" w:hAnsi="宋体" w:hint="eastAsia"/>
                <w:b/>
                <w:color w:val="000000"/>
                <w:kern w:val="0"/>
                <w:szCs w:val="21"/>
              </w:rPr>
              <w:t>三、特定情形发行人</w:t>
            </w: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bCs/>
                <w:color w:val="000000"/>
                <w:kern w:val="0"/>
                <w:szCs w:val="21"/>
              </w:rPr>
              <w:t>3-1</w:t>
            </w:r>
          </w:p>
        </w:tc>
        <w:tc>
          <w:tcPr>
            <w:tcW w:w="4111" w:type="dxa"/>
            <w:vAlign w:val="center"/>
          </w:tcPr>
          <w:p w:rsidR="00FB108F" w:rsidRPr="000B1072" w:rsidRDefault="000E3644">
            <w:pPr>
              <w:adjustRightInd w:val="0"/>
              <w:snapToGrid w:val="0"/>
              <w:spacing w:line="360" w:lineRule="exact"/>
              <w:outlineLvl w:val="0"/>
              <w:rPr>
                <w:bCs/>
                <w:color w:val="000000"/>
                <w:kern w:val="0"/>
                <w:szCs w:val="21"/>
              </w:rPr>
            </w:pPr>
            <w:r w:rsidRPr="000B1072">
              <w:rPr>
                <w:rFonts w:ascii="宋体" w:hAnsi="宋体" w:hint="eastAsia"/>
                <w:bCs/>
                <w:color w:val="000000"/>
                <w:kern w:val="0"/>
                <w:szCs w:val="21"/>
              </w:rPr>
              <w:t>企业集团发行人</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第二十八条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bCs/>
                <w:color w:val="000000"/>
                <w:kern w:val="0"/>
                <w:szCs w:val="21"/>
              </w:rPr>
              <w:t>3-2</w:t>
            </w:r>
          </w:p>
        </w:tc>
        <w:tc>
          <w:tcPr>
            <w:tcW w:w="4111" w:type="dxa"/>
            <w:vAlign w:val="center"/>
          </w:tcPr>
          <w:p w:rsidR="00FB108F" w:rsidRPr="000B1072" w:rsidRDefault="000E3644">
            <w:pPr>
              <w:adjustRightInd w:val="0"/>
              <w:snapToGrid w:val="0"/>
              <w:spacing w:line="360" w:lineRule="exact"/>
              <w:outlineLvl w:val="0"/>
              <w:rPr>
                <w:bCs/>
                <w:color w:val="000000"/>
                <w:kern w:val="0"/>
                <w:szCs w:val="21"/>
              </w:rPr>
            </w:pPr>
            <w:r w:rsidRPr="000B1072">
              <w:rPr>
                <w:rFonts w:ascii="宋体" w:hAnsi="宋体" w:hint="eastAsia"/>
                <w:bCs/>
                <w:color w:val="000000"/>
                <w:kern w:val="0"/>
                <w:szCs w:val="21"/>
              </w:rPr>
              <w:t>发行人属于投资控股型企业，经营成果主要来自子公司</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第二十九条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bCs/>
                <w:color w:val="000000"/>
                <w:kern w:val="0"/>
                <w:szCs w:val="21"/>
              </w:rPr>
              <w:t>3-3</w:t>
            </w:r>
          </w:p>
        </w:tc>
        <w:tc>
          <w:tcPr>
            <w:tcW w:w="4111" w:type="dxa"/>
            <w:vAlign w:val="center"/>
          </w:tcPr>
          <w:p w:rsidR="00FB108F" w:rsidRPr="000B1072" w:rsidRDefault="000E3644">
            <w:pPr>
              <w:adjustRightInd w:val="0"/>
              <w:snapToGrid w:val="0"/>
              <w:spacing w:line="360" w:lineRule="exact"/>
              <w:outlineLvl w:val="0"/>
              <w:rPr>
                <w:bCs/>
                <w:color w:val="000000"/>
                <w:kern w:val="0"/>
                <w:szCs w:val="21"/>
              </w:rPr>
            </w:pPr>
            <w:r w:rsidRPr="000B1072">
              <w:rPr>
                <w:rFonts w:ascii="宋体" w:hAnsi="宋体" w:hint="eastAsia"/>
                <w:bCs/>
                <w:color w:val="000000"/>
                <w:kern w:val="0"/>
                <w:szCs w:val="21"/>
              </w:rPr>
              <w:t>发行人首次申请发行公司债券</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第三十条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bCs/>
                <w:color w:val="000000"/>
                <w:kern w:val="0"/>
                <w:szCs w:val="21"/>
              </w:rPr>
              <w:t>3-4</w:t>
            </w:r>
          </w:p>
        </w:tc>
        <w:tc>
          <w:tcPr>
            <w:tcW w:w="4111" w:type="dxa"/>
            <w:vAlign w:val="center"/>
          </w:tcPr>
          <w:p w:rsidR="00FB108F" w:rsidRPr="000B1072" w:rsidRDefault="000E3644">
            <w:pPr>
              <w:adjustRightInd w:val="0"/>
              <w:snapToGrid w:val="0"/>
              <w:spacing w:line="360" w:lineRule="exact"/>
              <w:outlineLvl w:val="0"/>
              <w:rPr>
                <w:bCs/>
                <w:color w:val="000000"/>
                <w:kern w:val="0"/>
                <w:szCs w:val="21"/>
              </w:rPr>
            </w:pPr>
            <w:r w:rsidRPr="000B1072">
              <w:rPr>
                <w:rFonts w:ascii="宋体" w:hAnsi="宋体" w:hint="eastAsia"/>
                <w:bCs/>
                <w:color w:val="000000"/>
                <w:kern w:val="0"/>
                <w:szCs w:val="21"/>
              </w:rPr>
              <w:t>发行人存在重大风险事项</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第三十一条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bCs/>
                <w:color w:val="000000"/>
                <w:kern w:val="0"/>
                <w:szCs w:val="21"/>
              </w:rPr>
              <w:t>3-5</w:t>
            </w:r>
          </w:p>
        </w:tc>
        <w:tc>
          <w:tcPr>
            <w:tcW w:w="4111" w:type="dxa"/>
            <w:vAlign w:val="center"/>
          </w:tcPr>
          <w:p w:rsidR="00FB108F" w:rsidRPr="000B1072" w:rsidRDefault="000E3644">
            <w:pPr>
              <w:adjustRightInd w:val="0"/>
              <w:snapToGrid w:val="0"/>
              <w:spacing w:line="360" w:lineRule="exact"/>
              <w:outlineLvl w:val="0"/>
              <w:rPr>
                <w:bCs/>
                <w:color w:val="000000"/>
                <w:kern w:val="0"/>
                <w:szCs w:val="21"/>
              </w:rPr>
            </w:pPr>
            <w:r w:rsidRPr="000B1072">
              <w:rPr>
                <w:rFonts w:ascii="宋体" w:hAnsi="宋体" w:hint="eastAsia"/>
                <w:bCs/>
                <w:color w:val="000000"/>
                <w:kern w:val="0"/>
                <w:szCs w:val="21"/>
              </w:rPr>
              <w:t>报告期内发行人主体信用评级下调</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第三十二条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bCs/>
                <w:color w:val="000000"/>
                <w:kern w:val="0"/>
                <w:szCs w:val="21"/>
              </w:rPr>
              <w:t>3-6</w:t>
            </w:r>
          </w:p>
        </w:tc>
        <w:tc>
          <w:tcPr>
            <w:tcW w:w="4111" w:type="dxa"/>
            <w:vAlign w:val="center"/>
          </w:tcPr>
          <w:p w:rsidR="00FB108F" w:rsidRPr="000B1072" w:rsidRDefault="000E3644">
            <w:pPr>
              <w:adjustRightInd w:val="0"/>
              <w:snapToGrid w:val="0"/>
              <w:spacing w:line="360" w:lineRule="exact"/>
              <w:outlineLvl w:val="0"/>
              <w:rPr>
                <w:bCs/>
                <w:color w:val="000000"/>
                <w:kern w:val="0"/>
                <w:szCs w:val="21"/>
              </w:rPr>
            </w:pPr>
            <w:r w:rsidRPr="000B1072">
              <w:rPr>
                <w:rFonts w:ascii="宋体" w:hAnsi="宋体" w:hint="eastAsia"/>
                <w:bCs/>
                <w:color w:val="000000"/>
                <w:kern w:val="0"/>
                <w:szCs w:val="21"/>
              </w:rPr>
              <w:t>发行人短期债券余额占比较高且增幅较大</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第三十三条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
                <w:color w:val="000000"/>
                <w:kern w:val="0"/>
                <w:szCs w:val="21"/>
              </w:rPr>
            </w:pPr>
            <w:r w:rsidRPr="000B1072">
              <w:rPr>
                <w:rFonts w:ascii="宋体" w:hAnsi="宋体"/>
                <w:bCs/>
                <w:color w:val="000000"/>
                <w:kern w:val="0"/>
                <w:szCs w:val="21"/>
              </w:rPr>
              <w:t>3-7</w:t>
            </w:r>
          </w:p>
        </w:tc>
        <w:tc>
          <w:tcPr>
            <w:tcW w:w="4111" w:type="dxa"/>
            <w:vAlign w:val="center"/>
          </w:tcPr>
          <w:p w:rsidR="00FB108F" w:rsidRPr="000B1072" w:rsidRDefault="000E3644">
            <w:pPr>
              <w:adjustRightInd w:val="0"/>
              <w:snapToGrid w:val="0"/>
              <w:spacing w:line="360" w:lineRule="exact"/>
              <w:outlineLvl w:val="0"/>
              <w:rPr>
                <w:bCs/>
                <w:color w:val="000000"/>
                <w:kern w:val="0"/>
                <w:szCs w:val="21"/>
              </w:rPr>
            </w:pPr>
            <w:r w:rsidRPr="000B1072">
              <w:rPr>
                <w:rFonts w:ascii="宋体" w:hAnsi="宋体" w:hint="eastAsia"/>
                <w:bCs/>
                <w:color w:val="000000"/>
                <w:kern w:val="0"/>
                <w:szCs w:val="21"/>
              </w:rPr>
              <w:t>发行人存在特殊会计处理，可能影响本次债券发行条件或者对投资决策影响较大</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第三十四条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bCs/>
                <w:color w:val="000000"/>
                <w:kern w:val="0"/>
                <w:szCs w:val="21"/>
              </w:rPr>
              <w:t>3-8</w:t>
            </w:r>
          </w:p>
        </w:tc>
        <w:tc>
          <w:tcPr>
            <w:tcW w:w="4111" w:type="dxa"/>
            <w:vAlign w:val="center"/>
          </w:tcPr>
          <w:p w:rsidR="00FB108F" w:rsidRPr="000B1072" w:rsidRDefault="000E3644">
            <w:pPr>
              <w:adjustRightInd w:val="0"/>
              <w:snapToGrid w:val="0"/>
              <w:spacing w:line="360" w:lineRule="exact"/>
              <w:outlineLvl w:val="0"/>
              <w:rPr>
                <w:bCs/>
                <w:color w:val="000000"/>
                <w:kern w:val="0"/>
                <w:szCs w:val="21"/>
              </w:rPr>
            </w:pPr>
            <w:r w:rsidRPr="000B1072">
              <w:rPr>
                <w:rFonts w:ascii="宋体" w:hAnsi="宋体" w:hint="eastAsia"/>
                <w:bCs/>
                <w:color w:val="000000"/>
                <w:kern w:val="0"/>
                <w:szCs w:val="21"/>
              </w:rPr>
              <w:t>发行人经营情况、财务状况存在本指引重点关注事项或者其他重大不利情形，可能严重影响偿债能力的，未针对性地设置投资者保护机制</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第三十五条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3-9</w:t>
            </w:r>
          </w:p>
        </w:tc>
        <w:tc>
          <w:tcPr>
            <w:tcW w:w="4111" w:type="dxa"/>
            <w:vAlign w:val="center"/>
          </w:tcPr>
          <w:p w:rsidR="00FB108F" w:rsidRPr="000B1072" w:rsidRDefault="000E3644">
            <w:pPr>
              <w:adjustRightInd w:val="0"/>
              <w:snapToGrid w:val="0"/>
              <w:spacing w:line="360" w:lineRule="exact"/>
              <w:outlineLvl w:val="0"/>
              <w:rPr>
                <w:bCs/>
                <w:color w:val="000000"/>
                <w:kern w:val="0"/>
                <w:szCs w:val="21"/>
              </w:rPr>
            </w:pPr>
            <w:r w:rsidRPr="000B1072">
              <w:rPr>
                <w:rFonts w:ascii="宋体" w:hAnsi="宋体" w:hint="eastAsia"/>
                <w:bCs/>
                <w:color w:val="000000"/>
                <w:kern w:val="0"/>
                <w:szCs w:val="21"/>
              </w:rPr>
              <w:t>发行人属于城投企业</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第三十六条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3-10</w:t>
            </w:r>
          </w:p>
        </w:tc>
        <w:tc>
          <w:tcPr>
            <w:tcW w:w="4111" w:type="dxa"/>
            <w:vAlign w:val="center"/>
          </w:tcPr>
          <w:p w:rsidR="00FB108F" w:rsidRPr="000B1072" w:rsidRDefault="000E3644">
            <w:pPr>
              <w:adjustRightInd w:val="0"/>
              <w:snapToGrid w:val="0"/>
              <w:spacing w:line="360" w:lineRule="exact"/>
              <w:outlineLvl w:val="0"/>
              <w:rPr>
                <w:bCs/>
                <w:color w:val="000000"/>
                <w:kern w:val="0"/>
                <w:szCs w:val="21"/>
              </w:rPr>
            </w:pPr>
            <w:r w:rsidRPr="000B1072">
              <w:rPr>
                <w:rFonts w:ascii="宋体" w:hAnsi="宋体" w:hint="eastAsia"/>
                <w:bCs/>
                <w:color w:val="000000"/>
                <w:kern w:val="0"/>
                <w:szCs w:val="21"/>
              </w:rPr>
              <w:t>发行人属于房地产企业</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第三十七条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r w:rsidR="00FB108F" w:rsidRPr="000B1072" w:rsidTr="000B1072">
        <w:trPr>
          <w:jc w:val="center"/>
        </w:trPr>
        <w:tc>
          <w:tcPr>
            <w:tcW w:w="722"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3-11</w:t>
            </w:r>
          </w:p>
        </w:tc>
        <w:tc>
          <w:tcPr>
            <w:tcW w:w="4111" w:type="dxa"/>
            <w:vAlign w:val="center"/>
          </w:tcPr>
          <w:p w:rsidR="00FB108F" w:rsidRPr="000B1072" w:rsidRDefault="000E3644">
            <w:pPr>
              <w:adjustRightInd w:val="0"/>
              <w:snapToGrid w:val="0"/>
              <w:spacing w:line="360" w:lineRule="exact"/>
              <w:outlineLvl w:val="0"/>
              <w:rPr>
                <w:bCs/>
                <w:color w:val="000000"/>
                <w:kern w:val="0"/>
                <w:szCs w:val="21"/>
              </w:rPr>
            </w:pPr>
            <w:r w:rsidRPr="000B1072">
              <w:rPr>
                <w:rFonts w:ascii="宋体" w:hAnsi="宋体" w:hint="eastAsia"/>
                <w:bCs/>
                <w:color w:val="000000"/>
                <w:kern w:val="0"/>
                <w:szCs w:val="21"/>
              </w:rPr>
              <w:t>发行人所在行业涉及国家产业政策调整</w:t>
            </w:r>
          </w:p>
        </w:tc>
        <w:tc>
          <w:tcPr>
            <w:tcW w:w="1794" w:type="dxa"/>
            <w:vAlign w:val="center"/>
          </w:tcPr>
          <w:p w:rsidR="00FB108F" w:rsidRPr="000B1072" w:rsidRDefault="000E3644">
            <w:pPr>
              <w:adjustRightInd w:val="0"/>
              <w:snapToGrid w:val="0"/>
              <w:spacing w:line="360" w:lineRule="exact"/>
              <w:jc w:val="center"/>
              <w:outlineLvl w:val="0"/>
              <w:rPr>
                <w:bCs/>
                <w:color w:val="000000"/>
                <w:kern w:val="0"/>
                <w:szCs w:val="21"/>
              </w:rPr>
            </w:pPr>
            <w:r w:rsidRPr="000B1072">
              <w:rPr>
                <w:rFonts w:ascii="宋体" w:hAnsi="宋体" w:hint="eastAsia"/>
                <w:bCs/>
                <w:color w:val="000000"/>
                <w:kern w:val="0"/>
                <w:szCs w:val="21"/>
              </w:rPr>
              <w:t>第三十八条</w:t>
            </w:r>
          </w:p>
        </w:tc>
        <w:tc>
          <w:tcPr>
            <w:tcW w:w="1984" w:type="dxa"/>
            <w:vAlign w:val="center"/>
          </w:tcPr>
          <w:p w:rsidR="00FB108F" w:rsidRPr="000B1072" w:rsidRDefault="00FB108F">
            <w:pPr>
              <w:adjustRightInd w:val="0"/>
              <w:snapToGrid w:val="0"/>
              <w:spacing w:line="360" w:lineRule="exact"/>
              <w:jc w:val="center"/>
              <w:outlineLvl w:val="0"/>
              <w:rPr>
                <w:bCs/>
                <w:color w:val="000000"/>
                <w:kern w:val="0"/>
                <w:szCs w:val="21"/>
              </w:rPr>
            </w:pPr>
          </w:p>
        </w:tc>
        <w:tc>
          <w:tcPr>
            <w:tcW w:w="2174" w:type="dxa"/>
            <w:vAlign w:val="center"/>
          </w:tcPr>
          <w:p w:rsidR="00FB108F" w:rsidRPr="000B1072" w:rsidRDefault="00FB108F">
            <w:pPr>
              <w:adjustRightInd w:val="0"/>
              <w:snapToGrid w:val="0"/>
              <w:spacing w:line="360" w:lineRule="exact"/>
              <w:jc w:val="center"/>
              <w:outlineLvl w:val="0"/>
              <w:rPr>
                <w:bCs/>
                <w:color w:val="000000"/>
                <w:kern w:val="0"/>
                <w:szCs w:val="21"/>
              </w:rPr>
            </w:pPr>
          </w:p>
        </w:tc>
      </w:tr>
    </w:tbl>
    <w:p w:rsidR="00FB108F" w:rsidRPr="000B1072" w:rsidRDefault="000E3644" w:rsidP="000B1072">
      <w:pPr>
        <w:rPr>
          <w:rFonts w:asciiTheme="minorEastAsia" w:hAnsiTheme="minorEastAsia"/>
        </w:rPr>
      </w:pPr>
      <w:r w:rsidRPr="000B1072">
        <w:rPr>
          <w:rFonts w:asciiTheme="minorEastAsia" w:hAnsiTheme="minorEastAsia" w:hint="eastAsia"/>
        </w:rPr>
        <w:t>注：1.如存在相关情形，请主承销商在“相关情况简要说明”栏简要说明相关情况，原则上不超过150字。</w:t>
      </w:r>
    </w:p>
    <w:p w:rsidR="00FB108F" w:rsidRPr="000B1072" w:rsidRDefault="000E3644" w:rsidP="000B1072">
      <w:pPr>
        <w:rPr>
          <w:rFonts w:asciiTheme="minorEastAsia" w:hAnsiTheme="minorEastAsia"/>
        </w:rPr>
      </w:pPr>
      <w:r w:rsidRPr="000B1072">
        <w:rPr>
          <w:rFonts w:asciiTheme="minorEastAsia" w:hAnsiTheme="minorEastAsia" w:hint="eastAsia"/>
        </w:rPr>
        <w:t>2.该表格与本指引第五十一条要求提交的承销机构和项目负责人承销债券违约情况，请主承销商加盖公章，并在项目申报时提交。</w:t>
      </w:r>
    </w:p>
    <w:sectPr w:rsidR="00FB108F" w:rsidRPr="000B1072" w:rsidSect="006222D4">
      <w:footerReference w:type="even" r:id="rId9"/>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6CE" w:rsidRDefault="000736CE">
      <w:r>
        <w:separator/>
      </w:r>
    </w:p>
  </w:endnote>
  <w:endnote w:type="continuationSeparator" w:id="0">
    <w:p w:rsidR="000736CE" w:rsidRDefault="0007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2D4" w:rsidRDefault="006222D4" w:rsidP="006222D4">
    <w:pPr>
      <w:framePr w:wrap="around" w:vAnchor="text" w:hAnchor="page" w:x="2056" w:y="350"/>
      <w:tabs>
        <w:tab w:val="center" w:pos="4153"/>
        <w:tab w:val="right" w:pos="8306"/>
      </w:tabs>
      <w:snapToGrid w:val="0"/>
      <w:ind w:left="440" w:hanging="440"/>
      <w:jc w:val="left"/>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PAGE  </w:instrText>
    </w:r>
    <w:r>
      <w:rPr>
        <w:rFonts w:ascii="宋体" w:eastAsia="宋体" w:hAnsi="宋体"/>
        <w:sz w:val="28"/>
        <w:szCs w:val="28"/>
      </w:rPr>
      <w:fldChar w:fldCharType="separate"/>
    </w:r>
    <w:r w:rsidR="002C3B2F">
      <w:rPr>
        <w:rFonts w:ascii="宋体" w:eastAsia="宋体" w:hAnsi="宋体"/>
        <w:noProof/>
        <w:sz w:val="28"/>
        <w:szCs w:val="28"/>
      </w:rPr>
      <w:t>14</w:t>
    </w:r>
    <w:r>
      <w:rPr>
        <w:rFonts w:ascii="宋体" w:eastAsia="宋体" w:hAnsi="宋体"/>
        <w:sz w:val="28"/>
        <w:szCs w:val="28"/>
      </w:rPr>
      <w:fldChar w:fldCharType="end"/>
    </w:r>
    <w:r>
      <w:rPr>
        <w:rFonts w:ascii="宋体" w:eastAsia="宋体" w:hAnsi="宋体" w:hint="eastAsia"/>
        <w:sz w:val="28"/>
        <w:szCs w:val="28"/>
      </w:rPr>
      <w:t xml:space="preserve"> —</w:t>
    </w:r>
  </w:p>
  <w:p w:rsidR="006222D4" w:rsidRDefault="006222D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072" w:rsidRDefault="000B1072">
    <w:pPr>
      <w:pStyle w:val="a5"/>
      <w:jc w:val="center"/>
    </w:pPr>
  </w:p>
  <w:p w:rsidR="006222D4" w:rsidRDefault="006222D4" w:rsidP="006222D4">
    <w:pPr>
      <w:framePr w:wrap="around" w:vAnchor="text" w:hAnchor="page" w:x="8926" w:y="335"/>
      <w:tabs>
        <w:tab w:val="center" w:pos="4153"/>
        <w:tab w:val="right" w:pos="8306"/>
      </w:tabs>
      <w:snapToGrid w:val="0"/>
      <w:ind w:left="440" w:hanging="440"/>
      <w:jc w:val="left"/>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PAGE  </w:instrText>
    </w:r>
    <w:r>
      <w:rPr>
        <w:rFonts w:ascii="宋体" w:eastAsia="宋体" w:hAnsi="宋体"/>
        <w:sz w:val="28"/>
        <w:szCs w:val="28"/>
      </w:rPr>
      <w:fldChar w:fldCharType="separate"/>
    </w:r>
    <w:r w:rsidR="002C3B2F">
      <w:rPr>
        <w:rFonts w:ascii="宋体" w:eastAsia="宋体" w:hAnsi="宋体"/>
        <w:noProof/>
        <w:sz w:val="28"/>
        <w:szCs w:val="28"/>
      </w:rPr>
      <w:t>1</w:t>
    </w:r>
    <w:r>
      <w:rPr>
        <w:rFonts w:ascii="宋体" w:eastAsia="宋体" w:hAnsi="宋体"/>
        <w:sz w:val="28"/>
        <w:szCs w:val="28"/>
      </w:rPr>
      <w:fldChar w:fldCharType="end"/>
    </w:r>
    <w:r>
      <w:rPr>
        <w:rFonts w:ascii="宋体" w:eastAsia="宋体" w:hAnsi="宋体" w:hint="eastAsia"/>
        <w:sz w:val="28"/>
        <w:szCs w:val="28"/>
      </w:rPr>
      <w:t xml:space="preserve"> —</w:t>
    </w:r>
  </w:p>
  <w:p w:rsidR="00FB108F" w:rsidRDefault="00FB10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6CE" w:rsidRDefault="000736CE">
      <w:r>
        <w:separator/>
      </w:r>
    </w:p>
  </w:footnote>
  <w:footnote w:type="continuationSeparator" w:id="0">
    <w:p w:rsidR="000736CE" w:rsidRDefault="00073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markup="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6E6"/>
    <w:rsid w:val="00013C29"/>
    <w:rsid w:val="000736CE"/>
    <w:rsid w:val="000B1072"/>
    <w:rsid w:val="000E3644"/>
    <w:rsid w:val="00112CF1"/>
    <w:rsid w:val="00132E6B"/>
    <w:rsid w:val="00151A31"/>
    <w:rsid w:val="0019798A"/>
    <w:rsid w:val="001D03FC"/>
    <w:rsid w:val="00200EB8"/>
    <w:rsid w:val="0020392E"/>
    <w:rsid w:val="002135FE"/>
    <w:rsid w:val="002148F8"/>
    <w:rsid w:val="00243D74"/>
    <w:rsid w:val="002C3B2F"/>
    <w:rsid w:val="00346A21"/>
    <w:rsid w:val="00351B69"/>
    <w:rsid w:val="00357A4D"/>
    <w:rsid w:val="00366514"/>
    <w:rsid w:val="00402039"/>
    <w:rsid w:val="004125A4"/>
    <w:rsid w:val="004F16E6"/>
    <w:rsid w:val="005827E2"/>
    <w:rsid w:val="005B147D"/>
    <w:rsid w:val="00602F72"/>
    <w:rsid w:val="00621150"/>
    <w:rsid w:val="006222D4"/>
    <w:rsid w:val="00623A1A"/>
    <w:rsid w:val="00665743"/>
    <w:rsid w:val="0069725B"/>
    <w:rsid w:val="006E34FE"/>
    <w:rsid w:val="006F474E"/>
    <w:rsid w:val="007209A0"/>
    <w:rsid w:val="00726D54"/>
    <w:rsid w:val="00735E5B"/>
    <w:rsid w:val="00736988"/>
    <w:rsid w:val="007B00A9"/>
    <w:rsid w:val="007D7137"/>
    <w:rsid w:val="0080718A"/>
    <w:rsid w:val="0087541E"/>
    <w:rsid w:val="008B4BDA"/>
    <w:rsid w:val="008E1638"/>
    <w:rsid w:val="00966D67"/>
    <w:rsid w:val="00977255"/>
    <w:rsid w:val="00A16D22"/>
    <w:rsid w:val="00A267D2"/>
    <w:rsid w:val="00A4343F"/>
    <w:rsid w:val="00A47233"/>
    <w:rsid w:val="00A50992"/>
    <w:rsid w:val="00A72B20"/>
    <w:rsid w:val="00A91761"/>
    <w:rsid w:val="00AC1348"/>
    <w:rsid w:val="00AD687D"/>
    <w:rsid w:val="00B32DE0"/>
    <w:rsid w:val="00B55654"/>
    <w:rsid w:val="00B944F9"/>
    <w:rsid w:val="00BA76B8"/>
    <w:rsid w:val="00CB5D6C"/>
    <w:rsid w:val="00CB7CB1"/>
    <w:rsid w:val="00CF24AA"/>
    <w:rsid w:val="00D414AB"/>
    <w:rsid w:val="00D5387C"/>
    <w:rsid w:val="00D64A6A"/>
    <w:rsid w:val="00DB15DF"/>
    <w:rsid w:val="00E83E92"/>
    <w:rsid w:val="00EA7FFA"/>
    <w:rsid w:val="00ED21D1"/>
    <w:rsid w:val="00F10725"/>
    <w:rsid w:val="00F81D38"/>
    <w:rsid w:val="00FB108F"/>
    <w:rsid w:val="00FF1BB8"/>
    <w:rsid w:val="06350791"/>
    <w:rsid w:val="139A7BF0"/>
    <w:rsid w:val="189229F2"/>
    <w:rsid w:val="1B5C78AE"/>
    <w:rsid w:val="254D43D8"/>
    <w:rsid w:val="3F8A0E16"/>
    <w:rsid w:val="55EE4663"/>
    <w:rsid w:val="667B1C5D"/>
    <w:rsid w:val="6CC106BC"/>
    <w:rsid w:val="6D0C66B0"/>
    <w:rsid w:val="707F3545"/>
    <w:rsid w:val="74F24B14"/>
    <w:rsid w:val="78911AF8"/>
    <w:rsid w:val="7A107809"/>
    <w:rsid w:val="7E3C6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Calibri" w:eastAsia="宋体" w:hAnsi="Calibri" w:cs="Times New Roman"/>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unhideWhenUsed/>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basedOn w:val="a0"/>
    <w:link w:val="a5"/>
    <w:uiPriority w:val="99"/>
    <w:qFormat/>
    <w:rPr>
      <w:rFonts w:ascii="Calibri" w:eastAsia="宋体" w:hAnsi="Calibri" w:cs="Times New Roman"/>
      <w:sz w:val="18"/>
      <w:szCs w:val="18"/>
    </w:rPr>
  </w:style>
  <w:style w:type="character" w:customStyle="1" w:styleId="Char">
    <w:name w:val="批注框文本 Char"/>
    <w:basedOn w:val="a0"/>
    <w:link w:val="a4"/>
    <w:uiPriority w:val="99"/>
    <w:semiHidden/>
    <w:qFormat/>
    <w:rPr>
      <w:sz w:val="18"/>
      <w:szCs w:val="18"/>
    </w:rPr>
  </w:style>
  <w:style w:type="character" w:customStyle="1" w:styleId="Char1">
    <w:name w:val="页眉 Char"/>
    <w:basedOn w:val="a0"/>
    <w:link w:val="a6"/>
    <w:uiPriority w:val="99"/>
    <w:qFormat/>
    <w:rPr>
      <w:sz w:val="18"/>
      <w:szCs w:val="18"/>
    </w:rPr>
  </w:style>
  <w:style w:type="paragraph" w:styleId="a8">
    <w:name w:val="Revision"/>
    <w:hidden/>
    <w:uiPriority w:val="99"/>
    <w:unhideWhenUsed/>
    <w:rsid w:val="00BA76B8"/>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Calibri" w:eastAsia="宋体" w:hAnsi="Calibri" w:cs="Times New Roman"/>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unhideWhenUsed/>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basedOn w:val="a0"/>
    <w:link w:val="a5"/>
    <w:uiPriority w:val="99"/>
    <w:qFormat/>
    <w:rPr>
      <w:rFonts w:ascii="Calibri" w:eastAsia="宋体" w:hAnsi="Calibri" w:cs="Times New Roman"/>
      <w:sz w:val="18"/>
      <w:szCs w:val="18"/>
    </w:rPr>
  </w:style>
  <w:style w:type="character" w:customStyle="1" w:styleId="Char">
    <w:name w:val="批注框文本 Char"/>
    <w:basedOn w:val="a0"/>
    <w:link w:val="a4"/>
    <w:uiPriority w:val="99"/>
    <w:semiHidden/>
    <w:qFormat/>
    <w:rPr>
      <w:sz w:val="18"/>
      <w:szCs w:val="18"/>
    </w:rPr>
  </w:style>
  <w:style w:type="character" w:customStyle="1" w:styleId="Char1">
    <w:name w:val="页眉 Char"/>
    <w:basedOn w:val="a0"/>
    <w:link w:val="a6"/>
    <w:uiPriority w:val="99"/>
    <w:qFormat/>
    <w:rPr>
      <w:sz w:val="18"/>
      <w:szCs w:val="18"/>
    </w:rPr>
  </w:style>
  <w:style w:type="paragraph" w:styleId="a8">
    <w:name w:val="Revision"/>
    <w:hidden/>
    <w:uiPriority w:val="99"/>
    <w:unhideWhenUsed/>
    <w:rsid w:val="00BA76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9829C2-82C8-4D71-B476-BF2382CB5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1181</Words>
  <Characters>6737</Characters>
  <Application>Microsoft Office Word</Application>
  <DocSecurity>0</DocSecurity>
  <Lines>56</Lines>
  <Paragraphs>15</Paragraphs>
  <ScaleCrop>false</ScaleCrop>
  <Company/>
  <LinksUpToDate>false</LinksUpToDate>
  <CharactersWithSpaces>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廖甜甜</dc:creator>
  <cp:lastModifiedBy>辛雅婷</cp:lastModifiedBy>
  <cp:revision>6</cp:revision>
  <cp:lastPrinted>2022-04-22T11:59:00Z</cp:lastPrinted>
  <dcterms:created xsi:type="dcterms:W3CDTF">2022-04-29T01:26:00Z</dcterms:created>
  <dcterms:modified xsi:type="dcterms:W3CDTF">2022-04-29T12:58:00Z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