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82" w:rsidRPr="00313882" w:rsidRDefault="00313882" w:rsidP="00313882">
      <w:pPr>
        <w:widowControl/>
        <w:spacing w:line="360" w:lineRule="auto"/>
        <w:rPr>
          <w:rFonts w:ascii="仿宋_GB2312" w:eastAsia="仿宋_GB2312" w:hAnsi="Times New Roman" w:cs="Times New Roman" w:hint="eastAsia"/>
          <w:kern w:val="0"/>
          <w:sz w:val="32"/>
          <w:szCs w:val="32"/>
        </w:rPr>
      </w:pPr>
      <w:r w:rsidRPr="00313882">
        <w:rPr>
          <w:rFonts w:ascii="仿宋_GB2312" w:eastAsia="仿宋_GB2312" w:hAnsiTheme="majorEastAsia" w:cs="Times New Roman" w:hint="eastAsia"/>
          <w:kern w:val="0"/>
          <w:sz w:val="32"/>
          <w:szCs w:val="32"/>
        </w:rPr>
        <w:t>附件</w:t>
      </w:r>
      <w:r w:rsidRPr="00313882">
        <w:rPr>
          <w:rFonts w:ascii="仿宋_GB2312" w:eastAsia="仿宋_GB2312" w:hAnsi="Times New Roman" w:cs="Times New Roman" w:hint="eastAsia"/>
          <w:kern w:val="0"/>
          <w:sz w:val="32"/>
          <w:szCs w:val="32"/>
        </w:rPr>
        <w:t>34</w:t>
      </w:r>
      <w:r w:rsidRPr="00313882">
        <w:rPr>
          <w:rFonts w:ascii="仿宋_GB2312" w:eastAsia="仿宋_GB2312" w:hAnsiTheme="majorEastAsia" w:cs="Times New Roman" w:hint="eastAsia"/>
          <w:kern w:val="0"/>
          <w:sz w:val="32"/>
          <w:szCs w:val="32"/>
        </w:rPr>
        <w:t>：</w:t>
      </w:r>
      <w:bookmarkStart w:id="0" w:name="_GoBack"/>
      <w:bookmarkEnd w:id="0"/>
    </w:p>
    <w:p w:rsidR="00313882" w:rsidRDefault="00313882" w:rsidP="00313882">
      <w:pPr>
        <w:widowControl/>
        <w:spacing w:line="360" w:lineRule="auto"/>
        <w:jc w:val="center"/>
        <w:rPr>
          <w:rFonts w:ascii="Times New Roman" w:eastAsiaTheme="majorEastAsia" w:hAnsi="Times New Roman" w:cs="Times New Roman"/>
          <w:kern w:val="0"/>
          <w:sz w:val="24"/>
          <w:szCs w:val="24"/>
        </w:rPr>
      </w:pPr>
    </w:p>
    <w:p w:rsidR="00313882" w:rsidRPr="00313882" w:rsidRDefault="00313882" w:rsidP="00313882">
      <w:pPr>
        <w:widowControl/>
        <w:spacing w:line="360" w:lineRule="auto"/>
        <w:jc w:val="center"/>
        <w:rPr>
          <w:rFonts w:ascii="宋体" w:eastAsia="宋体" w:hAnsi="宋体" w:cs="Times New Roman"/>
          <w:b/>
          <w:kern w:val="0"/>
          <w:sz w:val="44"/>
          <w:szCs w:val="44"/>
        </w:rPr>
      </w:pPr>
      <w:r w:rsidRPr="00313882">
        <w:rPr>
          <w:rFonts w:ascii="宋体" w:eastAsia="宋体" w:hAnsi="宋体" w:cs="Times New Roman" w:hint="eastAsia"/>
          <w:b/>
          <w:kern w:val="0"/>
          <w:sz w:val="44"/>
          <w:szCs w:val="44"/>
        </w:rPr>
        <w:t>大连商品交易所豆油动态升贴水标准</w:t>
      </w:r>
    </w:p>
    <w:p w:rsidR="00313882" w:rsidRDefault="00313882" w:rsidP="00313882">
      <w:pPr>
        <w:widowControl/>
        <w:spacing w:line="360" w:lineRule="auto"/>
        <w:jc w:val="center"/>
        <w:rPr>
          <w:rFonts w:ascii="Times New Roman" w:eastAsiaTheme="majorEastAsia" w:hAnsi="Times New Roman" w:cs="Times New Roman" w:hint="eastAsia"/>
          <w:kern w:val="0"/>
          <w:sz w:val="24"/>
          <w:szCs w:val="24"/>
        </w:rPr>
      </w:pPr>
    </w:p>
    <w:p w:rsidR="00313882" w:rsidRDefault="00313882" w:rsidP="00313882">
      <w:pPr>
        <w:widowControl/>
        <w:spacing w:line="360" w:lineRule="auto"/>
        <w:ind w:firstLineChars="200" w:firstLine="640"/>
        <w:rPr>
          <w:rFonts w:ascii="仿宋_GB2312" w:eastAsia="仿宋_GB2312" w:hAnsi="Times New Roman" w:cs="Times New Roman"/>
          <w:kern w:val="0"/>
          <w:sz w:val="32"/>
          <w:szCs w:val="32"/>
        </w:rPr>
      </w:pPr>
      <w:bookmarkStart w:id="1" w:name="OLE_LINK22"/>
      <w:bookmarkStart w:id="2" w:name="OLE_LINK14"/>
      <w:bookmarkStart w:id="3" w:name="OLE_LINK13"/>
      <w:r>
        <w:rPr>
          <w:rFonts w:ascii="仿宋_GB2312" w:eastAsia="仿宋_GB2312" w:hAnsiTheme="majorEastAsia" w:cs="Times New Roman" w:hint="eastAsia"/>
          <w:kern w:val="0"/>
          <w:sz w:val="32"/>
          <w:szCs w:val="32"/>
        </w:rPr>
        <w:t>动态升贴水由两部分组成，为非价差固定值和价差动态值之</w:t>
      </w:r>
      <w:proofErr w:type="gramStart"/>
      <w:r>
        <w:rPr>
          <w:rFonts w:ascii="仿宋_GB2312" w:eastAsia="仿宋_GB2312" w:hAnsiTheme="majorEastAsia" w:cs="Times New Roman" w:hint="eastAsia"/>
          <w:kern w:val="0"/>
          <w:sz w:val="32"/>
          <w:szCs w:val="32"/>
        </w:rPr>
        <w:t>和</w:t>
      </w:r>
      <w:proofErr w:type="gramEnd"/>
      <w:r>
        <w:rPr>
          <w:rFonts w:ascii="仿宋_GB2312" w:eastAsia="仿宋_GB2312" w:hAnsiTheme="majorEastAsia" w:cs="Times New Roman" w:hint="eastAsia"/>
          <w:kern w:val="0"/>
          <w:sz w:val="32"/>
          <w:szCs w:val="32"/>
        </w:rPr>
        <w:t>。</w:t>
      </w:r>
    </w:p>
    <w:p w:rsidR="00313882" w:rsidRDefault="00313882" w:rsidP="00313882">
      <w:pPr>
        <w:widowControl/>
        <w:spacing w:line="360" w:lineRule="auto"/>
        <w:ind w:firstLineChars="200" w:firstLine="640"/>
        <w:rPr>
          <w:rFonts w:ascii="仿宋_GB2312" w:eastAsia="仿宋_GB2312" w:hAnsi="Times New Roman" w:cs="Times New Roman" w:hint="eastAsia"/>
          <w:kern w:val="0"/>
          <w:sz w:val="32"/>
          <w:szCs w:val="32"/>
        </w:rPr>
      </w:pPr>
      <w:r>
        <w:rPr>
          <w:rFonts w:ascii="仿宋_GB2312" w:eastAsia="仿宋_GB2312" w:hAnsiTheme="majorEastAsia" w:cs="Times New Roman" w:hint="eastAsia"/>
          <w:kern w:val="0"/>
          <w:sz w:val="32"/>
          <w:szCs w:val="32"/>
        </w:rPr>
        <w:t>非价差固定值是交易所为了突出基准交割仓库所在区域的主体地位而确定的固定值，由交易所另行公布，并根据市场情况进行调整。</w:t>
      </w:r>
    </w:p>
    <w:p w:rsidR="00313882" w:rsidRDefault="00313882" w:rsidP="00313882">
      <w:pPr>
        <w:widowControl/>
        <w:spacing w:line="360" w:lineRule="auto"/>
        <w:ind w:firstLineChars="200" w:firstLine="640"/>
        <w:rPr>
          <w:rFonts w:ascii="Times New Roman" w:eastAsiaTheme="majorEastAsia" w:hAnsi="Times New Roman" w:cs="Times New Roman" w:hint="eastAsia"/>
          <w:kern w:val="0"/>
          <w:sz w:val="24"/>
          <w:szCs w:val="24"/>
        </w:rPr>
      </w:pPr>
      <w:r>
        <w:rPr>
          <w:rFonts w:ascii="仿宋_GB2312" w:eastAsia="仿宋_GB2312" w:hAnsiTheme="majorEastAsia" w:cs="Times New Roman" w:hint="eastAsia"/>
          <w:kern w:val="0"/>
          <w:sz w:val="32"/>
          <w:szCs w:val="32"/>
        </w:rPr>
        <w:t>价差动态值是交易所根据规定时间段内非基准指定交割仓库所属交割区域与基准交割仓库所属交割区域的现货两地价差（以下简称现货两地价差）而确定的动态数值，等于现货两地价差、交易所公布的价差区间的最小值和最大值三者居中的一个数值。其中，现货两地价差，为交易所指定平台公布的交割月前月第</w:t>
      </w:r>
      <w:r>
        <w:rPr>
          <w:rFonts w:ascii="仿宋_GB2312" w:eastAsia="仿宋_GB2312" w:hAnsi="Times New Roman" w:cs="Times New Roman" w:hint="eastAsia"/>
          <w:kern w:val="0"/>
          <w:sz w:val="32"/>
          <w:szCs w:val="32"/>
        </w:rPr>
        <w:t>1</w:t>
      </w:r>
      <w:r>
        <w:rPr>
          <w:rFonts w:ascii="仿宋_GB2312" w:eastAsia="仿宋_GB2312" w:hAnsiTheme="majorEastAsia" w:cs="Times New Roman" w:hint="eastAsia"/>
          <w:kern w:val="0"/>
          <w:sz w:val="32"/>
          <w:szCs w:val="32"/>
        </w:rPr>
        <w:t>个交易日至第</w:t>
      </w:r>
      <w:r>
        <w:rPr>
          <w:rFonts w:ascii="仿宋_GB2312" w:eastAsia="仿宋_GB2312" w:hAnsi="Times New Roman" w:cs="Times New Roman" w:hint="eastAsia"/>
          <w:kern w:val="0"/>
          <w:sz w:val="32"/>
          <w:szCs w:val="32"/>
        </w:rPr>
        <w:t>10</w:t>
      </w:r>
      <w:r>
        <w:rPr>
          <w:rFonts w:ascii="仿宋_GB2312" w:eastAsia="仿宋_GB2312" w:hAnsiTheme="majorEastAsia" w:cs="Times New Roman" w:hint="eastAsia"/>
          <w:kern w:val="0"/>
          <w:sz w:val="32"/>
          <w:szCs w:val="32"/>
        </w:rPr>
        <w:t>个交易日两个区域现货价差的算术平均值。指定交割仓库所属区域由交易所在交割仓库名录中公布。交易所指定公布价差的平台、参与交易所指定平台地区报价的企业、交易所指定平台公布的地区价差算法和动态升贴水公布时间，由交易所确定并另行通知。</w:t>
      </w:r>
      <w:bookmarkEnd w:id="1"/>
      <w:bookmarkEnd w:id="2"/>
    </w:p>
    <w:bookmarkEnd w:id="3"/>
    <w:p w:rsidR="00313882" w:rsidRDefault="00313882" w:rsidP="00313882">
      <w:pPr>
        <w:spacing w:line="360" w:lineRule="auto"/>
        <w:rPr>
          <w:rFonts w:ascii="Times New Roman" w:hAnsi="Times New Roman" w:cs="Times New Roman"/>
        </w:rPr>
      </w:pPr>
    </w:p>
    <w:p w:rsidR="00E91007" w:rsidRPr="00313882" w:rsidRDefault="00E91007"/>
    <w:sectPr w:rsidR="00E91007" w:rsidRPr="00313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882"/>
    <w:rsid w:val="00313882"/>
    <w:rsid w:val="00E91007"/>
    <w:rsid w:val="00FC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1BEF8-81E8-4F2B-B0CE-A31BF845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9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刘戈</dc:creator>
  <cp:keywords/>
  <dc:description/>
  <cp:lastModifiedBy>刘戈</cp:lastModifiedBy>
  <cp:revision>1</cp:revision>
  <dcterms:created xsi:type="dcterms:W3CDTF">2018-01-19T07:00:00Z</dcterms:created>
  <dcterms:modified xsi:type="dcterms:W3CDTF">2018-01-19T07:04:00Z</dcterms:modified>
</cp:coreProperties>
</file>