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163" w:rsidRPr="009A0E40" w:rsidRDefault="00F84163" w:rsidP="00F84163">
      <w:pPr>
        <w:widowControl/>
        <w:spacing w:line="400" w:lineRule="exact"/>
        <w:rPr>
          <w:rFonts w:ascii="宋体" w:hAnsi="宋体" w:hint="eastAsia"/>
          <w:b/>
          <w:kern w:val="0"/>
          <w:szCs w:val="21"/>
        </w:rPr>
      </w:pPr>
      <w:r w:rsidRPr="009A0E40">
        <w:rPr>
          <w:rFonts w:ascii="宋体" w:hAnsi="宋体" w:hint="eastAsia"/>
          <w:b/>
          <w:kern w:val="0"/>
          <w:szCs w:val="21"/>
        </w:rPr>
        <w:t>附件</w:t>
      </w:r>
    </w:p>
    <w:p w:rsidR="00F84163" w:rsidRPr="009A0E40" w:rsidRDefault="00F84163" w:rsidP="00F84163">
      <w:pPr>
        <w:widowControl/>
        <w:spacing w:line="400" w:lineRule="exact"/>
        <w:rPr>
          <w:rFonts w:ascii="宋体" w:hAnsi="宋体"/>
          <w:kern w:val="0"/>
          <w:szCs w:val="21"/>
        </w:rPr>
      </w:pPr>
    </w:p>
    <w:p w:rsidR="00F84163" w:rsidRPr="009A0E40" w:rsidRDefault="00F84163" w:rsidP="00F84163">
      <w:pPr>
        <w:widowControl/>
        <w:tabs>
          <w:tab w:val="left" w:pos="946"/>
        </w:tabs>
        <w:spacing w:line="560" w:lineRule="exact"/>
        <w:jc w:val="center"/>
        <w:rPr>
          <w:rFonts w:ascii="宋体" w:hAnsi="宋体" w:hint="eastAsia"/>
          <w:kern w:val="0"/>
          <w:szCs w:val="21"/>
        </w:rPr>
      </w:pPr>
      <w:r w:rsidRPr="009A0E40">
        <w:rPr>
          <w:rFonts w:ascii="宋体" w:hAnsi="宋体" w:hint="eastAsia"/>
          <w:kern w:val="0"/>
          <w:szCs w:val="21"/>
        </w:rPr>
        <w:t>上市公司信息披露工作计分标准表</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
        <w:gridCol w:w="936"/>
        <w:gridCol w:w="4708"/>
        <w:gridCol w:w="319"/>
        <w:gridCol w:w="1665"/>
      </w:tblGrid>
      <w:tr w:rsidR="00F84163" w:rsidRPr="009A0E40" w:rsidTr="00D47AD4">
        <w:trPr>
          <w:trHeight w:val="227"/>
        </w:trPr>
        <w:tc>
          <w:tcPr>
            <w:tcW w:w="892" w:type="dxa"/>
            <w:shd w:val="clear" w:color="auto" w:fill="C0C0C0"/>
            <w:vAlign w:val="center"/>
          </w:tcPr>
          <w:p w:rsidR="00F84163" w:rsidRPr="009A0E40" w:rsidRDefault="00F84163" w:rsidP="00D47AD4">
            <w:pPr>
              <w:widowControl/>
              <w:jc w:val="center"/>
              <w:rPr>
                <w:rFonts w:ascii="宋体" w:hAnsi="宋体" w:cs="宋体"/>
                <w:b/>
                <w:bCs/>
                <w:kern w:val="0"/>
                <w:szCs w:val="21"/>
              </w:rPr>
            </w:pPr>
            <w:r w:rsidRPr="009A0E40">
              <w:rPr>
                <w:rFonts w:ascii="宋体" w:hAnsi="宋体" w:cs="宋体" w:hint="eastAsia"/>
                <w:b/>
                <w:bCs/>
                <w:kern w:val="0"/>
                <w:szCs w:val="21"/>
              </w:rPr>
              <w:t>分类</w:t>
            </w:r>
          </w:p>
        </w:tc>
        <w:tc>
          <w:tcPr>
            <w:tcW w:w="936" w:type="dxa"/>
            <w:shd w:val="clear" w:color="auto" w:fill="C0C0C0"/>
            <w:vAlign w:val="center"/>
          </w:tcPr>
          <w:p w:rsidR="00F84163" w:rsidRPr="009A0E40" w:rsidRDefault="00F84163" w:rsidP="00D47AD4">
            <w:pPr>
              <w:widowControl/>
              <w:jc w:val="center"/>
              <w:rPr>
                <w:rFonts w:ascii="宋体" w:hAnsi="宋体" w:cs="宋体"/>
                <w:b/>
                <w:bCs/>
                <w:kern w:val="0"/>
                <w:szCs w:val="21"/>
              </w:rPr>
            </w:pPr>
            <w:r w:rsidRPr="009A0E40">
              <w:rPr>
                <w:rFonts w:ascii="宋体" w:hAnsi="宋体" w:cs="宋体" w:hint="eastAsia"/>
                <w:b/>
                <w:bCs/>
                <w:kern w:val="0"/>
                <w:szCs w:val="21"/>
              </w:rPr>
              <w:t>序号</w:t>
            </w:r>
          </w:p>
        </w:tc>
        <w:tc>
          <w:tcPr>
            <w:tcW w:w="4708" w:type="dxa"/>
            <w:shd w:val="clear" w:color="auto" w:fill="C0C0C0"/>
            <w:vAlign w:val="center"/>
          </w:tcPr>
          <w:p w:rsidR="00F84163" w:rsidRPr="009A0E40" w:rsidRDefault="00F84163" w:rsidP="00D47AD4">
            <w:pPr>
              <w:widowControl/>
              <w:jc w:val="center"/>
              <w:rPr>
                <w:rFonts w:ascii="宋体" w:hAnsi="宋体" w:cs="宋体"/>
                <w:b/>
                <w:bCs/>
                <w:kern w:val="0"/>
                <w:szCs w:val="21"/>
              </w:rPr>
            </w:pPr>
            <w:r w:rsidRPr="009A0E40">
              <w:rPr>
                <w:rFonts w:ascii="宋体" w:hAnsi="宋体" w:cs="宋体" w:hint="eastAsia"/>
                <w:b/>
                <w:bCs/>
                <w:kern w:val="0"/>
                <w:szCs w:val="21"/>
              </w:rPr>
              <w:t>情形</w:t>
            </w:r>
          </w:p>
        </w:tc>
        <w:tc>
          <w:tcPr>
            <w:tcW w:w="1984" w:type="dxa"/>
            <w:gridSpan w:val="2"/>
            <w:shd w:val="clear" w:color="auto" w:fill="C0C0C0"/>
            <w:vAlign w:val="center"/>
          </w:tcPr>
          <w:p w:rsidR="00F84163" w:rsidRPr="009A0E40" w:rsidRDefault="00F84163" w:rsidP="00D47AD4">
            <w:pPr>
              <w:widowControl/>
              <w:jc w:val="center"/>
              <w:rPr>
                <w:rFonts w:ascii="宋体" w:hAnsi="宋体" w:cs="宋体"/>
                <w:b/>
                <w:bCs/>
                <w:kern w:val="0"/>
                <w:szCs w:val="21"/>
              </w:rPr>
            </w:pPr>
            <w:r w:rsidRPr="009A0E40">
              <w:rPr>
                <w:rFonts w:ascii="宋体" w:hAnsi="宋体" w:cs="宋体" w:hint="eastAsia"/>
                <w:b/>
                <w:bCs/>
                <w:kern w:val="0"/>
                <w:szCs w:val="21"/>
              </w:rPr>
              <w:t>加（减）分标准</w:t>
            </w:r>
          </w:p>
        </w:tc>
      </w:tr>
      <w:tr w:rsidR="00F84163" w:rsidRPr="009A0E40" w:rsidTr="00D47AD4">
        <w:trPr>
          <w:trHeight w:val="227"/>
        </w:trPr>
        <w:tc>
          <w:tcPr>
            <w:tcW w:w="8520" w:type="dxa"/>
            <w:gridSpan w:val="5"/>
            <w:shd w:val="clear" w:color="auto" w:fill="C0C0C0"/>
            <w:vAlign w:val="center"/>
          </w:tcPr>
          <w:p w:rsidR="00F84163" w:rsidRPr="009A0E40" w:rsidRDefault="00F84163" w:rsidP="00D47AD4">
            <w:pPr>
              <w:widowControl/>
              <w:jc w:val="center"/>
              <w:rPr>
                <w:rFonts w:ascii="宋体" w:hAnsi="宋体" w:cs="宋体"/>
                <w:b/>
                <w:bCs/>
                <w:kern w:val="0"/>
                <w:szCs w:val="21"/>
              </w:rPr>
            </w:pPr>
            <w:r w:rsidRPr="009A0E40">
              <w:rPr>
                <w:rFonts w:ascii="宋体" w:hAnsi="宋体" w:cs="宋体" w:hint="eastAsia"/>
                <w:b/>
                <w:bCs/>
                <w:kern w:val="0"/>
                <w:szCs w:val="21"/>
              </w:rPr>
              <w:t>加分事项</w:t>
            </w:r>
          </w:p>
        </w:tc>
      </w:tr>
      <w:tr w:rsidR="00F84163" w:rsidRPr="009A0E40" w:rsidTr="00D47AD4">
        <w:trPr>
          <w:trHeight w:val="227"/>
        </w:trPr>
        <w:tc>
          <w:tcPr>
            <w:tcW w:w="892" w:type="dxa"/>
            <w:vMerge w:val="restart"/>
            <w:shd w:val="clear" w:color="auto" w:fill="C0C0C0"/>
            <w:vAlign w:val="center"/>
          </w:tcPr>
          <w:p w:rsidR="00F84163" w:rsidRPr="009A0E40" w:rsidRDefault="00F84163" w:rsidP="00D47AD4">
            <w:pPr>
              <w:widowControl/>
              <w:jc w:val="center"/>
              <w:rPr>
                <w:rFonts w:ascii="宋体" w:hAnsi="宋体" w:cs="宋体"/>
                <w:b/>
                <w:bCs/>
                <w:kern w:val="0"/>
                <w:szCs w:val="21"/>
              </w:rPr>
            </w:pPr>
            <w:r w:rsidRPr="009A0E40">
              <w:rPr>
                <w:rFonts w:ascii="宋体" w:hAnsi="宋体" w:cs="宋体" w:hint="eastAsia"/>
                <w:b/>
                <w:bCs/>
                <w:kern w:val="0"/>
                <w:szCs w:val="21"/>
              </w:rPr>
              <w:t>提高信息披露有效性</w:t>
            </w: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1.1</w:t>
            </w:r>
          </w:p>
        </w:tc>
        <w:tc>
          <w:tcPr>
            <w:tcW w:w="4708" w:type="dxa"/>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披露的信息有针对性地反映公司情况或者主动澄清投资者的问题；</w:t>
            </w:r>
          </w:p>
        </w:tc>
        <w:tc>
          <w:tcPr>
            <w:tcW w:w="1984" w:type="dxa"/>
            <w:gridSpan w:val="2"/>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加2分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center"/>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1.2</w:t>
            </w:r>
          </w:p>
        </w:tc>
        <w:tc>
          <w:tcPr>
            <w:tcW w:w="4708" w:type="dxa"/>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披露的信息内容简明清晰，语言通俗易懂；</w:t>
            </w:r>
          </w:p>
        </w:tc>
        <w:tc>
          <w:tcPr>
            <w:tcW w:w="1984" w:type="dxa"/>
            <w:gridSpan w:val="2"/>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加1分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center"/>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1.3</w:t>
            </w:r>
          </w:p>
        </w:tc>
        <w:tc>
          <w:tcPr>
            <w:tcW w:w="4708" w:type="dxa"/>
            <w:vAlign w:val="center"/>
          </w:tcPr>
          <w:p w:rsidR="00F84163" w:rsidRPr="009A0E40" w:rsidRDefault="00F84163" w:rsidP="00D47AD4">
            <w:pPr>
              <w:widowControl/>
              <w:rPr>
                <w:rFonts w:ascii="宋体" w:hAnsi="宋体" w:cs="宋体"/>
                <w:kern w:val="0"/>
                <w:szCs w:val="21"/>
                <w:highlight w:val="yellow"/>
              </w:rPr>
            </w:pPr>
            <w:r w:rsidRPr="009A0E40">
              <w:rPr>
                <w:rFonts w:ascii="宋体" w:hAnsi="宋体" w:cs="宋体" w:hint="eastAsia"/>
                <w:kern w:val="0"/>
                <w:szCs w:val="21"/>
              </w:rPr>
              <w:t>披露的信息具有可比性，且前后一致。</w:t>
            </w:r>
          </w:p>
        </w:tc>
        <w:tc>
          <w:tcPr>
            <w:tcW w:w="1984" w:type="dxa"/>
            <w:gridSpan w:val="2"/>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加2分</w:t>
            </w:r>
          </w:p>
        </w:tc>
      </w:tr>
      <w:tr w:rsidR="00F84163" w:rsidRPr="009A0E40" w:rsidTr="00D47AD4">
        <w:trPr>
          <w:trHeight w:val="227"/>
        </w:trPr>
        <w:tc>
          <w:tcPr>
            <w:tcW w:w="892" w:type="dxa"/>
            <w:vMerge w:val="restart"/>
            <w:shd w:val="clear" w:color="auto" w:fill="C0C0C0"/>
            <w:vAlign w:val="center"/>
          </w:tcPr>
          <w:p w:rsidR="00F84163" w:rsidRPr="009A0E40" w:rsidRDefault="00F84163" w:rsidP="00D47AD4">
            <w:pPr>
              <w:widowControl/>
              <w:jc w:val="center"/>
              <w:rPr>
                <w:rFonts w:ascii="宋体" w:hAnsi="宋体" w:cs="宋体"/>
                <w:b/>
                <w:bCs/>
                <w:kern w:val="0"/>
                <w:szCs w:val="21"/>
              </w:rPr>
            </w:pPr>
            <w:r w:rsidRPr="009A0E40">
              <w:rPr>
                <w:rFonts w:ascii="宋体" w:hAnsi="宋体" w:cs="宋体" w:hint="eastAsia"/>
                <w:b/>
                <w:bCs/>
                <w:kern w:val="0"/>
                <w:szCs w:val="21"/>
              </w:rPr>
              <w:t>落实分行业信息披露要求</w:t>
            </w: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2.1</w:t>
            </w:r>
          </w:p>
        </w:tc>
        <w:tc>
          <w:tcPr>
            <w:tcW w:w="4708" w:type="dxa"/>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除按照本所相关分行业信息披露指引要求以外，在定期报告与临时报告中主动披露公司的其他行业及经营性信息；</w:t>
            </w:r>
          </w:p>
        </w:tc>
        <w:tc>
          <w:tcPr>
            <w:tcW w:w="1984" w:type="dxa"/>
            <w:gridSpan w:val="2"/>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加2分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center"/>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2.2</w:t>
            </w:r>
          </w:p>
        </w:tc>
        <w:tc>
          <w:tcPr>
            <w:tcW w:w="4708" w:type="dxa"/>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公司所处行业暂无披露指引的，在定期报告中主动结合公司所在行业政策和市场动态，深入比较分析公司的行业发展趋势、经营模式、核心竞争力、经营计划等行业及经营性信息；</w:t>
            </w:r>
          </w:p>
        </w:tc>
        <w:tc>
          <w:tcPr>
            <w:tcW w:w="1984" w:type="dxa"/>
            <w:gridSpan w:val="2"/>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加1分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center"/>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2.3</w:t>
            </w:r>
          </w:p>
        </w:tc>
        <w:tc>
          <w:tcPr>
            <w:tcW w:w="4708" w:type="dxa"/>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参与本所分行业信息披露指引的制订及修订工作，积极提供政策建议和意见。</w:t>
            </w:r>
          </w:p>
        </w:tc>
        <w:tc>
          <w:tcPr>
            <w:tcW w:w="1984" w:type="dxa"/>
            <w:gridSpan w:val="2"/>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加2分</w:t>
            </w:r>
          </w:p>
        </w:tc>
      </w:tr>
      <w:tr w:rsidR="00F84163" w:rsidRPr="009A0E40" w:rsidTr="00D47AD4">
        <w:trPr>
          <w:trHeight w:val="227"/>
        </w:trPr>
        <w:tc>
          <w:tcPr>
            <w:tcW w:w="892" w:type="dxa"/>
            <w:vMerge w:val="restart"/>
            <w:shd w:val="clear" w:color="auto" w:fill="C0C0C0"/>
            <w:vAlign w:val="center"/>
          </w:tcPr>
          <w:p w:rsidR="00F84163" w:rsidRPr="009A0E40" w:rsidRDefault="00F84163" w:rsidP="00D47AD4">
            <w:pPr>
              <w:widowControl/>
              <w:jc w:val="center"/>
              <w:rPr>
                <w:rFonts w:ascii="宋体" w:hAnsi="宋体" w:cs="宋体" w:hint="eastAsia"/>
                <w:b/>
                <w:bCs/>
                <w:kern w:val="0"/>
                <w:szCs w:val="21"/>
              </w:rPr>
            </w:pPr>
            <w:r w:rsidRPr="009A0E40">
              <w:rPr>
                <w:rFonts w:ascii="宋体" w:hAnsi="宋体" w:cs="宋体" w:hint="eastAsia"/>
                <w:b/>
                <w:bCs/>
                <w:kern w:val="0"/>
                <w:szCs w:val="21"/>
              </w:rPr>
              <w:t>信息披露相关制度建设和资源配置情况</w:t>
            </w:r>
          </w:p>
        </w:tc>
        <w:tc>
          <w:tcPr>
            <w:tcW w:w="936" w:type="dxa"/>
            <w:vAlign w:val="center"/>
          </w:tcPr>
          <w:p w:rsidR="00F84163" w:rsidRPr="009A0E40" w:rsidRDefault="00F84163" w:rsidP="00D47AD4">
            <w:pPr>
              <w:widowControl/>
              <w:jc w:val="center"/>
              <w:rPr>
                <w:rFonts w:ascii="宋体" w:hAnsi="宋体" w:cs="宋体" w:hint="eastAsia"/>
                <w:kern w:val="0"/>
                <w:szCs w:val="21"/>
              </w:rPr>
            </w:pPr>
            <w:r w:rsidRPr="009A0E40">
              <w:rPr>
                <w:rFonts w:ascii="宋体" w:hAnsi="宋体" w:cs="宋体" w:hint="eastAsia"/>
                <w:kern w:val="0"/>
                <w:szCs w:val="21"/>
              </w:rPr>
              <w:t>3.1</w:t>
            </w:r>
          </w:p>
        </w:tc>
        <w:tc>
          <w:tcPr>
            <w:tcW w:w="4708" w:type="dxa"/>
            <w:vAlign w:val="center"/>
          </w:tcPr>
          <w:p w:rsidR="00F84163" w:rsidRPr="009A0E40" w:rsidRDefault="00F84163" w:rsidP="00D47AD4">
            <w:pPr>
              <w:widowControl/>
              <w:rPr>
                <w:rFonts w:ascii="宋体" w:hAnsi="宋体" w:cs="宋体" w:hint="eastAsia"/>
                <w:kern w:val="0"/>
                <w:szCs w:val="21"/>
              </w:rPr>
            </w:pPr>
            <w:r w:rsidRPr="009A0E40">
              <w:rPr>
                <w:rFonts w:ascii="宋体" w:hAnsi="宋体" w:cs="宋体" w:hint="eastAsia"/>
                <w:kern w:val="0"/>
                <w:szCs w:val="21"/>
              </w:rPr>
              <w:t>制定适应本公司实际的信息披露事务管理制度，配置足够的工作人员，保障信息披露的便捷、安全；</w:t>
            </w:r>
          </w:p>
        </w:tc>
        <w:tc>
          <w:tcPr>
            <w:tcW w:w="1984" w:type="dxa"/>
            <w:gridSpan w:val="2"/>
            <w:noWrap/>
            <w:vAlign w:val="center"/>
          </w:tcPr>
          <w:p w:rsidR="00F84163" w:rsidRPr="009A0E40" w:rsidRDefault="00F84163" w:rsidP="00D47AD4">
            <w:pPr>
              <w:widowControl/>
              <w:jc w:val="center"/>
              <w:rPr>
                <w:rFonts w:ascii="宋体" w:hAnsi="宋体" w:cs="宋体" w:hint="eastAsia"/>
                <w:kern w:val="0"/>
                <w:szCs w:val="21"/>
              </w:rPr>
            </w:pPr>
            <w:r w:rsidRPr="009A0E40">
              <w:rPr>
                <w:rFonts w:ascii="宋体" w:hAnsi="宋体" w:cs="宋体" w:hint="eastAsia"/>
                <w:kern w:val="0"/>
                <w:szCs w:val="21"/>
              </w:rPr>
              <w:t>加1分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center"/>
              <w:rPr>
                <w:rFonts w:ascii="宋体" w:hAnsi="宋体" w:cs="宋体" w:hint="eastAsia"/>
                <w:b/>
                <w:bCs/>
                <w:kern w:val="0"/>
                <w:szCs w:val="21"/>
              </w:rPr>
            </w:pPr>
          </w:p>
        </w:tc>
        <w:tc>
          <w:tcPr>
            <w:tcW w:w="936" w:type="dxa"/>
            <w:vAlign w:val="center"/>
          </w:tcPr>
          <w:p w:rsidR="00F84163" w:rsidRPr="009A0E40" w:rsidRDefault="00F84163" w:rsidP="00D47AD4">
            <w:pPr>
              <w:widowControl/>
              <w:jc w:val="center"/>
              <w:rPr>
                <w:rFonts w:ascii="宋体" w:hAnsi="宋体" w:cs="宋体" w:hint="eastAsia"/>
                <w:kern w:val="0"/>
                <w:szCs w:val="21"/>
              </w:rPr>
            </w:pPr>
            <w:r w:rsidRPr="009A0E40">
              <w:rPr>
                <w:rFonts w:ascii="宋体" w:hAnsi="宋体" w:cs="宋体" w:hint="eastAsia"/>
                <w:kern w:val="0"/>
                <w:szCs w:val="21"/>
              </w:rPr>
              <w:t>3.2</w:t>
            </w:r>
          </w:p>
        </w:tc>
        <w:tc>
          <w:tcPr>
            <w:tcW w:w="4708" w:type="dxa"/>
            <w:vAlign w:val="center"/>
          </w:tcPr>
          <w:p w:rsidR="00F84163" w:rsidRPr="009A0E40" w:rsidRDefault="00F84163" w:rsidP="00D47AD4">
            <w:pPr>
              <w:widowControl/>
              <w:rPr>
                <w:rFonts w:ascii="宋体" w:hAnsi="宋体" w:cs="宋体" w:hint="eastAsia"/>
                <w:kern w:val="0"/>
                <w:szCs w:val="21"/>
              </w:rPr>
            </w:pPr>
            <w:r w:rsidRPr="009A0E40">
              <w:rPr>
                <w:rFonts w:ascii="宋体" w:hAnsi="宋体" w:cs="宋体" w:hint="eastAsia"/>
                <w:kern w:val="0"/>
                <w:szCs w:val="21"/>
              </w:rPr>
              <w:t>公司董事长作为信息披露第一责任人，重视、支持信息披露工作，公司董事、监事、高级管理人员及相关业务部门支持、配合信息披露工作，保障公司依法合规履行信息披露义务。</w:t>
            </w:r>
          </w:p>
        </w:tc>
        <w:tc>
          <w:tcPr>
            <w:tcW w:w="1984" w:type="dxa"/>
            <w:gridSpan w:val="2"/>
            <w:noWrap/>
            <w:vAlign w:val="center"/>
          </w:tcPr>
          <w:p w:rsidR="00F84163" w:rsidRPr="009A0E40" w:rsidRDefault="00F84163" w:rsidP="00D47AD4">
            <w:pPr>
              <w:widowControl/>
              <w:jc w:val="center"/>
              <w:rPr>
                <w:rFonts w:ascii="宋体" w:hAnsi="宋体" w:cs="宋体" w:hint="eastAsia"/>
                <w:kern w:val="0"/>
                <w:szCs w:val="21"/>
              </w:rPr>
            </w:pPr>
            <w:r w:rsidRPr="009A0E40">
              <w:rPr>
                <w:rFonts w:ascii="宋体" w:hAnsi="宋体" w:cs="宋体" w:hint="eastAsia"/>
                <w:kern w:val="0"/>
                <w:szCs w:val="21"/>
              </w:rPr>
              <w:t>加1分</w:t>
            </w:r>
          </w:p>
        </w:tc>
      </w:tr>
      <w:tr w:rsidR="00F84163" w:rsidRPr="009A0E40" w:rsidTr="00D47AD4">
        <w:trPr>
          <w:trHeight w:val="227"/>
        </w:trPr>
        <w:tc>
          <w:tcPr>
            <w:tcW w:w="892" w:type="dxa"/>
            <w:vMerge w:val="restart"/>
            <w:shd w:val="clear" w:color="auto" w:fill="C0C0C0"/>
            <w:vAlign w:val="center"/>
          </w:tcPr>
          <w:p w:rsidR="00F84163" w:rsidRPr="009A0E40" w:rsidRDefault="00F84163" w:rsidP="00D47AD4">
            <w:pPr>
              <w:widowControl/>
              <w:jc w:val="center"/>
              <w:rPr>
                <w:rFonts w:ascii="宋体" w:hAnsi="宋体" w:cs="宋体"/>
                <w:b/>
                <w:bCs/>
                <w:kern w:val="0"/>
                <w:szCs w:val="21"/>
              </w:rPr>
            </w:pPr>
            <w:r w:rsidRPr="009A0E40">
              <w:rPr>
                <w:rFonts w:ascii="宋体" w:hAnsi="宋体" w:cs="宋体" w:hint="eastAsia"/>
                <w:b/>
                <w:bCs/>
                <w:kern w:val="0"/>
                <w:szCs w:val="21"/>
              </w:rPr>
              <w:t>上市公司董事会秘书日常信息披露履职</w:t>
            </w: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4.1</w:t>
            </w:r>
          </w:p>
        </w:tc>
        <w:tc>
          <w:tcPr>
            <w:tcW w:w="4708" w:type="dxa"/>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与本所保持畅通的联络渠道，严格按照信息披露业务规则和公司信息披露事务管理制度，组织编制、披露公司的临时报告和定期报告；</w:t>
            </w:r>
          </w:p>
        </w:tc>
        <w:tc>
          <w:tcPr>
            <w:tcW w:w="1984" w:type="dxa"/>
            <w:gridSpan w:val="2"/>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加1分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center"/>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4.2</w:t>
            </w:r>
          </w:p>
        </w:tc>
        <w:tc>
          <w:tcPr>
            <w:tcW w:w="4708" w:type="dxa"/>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按要求组织报送重大事项的内幕知情人信息，填报和更新董事、监事、高级管理人员身份信息、持股信息等监管信息，督促公司相关人员做好持股管理工作；</w:t>
            </w:r>
          </w:p>
        </w:tc>
        <w:tc>
          <w:tcPr>
            <w:tcW w:w="1984" w:type="dxa"/>
            <w:gridSpan w:val="2"/>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加1分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center"/>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4.3</w:t>
            </w:r>
          </w:p>
        </w:tc>
        <w:tc>
          <w:tcPr>
            <w:tcW w:w="4708" w:type="dxa"/>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定期组织公司董事、监事、高级管理人员及相关工作人员参加证券市场法律法规及专业知识培训；</w:t>
            </w:r>
          </w:p>
        </w:tc>
        <w:tc>
          <w:tcPr>
            <w:tcW w:w="1984" w:type="dxa"/>
            <w:gridSpan w:val="2"/>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加1分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center"/>
              <w:rPr>
                <w:rFonts w:ascii="宋体" w:hAnsi="宋体" w:cs="宋体" w:hint="eastAsia"/>
                <w:b/>
                <w:bCs/>
                <w:kern w:val="0"/>
                <w:szCs w:val="21"/>
              </w:rPr>
            </w:pPr>
          </w:p>
        </w:tc>
        <w:tc>
          <w:tcPr>
            <w:tcW w:w="936" w:type="dxa"/>
            <w:vAlign w:val="center"/>
          </w:tcPr>
          <w:p w:rsidR="00F84163" w:rsidRPr="009A0E40" w:rsidRDefault="00F84163" w:rsidP="00D47AD4">
            <w:pPr>
              <w:widowControl/>
              <w:jc w:val="center"/>
              <w:rPr>
                <w:rFonts w:ascii="宋体" w:hAnsi="宋体" w:cs="宋体" w:hint="eastAsia"/>
                <w:kern w:val="0"/>
                <w:szCs w:val="21"/>
              </w:rPr>
            </w:pPr>
            <w:r w:rsidRPr="009A0E40">
              <w:rPr>
                <w:rFonts w:ascii="宋体" w:hAnsi="宋体" w:cs="宋体" w:hint="eastAsia"/>
                <w:kern w:val="0"/>
                <w:szCs w:val="21"/>
              </w:rPr>
              <w:t>4.4</w:t>
            </w:r>
          </w:p>
        </w:tc>
        <w:tc>
          <w:tcPr>
            <w:tcW w:w="4708" w:type="dxa"/>
            <w:vAlign w:val="center"/>
          </w:tcPr>
          <w:p w:rsidR="00F84163" w:rsidRPr="009A0E40" w:rsidRDefault="00F84163" w:rsidP="00D47AD4">
            <w:pPr>
              <w:widowControl/>
              <w:rPr>
                <w:rFonts w:ascii="宋体" w:hAnsi="宋体" w:cs="宋体" w:hint="eastAsia"/>
                <w:kern w:val="0"/>
                <w:szCs w:val="21"/>
              </w:rPr>
            </w:pPr>
            <w:r w:rsidRPr="009A0E40">
              <w:rPr>
                <w:rFonts w:ascii="宋体" w:hAnsi="宋体" w:cs="宋体" w:hint="eastAsia"/>
                <w:kern w:val="0"/>
                <w:szCs w:val="21"/>
              </w:rPr>
              <w:t>积极配合本所通过业务系统组织的信息统计及相关监管调研等工作。</w:t>
            </w:r>
          </w:p>
        </w:tc>
        <w:tc>
          <w:tcPr>
            <w:tcW w:w="1984" w:type="dxa"/>
            <w:gridSpan w:val="2"/>
            <w:noWrap/>
            <w:vAlign w:val="center"/>
          </w:tcPr>
          <w:p w:rsidR="00F84163" w:rsidRPr="009A0E40" w:rsidRDefault="00F84163" w:rsidP="00D47AD4">
            <w:pPr>
              <w:widowControl/>
              <w:jc w:val="center"/>
              <w:rPr>
                <w:rFonts w:ascii="宋体" w:hAnsi="宋体" w:cs="宋体" w:hint="eastAsia"/>
                <w:kern w:val="0"/>
                <w:szCs w:val="21"/>
              </w:rPr>
            </w:pPr>
            <w:r w:rsidRPr="009A0E40">
              <w:rPr>
                <w:rFonts w:ascii="宋体" w:hAnsi="宋体" w:cs="宋体" w:hint="eastAsia"/>
                <w:kern w:val="0"/>
                <w:szCs w:val="21"/>
              </w:rPr>
              <w:t>加1分</w:t>
            </w:r>
          </w:p>
        </w:tc>
      </w:tr>
      <w:tr w:rsidR="00F84163" w:rsidRPr="009A0E40" w:rsidTr="00D47AD4">
        <w:trPr>
          <w:trHeight w:val="227"/>
        </w:trPr>
        <w:tc>
          <w:tcPr>
            <w:tcW w:w="892" w:type="dxa"/>
            <w:vMerge w:val="restart"/>
            <w:shd w:val="clear" w:color="auto" w:fill="C0C0C0"/>
            <w:vAlign w:val="center"/>
          </w:tcPr>
          <w:p w:rsidR="00F84163" w:rsidRPr="009A0E40" w:rsidRDefault="00F84163" w:rsidP="00D47AD4">
            <w:pPr>
              <w:widowControl/>
              <w:jc w:val="center"/>
              <w:rPr>
                <w:rFonts w:ascii="宋体" w:hAnsi="宋体" w:cs="宋体"/>
                <w:b/>
                <w:bCs/>
                <w:kern w:val="0"/>
                <w:szCs w:val="21"/>
              </w:rPr>
            </w:pPr>
            <w:r w:rsidRPr="009A0E40">
              <w:rPr>
                <w:rFonts w:ascii="宋体" w:hAnsi="宋体" w:cs="宋体" w:hint="eastAsia"/>
                <w:b/>
                <w:bCs/>
                <w:kern w:val="0"/>
                <w:szCs w:val="21"/>
              </w:rPr>
              <w:t>提高投资者关系管理水平</w:t>
            </w: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5.1</w:t>
            </w:r>
          </w:p>
        </w:tc>
        <w:tc>
          <w:tcPr>
            <w:tcW w:w="4708" w:type="dxa"/>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通过</w:t>
            </w:r>
            <w:r w:rsidRPr="009A0E40" w:rsidDel="00BE65A2">
              <w:rPr>
                <w:rFonts w:ascii="宋体" w:hAnsi="宋体" w:cs="宋体" w:hint="eastAsia"/>
                <w:kern w:val="0"/>
                <w:szCs w:val="21"/>
              </w:rPr>
              <w:t xml:space="preserve"> </w:t>
            </w:r>
            <w:r w:rsidRPr="009A0E40">
              <w:rPr>
                <w:rFonts w:ascii="宋体" w:hAnsi="宋体" w:cs="宋体" w:hint="eastAsia"/>
                <w:kern w:val="0"/>
                <w:szCs w:val="21"/>
              </w:rPr>
              <w:t>“上证e互动”等手段，及时有效地回答投资者问题，与投资者互动沟通；</w:t>
            </w:r>
          </w:p>
        </w:tc>
        <w:tc>
          <w:tcPr>
            <w:tcW w:w="1984" w:type="dxa"/>
            <w:gridSpan w:val="2"/>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加1分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left"/>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5.2</w:t>
            </w:r>
          </w:p>
        </w:tc>
        <w:tc>
          <w:tcPr>
            <w:tcW w:w="4708" w:type="dxa"/>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主动召开投资者说明会，向投资者介绍公司业绩或者说明重大事项；</w:t>
            </w:r>
          </w:p>
        </w:tc>
        <w:tc>
          <w:tcPr>
            <w:tcW w:w="1984" w:type="dxa"/>
            <w:gridSpan w:val="2"/>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加1分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left"/>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5.3</w:t>
            </w:r>
          </w:p>
        </w:tc>
        <w:tc>
          <w:tcPr>
            <w:tcW w:w="4708" w:type="dxa"/>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积极通过现金分红、股份回购等多种途径，提高</w:t>
            </w:r>
            <w:r w:rsidRPr="009A0E40">
              <w:rPr>
                <w:rFonts w:ascii="宋体" w:hAnsi="宋体" w:cs="宋体" w:hint="eastAsia"/>
                <w:kern w:val="0"/>
                <w:szCs w:val="21"/>
              </w:rPr>
              <w:lastRenderedPageBreak/>
              <w:t>投资者回报水平；</w:t>
            </w:r>
          </w:p>
        </w:tc>
        <w:tc>
          <w:tcPr>
            <w:tcW w:w="1984" w:type="dxa"/>
            <w:gridSpan w:val="2"/>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lastRenderedPageBreak/>
              <w:t>加1分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left"/>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5.4</w:t>
            </w:r>
          </w:p>
        </w:tc>
        <w:tc>
          <w:tcPr>
            <w:tcW w:w="4708" w:type="dxa"/>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及时回应投资者的投诉，定期向投资者征求意见，并相应改进信息披露等方面的工作。</w:t>
            </w:r>
          </w:p>
        </w:tc>
        <w:tc>
          <w:tcPr>
            <w:tcW w:w="1984" w:type="dxa"/>
            <w:gridSpan w:val="2"/>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加1分</w:t>
            </w:r>
          </w:p>
        </w:tc>
      </w:tr>
      <w:tr w:rsidR="00F84163" w:rsidRPr="009A0E40" w:rsidTr="00D47AD4">
        <w:trPr>
          <w:trHeight w:val="227"/>
        </w:trPr>
        <w:tc>
          <w:tcPr>
            <w:tcW w:w="8520" w:type="dxa"/>
            <w:gridSpan w:val="5"/>
            <w:shd w:val="clear" w:color="auto" w:fill="C0C0C0"/>
            <w:vAlign w:val="center"/>
          </w:tcPr>
          <w:p w:rsidR="00F84163" w:rsidRPr="009A0E40" w:rsidRDefault="00F84163" w:rsidP="00D47AD4">
            <w:pPr>
              <w:widowControl/>
              <w:jc w:val="center"/>
              <w:rPr>
                <w:rFonts w:ascii="宋体" w:hAnsi="宋体" w:cs="宋体"/>
                <w:b/>
                <w:kern w:val="0"/>
                <w:szCs w:val="21"/>
              </w:rPr>
            </w:pPr>
            <w:r w:rsidRPr="009A0E40">
              <w:rPr>
                <w:rFonts w:ascii="宋体" w:hAnsi="宋体" w:cs="宋体" w:hint="eastAsia"/>
                <w:b/>
                <w:kern w:val="0"/>
                <w:szCs w:val="21"/>
              </w:rPr>
              <w:t>减分事项</w:t>
            </w:r>
          </w:p>
        </w:tc>
      </w:tr>
      <w:tr w:rsidR="00F84163" w:rsidRPr="009A0E40" w:rsidTr="00D47AD4">
        <w:trPr>
          <w:trHeight w:val="227"/>
        </w:trPr>
        <w:tc>
          <w:tcPr>
            <w:tcW w:w="892" w:type="dxa"/>
            <w:vMerge w:val="restart"/>
            <w:shd w:val="clear" w:color="auto" w:fill="C0C0C0"/>
            <w:vAlign w:val="center"/>
          </w:tcPr>
          <w:p w:rsidR="00F84163" w:rsidRPr="009A0E40" w:rsidRDefault="00F84163" w:rsidP="00D47AD4">
            <w:pPr>
              <w:widowControl/>
              <w:jc w:val="center"/>
              <w:rPr>
                <w:rFonts w:ascii="宋体" w:hAnsi="宋体" w:cs="宋体"/>
                <w:b/>
                <w:bCs/>
                <w:kern w:val="0"/>
                <w:szCs w:val="21"/>
              </w:rPr>
            </w:pPr>
            <w:r w:rsidRPr="009A0E40">
              <w:rPr>
                <w:rFonts w:ascii="宋体" w:hAnsi="宋体" w:cs="宋体" w:hint="eastAsia"/>
                <w:b/>
                <w:bCs/>
                <w:kern w:val="0"/>
                <w:szCs w:val="21"/>
              </w:rPr>
              <w:t>监管措施</w:t>
            </w: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1</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口头警示；</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减2分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left"/>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2</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书面警示（监管关注）；</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减4分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left"/>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3</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监管谈话；</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减4分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left"/>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4</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要求限期改正；</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减4分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left"/>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5</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要求公开更正、澄清、说明；</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减4分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left"/>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6</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要求公开致歉；</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减4分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left"/>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7</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要求聘请证券服务机构进行核查并发表意见；</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减4分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left"/>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8</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要求限期参加培训或考试；</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减4分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left"/>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9</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要求限期召开投资者说明会；</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减4分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left"/>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10</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要求上市公司董事会追偿损失；</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减7分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left"/>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11</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建议上市公司更换相关任职人员；</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减7分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left"/>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12</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对未按要求限期改正的上市公司股票及其衍生品种实施停牌；</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减7分</w:t>
            </w:r>
          </w:p>
        </w:tc>
      </w:tr>
      <w:tr w:rsidR="00F84163" w:rsidRPr="009A0E40" w:rsidTr="00D47AD4">
        <w:trPr>
          <w:trHeight w:val="227"/>
        </w:trPr>
        <w:tc>
          <w:tcPr>
            <w:tcW w:w="892" w:type="dxa"/>
            <w:vMerge w:val="restart"/>
            <w:shd w:val="clear" w:color="auto" w:fill="C0C0C0"/>
            <w:vAlign w:val="center"/>
          </w:tcPr>
          <w:p w:rsidR="00F84163" w:rsidRPr="009A0E40" w:rsidRDefault="00F84163" w:rsidP="00D47AD4">
            <w:pPr>
              <w:widowControl/>
              <w:jc w:val="center"/>
              <w:rPr>
                <w:rFonts w:ascii="宋体" w:hAnsi="宋体" w:cs="宋体"/>
                <w:b/>
                <w:bCs/>
                <w:kern w:val="0"/>
                <w:szCs w:val="21"/>
              </w:rPr>
            </w:pPr>
            <w:r w:rsidRPr="009A0E40">
              <w:rPr>
                <w:rFonts w:ascii="宋体" w:hAnsi="宋体" w:cs="宋体" w:hint="eastAsia"/>
                <w:b/>
                <w:bCs/>
                <w:kern w:val="0"/>
                <w:szCs w:val="21"/>
              </w:rPr>
              <w:t>纪律处分</w:t>
            </w: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1.1</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通报批评（上市公司控股股东、实际控制人及相关责任人员，上市公司及相关人员未被认定需承担相关责任的除外）；</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减5分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center"/>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1.2</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通报批评（上市公司董事、监事、高级管理人员）；</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减7分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center"/>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1.3</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通报批评（上市公司）。</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减10分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left"/>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2.1</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公开谴责（上市公司控股股东、实际控制人及相关责任人员，上市公司及相关人员未被认定需承担相关责任的除外）；</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减7分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left"/>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2.2</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公开谴责（上市公司董事、监事、高级管理人员）；</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减10分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left"/>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2.3</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公开谴责（上市公司）。</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减20分</w:t>
            </w:r>
          </w:p>
        </w:tc>
      </w:tr>
      <w:tr w:rsidR="00F84163" w:rsidRPr="009A0E40" w:rsidTr="00D47AD4">
        <w:trPr>
          <w:trHeight w:val="227"/>
        </w:trPr>
        <w:tc>
          <w:tcPr>
            <w:tcW w:w="892" w:type="dxa"/>
            <w:vMerge/>
            <w:shd w:val="clear" w:color="auto" w:fill="C0C0C0"/>
            <w:vAlign w:val="center"/>
          </w:tcPr>
          <w:p w:rsidR="00F84163" w:rsidRPr="009A0E40" w:rsidRDefault="00F84163" w:rsidP="00D47AD4">
            <w:pPr>
              <w:widowControl/>
              <w:jc w:val="left"/>
              <w:rPr>
                <w:rFonts w:ascii="宋体" w:hAnsi="宋体" w:cs="宋体"/>
                <w:b/>
                <w:bCs/>
                <w:kern w:val="0"/>
                <w:szCs w:val="21"/>
              </w:rPr>
            </w:pPr>
          </w:p>
        </w:tc>
        <w:tc>
          <w:tcPr>
            <w:tcW w:w="936" w:type="dxa"/>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3</w:t>
            </w:r>
          </w:p>
        </w:tc>
        <w:tc>
          <w:tcPr>
            <w:tcW w:w="5027" w:type="dxa"/>
            <w:gridSpan w:val="2"/>
            <w:vAlign w:val="center"/>
          </w:tcPr>
          <w:p w:rsidR="00F84163" w:rsidRPr="009A0E40" w:rsidRDefault="00F84163" w:rsidP="00D47AD4">
            <w:pPr>
              <w:widowControl/>
              <w:rPr>
                <w:rFonts w:ascii="宋体" w:hAnsi="宋体" w:cs="宋体"/>
                <w:kern w:val="0"/>
                <w:szCs w:val="21"/>
              </w:rPr>
            </w:pPr>
            <w:r w:rsidRPr="009A0E40">
              <w:rPr>
                <w:rFonts w:ascii="宋体" w:hAnsi="宋体" w:cs="宋体" w:hint="eastAsia"/>
                <w:kern w:val="0"/>
                <w:szCs w:val="21"/>
              </w:rPr>
              <w:t>公开认定不适合担任上市公司董事、监事、高级管理人员。</w:t>
            </w:r>
          </w:p>
        </w:tc>
        <w:tc>
          <w:tcPr>
            <w:tcW w:w="1665" w:type="dxa"/>
            <w:noWrap/>
            <w:vAlign w:val="center"/>
          </w:tcPr>
          <w:p w:rsidR="00F84163" w:rsidRPr="009A0E40" w:rsidRDefault="00F84163" w:rsidP="00D47AD4">
            <w:pPr>
              <w:widowControl/>
              <w:jc w:val="center"/>
              <w:rPr>
                <w:rFonts w:ascii="宋体" w:hAnsi="宋体" w:cs="宋体"/>
                <w:kern w:val="0"/>
                <w:szCs w:val="21"/>
              </w:rPr>
            </w:pPr>
            <w:r w:rsidRPr="009A0E40">
              <w:rPr>
                <w:rFonts w:ascii="宋体" w:hAnsi="宋体" w:cs="宋体" w:hint="eastAsia"/>
                <w:kern w:val="0"/>
                <w:szCs w:val="21"/>
              </w:rPr>
              <w:t>减20分</w:t>
            </w:r>
          </w:p>
        </w:tc>
      </w:tr>
    </w:tbl>
    <w:p w:rsidR="002E72EA" w:rsidRPr="009A0E40" w:rsidRDefault="002E72EA">
      <w:pPr>
        <w:rPr>
          <w:rFonts w:ascii="宋体" w:hAnsi="宋体"/>
          <w:szCs w:val="21"/>
        </w:rPr>
      </w:pPr>
    </w:p>
    <w:sectPr w:rsidR="002E72EA" w:rsidRPr="009A0E40" w:rsidSect="002E72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4163"/>
    <w:rsid w:val="002E72EA"/>
    <w:rsid w:val="006B1078"/>
    <w:rsid w:val="00923FAB"/>
    <w:rsid w:val="009A0E40"/>
    <w:rsid w:val="00A40EE3"/>
    <w:rsid w:val="00C0678D"/>
    <w:rsid w:val="00F84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63"/>
    <w:pPr>
      <w:widowControl w:val="0"/>
      <w:jc w:val="both"/>
    </w:pPr>
    <w:rPr>
      <w:kern w:val="2"/>
      <w:sz w:val="21"/>
    </w:rPr>
  </w:style>
  <w:style w:type="paragraph" w:styleId="1">
    <w:name w:val="heading 1"/>
    <w:basedOn w:val="a"/>
    <w:next w:val="a"/>
    <w:link w:val="1Char"/>
    <w:qFormat/>
    <w:rsid w:val="006B1078"/>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6B107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C0678D"/>
    <w:pPr>
      <w:spacing w:before="26"/>
      <w:ind w:left="118"/>
    </w:pPr>
    <w:rPr>
      <w:szCs w:val="24"/>
    </w:rPr>
  </w:style>
  <w:style w:type="character" w:customStyle="1" w:styleId="Char">
    <w:name w:val="正文文本 Char"/>
    <w:basedOn w:val="a0"/>
    <w:link w:val="a3"/>
    <w:uiPriority w:val="99"/>
    <w:rsid w:val="00C0678D"/>
    <w:rPr>
      <w:rFonts w:ascii="Times New Roman" w:hAnsi="Times New Roman" w:cs="Times New Roman"/>
      <w:kern w:val="0"/>
      <w:sz w:val="24"/>
      <w:szCs w:val="24"/>
    </w:rPr>
  </w:style>
  <w:style w:type="paragraph" w:styleId="a4">
    <w:name w:val="List Paragraph"/>
    <w:basedOn w:val="a"/>
    <w:uiPriority w:val="34"/>
    <w:qFormat/>
    <w:rsid w:val="00C0678D"/>
    <w:pPr>
      <w:ind w:firstLineChars="200" w:firstLine="420"/>
    </w:pPr>
    <w:rPr>
      <w:szCs w:val="24"/>
    </w:rPr>
  </w:style>
  <w:style w:type="paragraph" w:customStyle="1" w:styleId="Heading1">
    <w:name w:val="Heading 1"/>
    <w:basedOn w:val="a"/>
    <w:uiPriority w:val="1"/>
    <w:rsid w:val="00C0678D"/>
    <w:pPr>
      <w:ind w:left="101"/>
      <w:outlineLvl w:val="0"/>
    </w:pPr>
    <w:rPr>
      <w:rFonts w:ascii="黑体" w:eastAsia="黑体" w:cs="黑体"/>
      <w:sz w:val="44"/>
      <w:szCs w:val="44"/>
    </w:rPr>
  </w:style>
  <w:style w:type="paragraph" w:customStyle="1" w:styleId="Heading2">
    <w:name w:val="Heading 2"/>
    <w:basedOn w:val="a"/>
    <w:uiPriority w:val="1"/>
    <w:rsid w:val="00C0678D"/>
    <w:pPr>
      <w:outlineLvl w:val="1"/>
    </w:pPr>
    <w:rPr>
      <w:rFonts w:ascii="Arial Unicode MS" w:eastAsia="Arial Unicode MS" w:cs="Arial Unicode MS"/>
      <w:sz w:val="42"/>
      <w:szCs w:val="42"/>
    </w:rPr>
  </w:style>
  <w:style w:type="paragraph" w:customStyle="1" w:styleId="Heading3">
    <w:name w:val="Heading 3"/>
    <w:basedOn w:val="a"/>
    <w:uiPriority w:val="1"/>
    <w:rsid w:val="00C0678D"/>
    <w:pPr>
      <w:ind w:left="118"/>
      <w:outlineLvl w:val="2"/>
    </w:pPr>
    <w:rPr>
      <w:rFonts w:ascii="Arial Unicode MS" w:eastAsia="Arial Unicode MS" w:cs="Arial Unicode MS"/>
      <w:sz w:val="30"/>
      <w:szCs w:val="30"/>
    </w:rPr>
  </w:style>
  <w:style w:type="paragraph" w:customStyle="1" w:styleId="TableParagraph">
    <w:name w:val="Table Paragraph"/>
    <w:basedOn w:val="a"/>
    <w:uiPriority w:val="1"/>
    <w:rsid w:val="00C0678D"/>
  </w:style>
  <w:style w:type="character" w:customStyle="1" w:styleId="1Char">
    <w:name w:val="标题 1 Char"/>
    <w:basedOn w:val="a0"/>
    <w:link w:val="1"/>
    <w:rsid w:val="006B1078"/>
    <w:rPr>
      <w:b/>
      <w:bCs/>
      <w:kern w:val="44"/>
      <w:sz w:val="44"/>
      <w:szCs w:val="44"/>
    </w:rPr>
  </w:style>
  <w:style w:type="character" w:customStyle="1" w:styleId="3Char">
    <w:name w:val="标题 3 Char"/>
    <w:basedOn w:val="a0"/>
    <w:link w:val="3"/>
    <w:rsid w:val="006B1078"/>
    <w:rPr>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1295</Characters>
  <Application>Microsoft Office Word</Application>
  <DocSecurity>0</DocSecurity>
  <Lines>10</Lines>
  <Paragraphs>3</Paragraphs>
  <ScaleCrop>false</ScaleCrop>
  <Company>Microsoft</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jiaodui</dc:creator>
  <cp:lastModifiedBy>jiaodui</cp:lastModifiedBy>
  <cp:revision>2</cp:revision>
  <dcterms:created xsi:type="dcterms:W3CDTF">2017-09-22T13:20:00Z</dcterms:created>
  <dcterms:modified xsi:type="dcterms:W3CDTF">2017-09-22T13:22:00Z</dcterms:modified>
</cp:coreProperties>
</file>