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 w:ascii="宋体" w:hAnsi="宋体"/>
          <w:b/>
          <w:bCs/>
          <w:sz w:val="24"/>
        </w:rPr>
        <w:t>附件12</w:t>
      </w:r>
      <w:bookmarkStart w:id="0" w:name="_GoBack"/>
      <w:bookmarkEnd w:id="0"/>
      <w:r>
        <w:rPr>
          <w:rFonts w:ascii="宋体" w:hAnsi="宋体"/>
          <w:sz w:val="24"/>
        </w:rPr>
        <w:drawing>
          <wp:inline distT="0" distB="0" distL="0" distR="0">
            <wp:extent cx="5276850" cy="5067300"/>
            <wp:effectExtent l="19050" t="0" r="0" b="0"/>
            <wp:docPr id="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D5470"/>
    <w:rsid w:val="395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2018-12-28T11:51:00Z</dcterms:created>
  <dc:creator>钟文灏</dc:creator>
  <cp:lastModifiedBy>钟文灏</cp:lastModifiedBy>
  <dcterms:modified xsi:type="dcterms:W3CDTF">2018-12-28T11:53:17Z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