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华文中宋" w:eastAsia="方正小标宋简体"/>
          <w:sz w:val="36"/>
          <w:szCs w:val="36"/>
        </w:rPr>
      </w:pPr>
      <w:r>
        <w:rPr>
          <w:rFonts w:hint="eastAsia" w:ascii="仿宋_GB2312" w:hAnsi="华文中宋" w:eastAsia="仿宋_GB2312"/>
          <w:sz w:val="32"/>
          <w:szCs w:val="32"/>
        </w:rPr>
        <w:t>附件</w:t>
      </w:r>
      <w:r>
        <w:rPr>
          <w:rFonts w:hint="eastAsia" w:ascii="仿宋_GB2312" w:hAnsi="华文中宋" w:eastAsia="仿宋_GB2312"/>
          <w:sz w:val="32"/>
          <w:szCs w:val="32"/>
          <w:lang w:val="en-US" w:eastAsia="zh-CN"/>
        </w:rPr>
        <w:t>2</w:t>
      </w:r>
      <w:r>
        <w:rPr>
          <w:rFonts w:hint="eastAsia" w:ascii="仿宋_GB2312" w:hAnsi="华文中宋" w:eastAsia="仿宋_GB2312"/>
          <w:sz w:val="32"/>
          <w:szCs w:val="32"/>
        </w:rPr>
        <w:t>：</w:t>
      </w:r>
    </w:p>
    <w:p>
      <w:pPr>
        <w:jc w:val="center"/>
        <w:rPr>
          <w:rFonts w:ascii="黑体" w:hAnsi="黑体" w:eastAsia="黑体"/>
          <w:sz w:val="32"/>
          <w:szCs w:val="32"/>
        </w:rPr>
      </w:pPr>
      <w:r>
        <w:rPr>
          <w:rFonts w:hint="eastAsia" w:ascii="方正小标宋简体" w:hAnsi="华文中宋" w:eastAsia="方正小标宋简体"/>
          <w:sz w:val="36"/>
          <w:szCs w:val="36"/>
        </w:rPr>
        <w:t>投资价值研究报告撰写要求</w:t>
      </w:r>
    </w:p>
    <w:p>
      <w:pPr>
        <w:jc w:val="center"/>
        <w:rPr>
          <w:rFonts w:ascii="仿宋_GB2312" w:eastAsia="仿宋_GB2312"/>
          <w:sz w:val="30"/>
          <w:szCs w:val="30"/>
        </w:rPr>
      </w:pPr>
      <w:bookmarkStart w:id="0" w:name="_GoBack"/>
      <w:bookmarkEnd w:id="0"/>
    </w:p>
    <w:tbl>
      <w:tblPr>
        <w:tblStyle w:val="7"/>
        <w:tblW w:w="7980" w:type="dxa"/>
        <w:tblInd w:w="93" w:type="dxa"/>
        <w:shd w:val="clear" w:color="auto" w:fill="auto"/>
        <w:tblLayout w:type="autofit"/>
        <w:tblCellMar>
          <w:top w:w="0" w:type="dxa"/>
          <w:left w:w="108" w:type="dxa"/>
          <w:bottom w:w="0" w:type="dxa"/>
          <w:right w:w="108" w:type="dxa"/>
        </w:tblCellMar>
      </w:tblPr>
      <w:tblGrid>
        <w:gridCol w:w="1080"/>
        <w:gridCol w:w="1080"/>
        <w:gridCol w:w="5820"/>
      </w:tblGrid>
      <w:tr>
        <w:tblPrEx>
          <w:tblCellMar>
            <w:top w:w="0" w:type="dxa"/>
            <w:left w:w="108" w:type="dxa"/>
            <w:bottom w:w="0" w:type="dxa"/>
            <w:right w:w="108" w:type="dxa"/>
          </w:tblCellMar>
        </w:tblPrEx>
        <w:trPr>
          <w:trHeight w:val="270" w:hRule="atLeast"/>
          <w:tblHead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类别</w:t>
            </w: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具体要求</w:t>
            </w:r>
          </w:p>
        </w:tc>
      </w:tr>
      <w:tr>
        <w:tblPrEx>
          <w:shd w:val="clear" w:color="auto" w:fill="auto"/>
          <w:tblCellMar>
            <w:top w:w="0" w:type="dxa"/>
            <w:left w:w="108" w:type="dxa"/>
            <w:bottom w:w="0" w:type="dxa"/>
            <w:right w:w="108" w:type="dxa"/>
          </w:tblCellMar>
        </w:tblPrEx>
        <w:trPr>
          <w:trHeight w:val="270" w:hRule="atLeast"/>
          <w:tblHead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基本原则</w:t>
            </w: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独立、审慎、客观</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资料来源具有权威性</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无虚假记载、误导性陈述或重大遗漏</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主承销商的证券分析师独立撰写报告并署名</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与发行人有关的信息不得超过招股说明书及其他已公开信息的范围</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专业、严谨的研究方法和分析逻辑</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基于合理的数据基础和事实依据，审慎提出研究结论</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分析过程与结论保持逻辑一致性</w:t>
            </w:r>
          </w:p>
        </w:tc>
      </w:tr>
      <w:tr>
        <w:tblPrEx>
          <w:shd w:val="clear" w:color="auto" w:fill="auto"/>
          <w:tblCellMar>
            <w:top w:w="0" w:type="dxa"/>
            <w:left w:w="108" w:type="dxa"/>
            <w:bottom w:w="0" w:type="dxa"/>
            <w:right w:w="108" w:type="dxa"/>
          </w:tblCellMar>
        </w:tblPrEx>
        <w:trPr>
          <w:trHeight w:val="270" w:hRule="atLeast"/>
          <w:tblHead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行业和公司状况分析</w:t>
            </w: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行业分类(证监会)与依据，不得随意选择</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行业政策、发行人与主要竞争者的比较、行业地位</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行业状况与发展前景分析与预测</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发行人的商业模式、经营状况、发展前景分析</w:t>
            </w:r>
          </w:p>
        </w:tc>
      </w:tr>
      <w:tr>
        <w:tblPrEx>
          <w:shd w:val="clear" w:color="auto" w:fill="auto"/>
          <w:tblCellMar>
            <w:top w:w="0" w:type="dxa"/>
            <w:left w:w="108" w:type="dxa"/>
            <w:bottom w:w="0" w:type="dxa"/>
            <w:right w:w="108" w:type="dxa"/>
          </w:tblCellMar>
        </w:tblPrEx>
        <w:trPr>
          <w:trHeight w:val="270" w:hRule="atLeast"/>
          <w:tblHeader/>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可比上市公司分析（如有）</w:t>
            </w: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与可比公司投资价值比较</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rPr>
              <w:t>可比公司选择及依据</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原则上应与招股说明书中的可比公司保持一致，不得随意选择</w:t>
            </w:r>
          </w:p>
        </w:tc>
      </w:tr>
      <w:tr>
        <w:tblPrEx>
          <w:shd w:val="clear" w:color="auto" w:fill="auto"/>
          <w:tblCellMar>
            <w:top w:w="0" w:type="dxa"/>
            <w:left w:w="108" w:type="dxa"/>
            <w:bottom w:w="0" w:type="dxa"/>
            <w:right w:w="108" w:type="dxa"/>
          </w:tblCellMar>
        </w:tblPrEx>
        <w:trPr>
          <w:trHeight w:val="765" w:hRule="atLeast"/>
          <w:tblHeader/>
        </w:trPr>
        <w:tc>
          <w:tcPr>
            <w:tcW w:w="108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b/>
                <w:kern w:val="0"/>
                <w:sz w:val="22"/>
              </w:rPr>
            </w:pPr>
            <w:r>
              <w:rPr>
                <w:rFonts w:hint="eastAsia" w:ascii="仿宋_GB2312" w:hAnsi="宋体" w:eastAsia="仿宋_GB2312" w:cs="宋体"/>
                <w:b/>
                <w:kern w:val="0"/>
                <w:szCs w:val="21"/>
              </w:rPr>
              <w:t>同时列举两个口径的可比上市公司市盈率</w:t>
            </w:r>
          </w:p>
        </w:tc>
        <w:tc>
          <w:tcPr>
            <w:tcW w:w="582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b/>
                <w:kern w:val="0"/>
                <w:szCs w:val="21"/>
                <w:lang w:eastAsia="zh-CN"/>
              </w:rPr>
            </w:pPr>
            <w:r>
              <w:rPr>
                <w:rFonts w:hint="eastAsia" w:ascii="仿宋_GB2312" w:hAnsi="宋体" w:eastAsia="仿宋_GB2312" w:cs="宋体"/>
                <w:b/>
                <w:kern w:val="0"/>
                <w:szCs w:val="21"/>
              </w:rPr>
              <w:t>可比上市公司市盈率1</w:t>
            </w:r>
          </w:p>
          <w:p>
            <w:pPr>
              <w:widowControl/>
              <w:jc w:val="left"/>
              <w:rPr>
                <w:rFonts w:ascii="仿宋_GB2312" w:hAnsi="宋体" w:eastAsia="仿宋_GB2312" w:cs="宋体"/>
                <w:b/>
                <w:kern w:val="0"/>
                <w:szCs w:val="21"/>
              </w:rPr>
            </w:pPr>
            <w:r>
              <w:rPr>
                <w:rFonts w:hint="eastAsia" w:ascii="仿宋_GB2312" w:hAnsi="宋体" w:eastAsia="仿宋_GB2312" w:cs="宋体"/>
                <w:b/>
                <w:kern w:val="0"/>
                <w:szCs w:val="21"/>
              </w:rPr>
              <w:t>如：收盘价*当日总股本/发行前一年经审计的扣除非经常性损益前的归属于母公司股东的净利润</w:t>
            </w:r>
          </w:p>
        </w:tc>
      </w:tr>
      <w:tr>
        <w:tblPrEx>
          <w:shd w:val="clear" w:color="auto" w:fill="auto"/>
          <w:tblCellMar>
            <w:top w:w="0" w:type="dxa"/>
            <w:left w:w="108" w:type="dxa"/>
            <w:bottom w:w="0" w:type="dxa"/>
            <w:right w:w="108" w:type="dxa"/>
          </w:tblCellMar>
        </w:tblPrEx>
        <w:trPr>
          <w:trHeight w:val="705" w:hRule="atLeast"/>
          <w:tblHeader/>
        </w:trPr>
        <w:tc>
          <w:tcPr>
            <w:tcW w:w="108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108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b/>
                <w:kern w:val="0"/>
                <w:sz w:val="22"/>
              </w:rPr>
            </w:pPr>
          </w:p>
        </w:tc>
        <w:tc>
          <w:tcPr>
            <w:tcW w:w="582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b/>
                <w:kern w:val="0"/>
                <w:szCs w:val="21"/>
                <w:lang w:eastAsia="zh-CN"/>
              </w:rPr>
            </w:pPr>
            <w:r>
              <w:rPr>
                <w:rFonts w:hint="eastAsia" w:ascii="仿宋_GB2312" w:hAnsi="宋体" w:eastAsia="仿宋_GB2312" w:cs="宋体"/>
                <w:b/>
                <w:kern w:val="0"/>
                <w:szCs w:val="21"/>
              </w:rPr>
              <w:t>可比上市公司市盈率2</w:t>
            </w:r>
          </w:p>
          <w:p>
            <w:pPr>
              <w:widowControl/>
              <w:jc w:val="left"/>
              <w:rPr>
                <w:rFonts w:ascii="仿宋_GB2312" w:hAnsi="宋体" w:eastAsia="仿宋_GB2312" w:cs="宋体"/>
                <w:b/>
                <w:kern w:val="0"/>
                <w:szCs w:val="21"/>
              </w:rPr>
            </w:pPr>
            <w:r>
              <w:rPr>
                <w:rFonts w:hint="eastAsia" w:ascii="仿宋_GB2312" w:hAnsi="宋体" w:eastAsia="仿宋_GB2312" w:cs="宋体"/>
                <w:b/>
                <w:kern w:val="0"/>
                <w:szCs w:val="21"/>
              </w:rPr>
              <w:t>如：收盘价*当日总股本/当年年度预测归属于母公司股东的净利润</w:t>
            </w:r>
          </w:p>
        </w:tc>
      </w:tr>
      <w:tr>
        <w:tblPrEx>
          <w:shd w:val="clear" w:color="auto" w:fill="auto"/>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募投项目</w:t>
            </w: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募集资金投资项目分析</w:t>
            </w:r>
          </w:p>
        </w:tc>
      </w:tr>
      <w:tr>
        <w:tblPrEx>
          <w:shd w:val="clear" w:color="auto" w:fill="auto"/>
          <w:tblCellMar>
            <w:top w:w="0" w:type="dxa"/>
            <w:left w:w="108" w:type="dxa"/>
            <w:bottom w:w="0" w:type="dxa"/>
            <w:right w:w="108" w:type="dxa"/>
          </w:tblCellMar>
        </w:tblPrEx>
        <w:trPr>
          <w:trHeight w:val="270" w:hRule="atLeast"/>
          <w:tblHead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盈利能力分析和预测</w:t>
            </w: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盈利能力和财务状况</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盈利预测假设条件完整</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盈利预测模型，包括但不限于资产负债表、利润表、现金流量表的完整预测以及需要的辅助报表预测</w:t>
            </w:r>
          </w:p>
        </w:tc>
      </w:tr>
      <w:tr>
        <w:tblPrEx>
          <w:shd w:val="clear" w:color="auto" w:fill="auto"/>
          <w:tblCellMar>
            <w:top w:w="0" w:type="dxa"/>
            <w:left w:w="108" w:type="dxa"/>
            <w:bottom w:w="0" w:type="dxa"/>
            <w:right w:w="108" w:type="dxa"/>
          </w:tblCellMar>
        </w:tblPrEx>
        <w:trPr>
          <w:trHeight w:val="939" w:hRule="atLeast"/>
          <w:tblHead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估值方法和参数选择</w:t>
            </w:r>
            <w:r>
              <w:rPr>
                <w:rFonts w:hint="eastAsia" w:ascii="仿宋_GB2312" w:hAnsi="宋体" w:eastAsia="仿宋_GB2312" w:cs="宋体"/>
                <w:kern w:val="0"/>
                <w:szCs w:val="21"/>
                <w:lang w:eastAsia="zh-CN"/>
              </w:rPr>
              <w:t>（如提供发行人估值区间）</w:t>
            </w: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rPr>
              <w:t>估值方法客观专业，至少两种，说明选择依据，不得随意调整</w:t>
            </w:r>
          </w:p>
          <w:p>
            <w:pPr>
              <w:widowControl/>
              <w:jc w:val="left"/>
              <w:rPr>
                <w:rFonts w:ascii="仿宋_GB2312" w:hAnsi="宋体" w:eastAsia="仿宋_GB2312" w:cs="宋体"/>
                <w:kern w:val="0"/>
                <w:szCs w:val="21"/>
              </w:rPr>
            </w:pPr>
            <w:r>
              <w:rPr>
                <w:rFonts w:hint="eastAsia" w:ascii="仿宋_GB2312" w:hAnsi="宋体" w:eastAsia="仿宋_GB2312" w:cs="宋体"/>
                <w:b/>
                <w:kern w:val="0"/>
                <w:szCs w:val="21"/>
              </w:rPr>
              <w:t>（估值方法可适当参照《私募投资基金非上市股权投资估值指引（试行）》）</w:t>
            </w:r>
          </w:p>
        </w:tc>
      </w:tr>
      <w:tr>
        <w:tblPrEx>
          <w:shd w:val="clear" w:color="auto" w:fill="auto"/>
          <w:tblCellMar>
            <w:top w:w="0" w:type="dxa"/>
            <w:left w:w="108" w:type="dxa"/>
            <w:bottom w:w="0" w:type="dxa"/>
            <w:right w:w="108" w:type="dxa"/>
          </w:tblCellMar>
        </w:tblPrEx>
        <w:trPr>
          <w:trHeight w:val="1002"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假设条件完整</w:t>
            </w:r>
          </w:p>
        </w:tc>
      </w:tr>
      <w:tr>
        <w:tblPrEx>
          <w:shd w:val="clear" w:color="auto" w:fill="auto"/>
          <w:tblCellMar>
            <w:top w:w="0" w:type="dxa"/>
            <w:left w:w="108" w:type="dxa"/>
            <w:bottom w:w="0" w:type="dxa"/>
            <w:right w:w="108" w:type="dxa"/>
          </w:tblCellMar>
        </w:tblPrEx>
        <w:trPr>
          <w:trHeight w:val="343" w:hRule="atLeast"/>
          <w:tblHead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参数选择客观专业，说明选择依据，不得随意调整</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1）折现率，建议采用十年期国债收益率三个月或六个月的区间平均值；</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2）永续增长率，建议证券分析师按照专业审慎原则基于合理假设给出，不能过于乐观；</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3）加权平均资本成本中市场平均风险收益率，建议采用沪深300收益率过去五年或十年或更长的区间复合增长率。</w:t>
            </w:r>
          </w:p>
        </w:tc>
      </w:tr>
      <w:tr>
        <w:tblPrEx>
          <w:shd w:val="clear" w:color="auto" w:fill="auto"/>
          <w:tblCellMar>
            <w:top w:w="0" w:type="dxa"/>
            <w:left w:w="108" w:type="dxa"/>
            <w:bottom w:w="0" w:type="dxa"/>
            <w:right w:w="108" w:type="dxa"/>
          </w:tblCellMar>
        </w:tblPrEx>
        <w:trPr>
          <w:trHeight w:val="270" w:hRule="atLeast"/>
          <w:tblHead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b/>
                <w:kern w:val="0"/>
                <w:szCs w:val="21"/>
              </w:rPr>
            </w:pPr>
            <w:r>
              <w:rPr>
                <w:rFonts w:hint="eastAsia" w:ascii="仿宋_GB2312" w:hAnsi="宋体" w:eastAsia="仿宋_GB2312" w:cs="宋体"/>
                <w:b/>
                <w:kern w:val="0"/>
                <w:szCs w:val="21"/>
              </w:rPr>
              <w:t>列出主要测算过程</w:t>
            </w:r>
          </w:p>
          <w:p>
            <w:pPr>
              <w:widowControl/>
              <w:jc w:val="left"/>
              <w:rPr>
                <w:rFonts w:ascii="仿宋_GB2312" w:hAnsi="宋体" w:eastAsia="仿宋_GB2312" w:cs="宋体"/>
                <w:kern w:val="0"/>
                <w:szCs w:val="21"/>
              </w:rPr>
            </w:pPr>
            <w:r>
              <w:rPr>
                <w:rFonts w:hint="eastAsia" w:ascii="仿宋_GB2312" w:hAnsi="宋体" w:eastAsia="仿宋_GB2312" w:cs="宋体"/>
                <w:b/>
                <w:kern w:val="0"/>
                <w:szCs w:val="21"/>
              </w:rPr>
              <w:t>采用相对估值法的</w:t>
            </w:r>
            <w:r>
              <w:rPr>
                <w:rFonts w:hint="eastAsia" w:ascii="仿宋_GB2312" w:hAnsi="宋体" w:eastAsia="仿宋_GB2312" w:cs="宋体"/>
                <w:kern w:val="0"/>
                <w:szCs w:val="21"/>
              </w:rPr>
              <w:t>，估值分析应当按照充分提示风险的原则客观地列示相关行业市盈率、市</w:t>
            </w:r>
            <w:r>
              <w:rPr>
                <w:rFonts w:hint="eastAsia" w:ascii="仿宋_GB2312" w:hAnsi="宋体" w:eastAsia="仿宋_GB2312" w:cs="宋体"/>
                <w:color w:val="auto"/>
                <w:kern w:val="0"/>
                <w:szCs w:val="21"/>
              </w:rPr>
              <w:t>净率</w:t>
            </w:r>
            <w:r>
              <w:rPr>
                <w:rFonts w:hint="eastAsia" w:ascii="仿宋_GB2312" w:hAnsi="宋体" w:eastAsia="仿宋_GB2312" w:cs="宋体"/>
                <w:color w:val="auto"/>
                <w:kern w:val="0"/>
                <w:szCs w:val="21"/>
                <w:highlight w:val="none"/>
                <w:lang w:eastAsia="zh-CN"/>
              </w:rPr>
              <w:t>或</w:t>
            </w:r>
            <w:r>
              <w:rPr>
                <w:rFonts w:hint="eastAsia" w:ascii="仿宋_GB2312" w:hAnsi="宋体" w:eastAsia="仿宋_GB2312" w:cs="宋体"/>
                <w:color w:val="auto"/>
                <w:kern w:val="0"/>
                <w:szCs w:val="21"/>
              </w:rPr>
              <w:t>市</w:t>
            </w:r>
            <w:r>
              <w:rPr>
                <w:rFonts w:hint="eastAsia" w:ascii="仿宋_GB2312" w:hAnsi="宋体" w:eastAsia="仿宋_GB2312" w:cs="宋体"/>
                <w:kern w:val="0"/>
                <w:szCs w:val="21"/>
              </w:rPr>
              <w:t>销率等反映发行人所在行业特点的估值指标。</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例如：依据《上市公司行业分类指引》确定所属行业,并选取中证指数有限公司发布的最近一个月静态平均市盈率为参考依据</w:t>
            </w:r>
          </w:p>
          <w:p>
            <w:pPr>
              <w:widowControl/>
              <w:jc w:val="left"/>
              <w:rPr>
                <w:rFonts w:ascii="仿宋_GB2312" w:hAnsi="宋体" w:eastAsia="仿宋_GB2312" w:cs="宋体"/>
                <w:kern w:val="0"/>
                <w:szCs w:val="21"/>
              </w:rPr>
            </w:pPr>
            <w:r>
              <w:rPr>
                <w:rFonts w:hint="eastAsia" w:ascii="仿宋_GB2312" w:hAnsi="宋体" w:eastAsia="仿宋_GB2312" w:cs="宋体"/>
                <w:b/>
                <w:kern w:val="0"/>
                <w:szCs w:val="21"/>
              </w:rPr>
              <w:t>采用绝对估值法的</w:t>
            </w:r>
            <w:r>
              <w:rPr>
                <w:rFonts w:hint="eastAsia" w:ascii="仿宋_GB2312" w:hAnsi="宋体" w:eastAsia="仿宋_GB2312" w:cs="宋体"/>
                <w:kern w:val="0"/>
                <w:szCs w:val="21"/>
              </w:rPr>
              <w:t>，主要估值计算过程应包含进入永续增长率之前现金流折现计算过程、参数及选择依据，展示详细的现金流折现预测和各变量之间的勾稽关系，加强论证的严谨性</w:t>
            </w:r>
          </w:p>
        </w:tc>
      </w:tr>
      <w:tr>
        <w:tblPrEx>
          <w:shd w:val="clear" w:color="auto" w:fill="auto"/>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估值结论</w:t>
            </w: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可以合理给出发行人上市后远期整体公允价值区间；不得对股票二级市场交易价格作出预测</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建议提供发行人上市后6-12个月远期整体公允价值区间</w:t>
            </w:r>
          </w:p>
        </w:tc>
      </w:tr>
      <w:tr>
        <w:tblPrEx>
          <w:tblCellMar>
            <w:top w:w="0" w:type="dxa"/>
            <w:left w:w="108" w:type="dxa"/>
            <w:bottom w:w="0" w:type="dxa"/>
            <w:right w:w="108" w:type="dxa"/>
          </w:tblCellMar>
        </w:tblPrEx>
        <w:trPr>
          <w:trHeight w:val="270" w:hRule="atLeast"/>
          <w:tblHead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风险警示</w:t>
            </w: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显著位置进行充分的风险提示</w:t>
            </w:r>
          </w:p>
        </w:tc>
      </w:tr>
      <w:tr>
        <w:tblPrEx>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盈利预测假设条件不成立对公司盈利预测影响</w:t>
            </w:r>
          </w:p>
        </w:tc>
      </w:tr>
      <w:tr>
        <w:tblPrEx>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盈利预测假设条件不成立对公司估值结论影响</w:t>
            </w:r>
          </w:p>
        </w:tc>
      </w:tr>
      <w:tr>
        <w:tblPrEx>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所有可能存在的潜在风险</w:t>
            </w:r>
          </w:p>
        </w:tc>
      </w:tr>
      <w:tr>
        <w:tblPrEx>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风险因素定量分析（无法定量分析的，作出针对性的定性分析）</w:t>
            </w:r>
          </w:p>
        </w:tc>
      </w:tr>
      <w:tr>
        <w:tblPrEx>
          <w:tblCellMar>
            <w:top w:w="0" w:type="dxa"/>
            <w:left w:w="108" w:type="dxa"/>
            <w:bottom w:w="0" w:type="dxa"/>
            <w:right w:w="108" w:type="dxa"/>
          </w:tblCellMar>
        </w:tblPrEx>
        <w:trPr>
          <w:trHeight w:val="270" w:hRule="atLeast"/>
          <w:tblHeader/>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显著位置提示投资者自主决策</w:t>
            </w:r>
          </w:p>
        </w:tc>
      </w:tr>
    </w:tbl>
    <w:p>
      <w:pPr>
        <w:rPr>
          <w:rFonts w:ascii="仿宋_GB2312" w:hAnsi="宋体" w:eastAsia="仿宋_GB2312" w:cs="宋体"/>
          <w:kern w:val="0"/>
          <w:szCs w:val="21"/>
        </w:rPr>
      </w:pPr>
      <w:r>
        <w:rPr>
          <w:rFonts w:hint="eastAsia" w:ascii="仿宋_GB2312" w:hAnsi="宋体" w:eastAsia="仿宋_GB2312" w:cs="宋体"/>
          <w:kern w:val="0"/>
          <w:szCs w:val="21"/>
        </w:rPr>
        <w:t>注：协会可在符合相关法律法规的前提下根据实际情况对报告撰写要求予以调整。</w:t>
      </w:r>
    </w:p>
    <w:p>
      <w:pPr>
        <w:rPr>
          <w:rFonts w:ascii="仿宋_GB2312" w:eastAsia="仿宋_GB2312"/>
          <w:sz w:val="32"/>
          <w:szCs w:val="32"/>
        </w:rPr>
      </w:pPr>
    </w:p>
    <w:p>
      <w:pPr>
        <w:ind w:firstLine="640"/>
        <w:rPr>
          <w:rFonts w:hint="eastAsia" w:ascii="仿宋_GB2312" w:eastAsia="仿宋_GB2312" w:cs="仿宋_GB2312" w:hAnsiTheme="minorEastAsia"/>
          <w:color w:val="FF0000"/>
          <w:kern w:val="0"/>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24D1C"/>
    <w:rsid w:val="0A8C731E"/>
    <w:rsid w:val="0BA9457B"/>
    <w:rsid w:val="13650311"/>
    <w:rsid w:val="18146C03"/>
    <w:rsid w:val="191B4327"/>
    <w:rsid w:val="19BB59EF"/>
    <w:rsid w:val="1A9C72BD"/>
    <w:rsid w:val="1B6C55D3"/>
    <w:rsid w:val="1CCB5905"/>
    <w:rsid w:val="25824D1C"/>
    <w:rsid w:val="26B50302"/>
    <w:rsid w:val="2F45611E"/>
    <w:rsid w:val="315B3248"/>
    <w:rsid w:val="316B4C37"/>
    <w:rsid w:val="31A81A26"/>
    <w:rsid w:val="36BE0243"/>
    <w:rsid w:val="42676907"/>
    <w:rsid w:val="44DD48B9"/>
    <w:rsid w:val="46D745C8"/>
    <w:rsid w:val="47613617"/>
    <w:rsid w:val="4FAC3014"/>
    <w:rsid w:val="50BF0DA8"/>
    <w:rsid w:val="517F40DC"/>
    <w:rsid w:val="56461A12"/>
    <w:rsid w:val="567E2E69"/>
    <w:rsid w:val="586D7A70"/>
    <w:rsid w:val="603C30C0"/>
    <w:rsid w:val="630A6E9B"/>
    <w:rsid w:val="64C661A7"/>
    <w:rsid w:val="656101CC"/>
    <w:rsid w:val="6C8E779F"/>
    <w:rsid w:val="73FE4345"/>
    <w:rsid w:val="763035B5"/>
    <w:rsid w:val="7EAF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9"/>
    <w:pPr>
      <w:keepNext/>
      <w:keepLines/>
      <w:spacing w:line="360" w:lineRule="auto"/>
      <w:jc w:val="center"/>
      <w:outlineLvl w:val="1"/>
    </w:pPr>
    <w:rPr>
      <w:rFonts w:ascii="方正小标宋简体" w:hAnsi="宋体" w:eastAsia="方正小标宋简体" w:cs="华文中宋"/>
      <w:bCs/>
      <w:sz w:val="36"/>
      <w:szCs w:val="36"/>
      <w:lang w:val="en-G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12998</Words>
  <Characters>13019</Characters>
  <Lines>0</Lines>
  <Paragraphs>0</Paragraphs>
  <TotalTime>8</TotalTime>
  <ScaleCrop>false</ScaleCrop>
  <LinksUpToDate>false</LinksUpToDate>
  <CharactersWithSpaces>13172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2021-08-24T20:17:00Z</dcterms:created>
  <dc:creator>lenovo</dc:creator>
  <cp:lastModifiedBy>Administrator</cp:lastModifiedBy>
  <cp:lastPrinted>2021-09-10T13:01:00Z</cp:lastPrinted>
  <dcterms:modified xsi:type="dcterms:W3CDTF">2021-10-11T05:54:51Z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343046E1C9C94F99BFD0D2BBA27CE565</vt:lpwstr>
  </property>
</Properties>
</file>