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textAlignment w:val="auto"/>
        <w:rPr>
          <w:rFonts w:ascii="仿宋_GB2312" w:hAnsi="华文中宋" w:eastAsia="仿宋_GB2312"/>
          <w:sz w:val="32"/>
          <w:szCs w:val="32"/>
        </w:rPr>
      </w:pPr>
      <w:r>
        <w:rPr>
          <w:rFonts w:hint="eastAsia" w:ascii="仿宋_GB2312" w:hAnsi="华文中宋" w:eastAsia="仿宋_GB2312"/>
          <w:sz w:val="32"/>
          <w:szCs w:val="32"/>
        </w:rPr>
        <w:t>附件</w:t>
      </w:r>
      <w:r>
        <w:rPr>
          <w:rFonts w:hint="eastAsia" w:ascii="仿宋_GB2312" w:hAnsi="华文中宋" w:eastAsia="仿宋_GB2312"/>
          <w:sz w:val="32"/>
          <w:szCs w:val="32"/>
          <w:lang w:val="en-US" w:eastAsia="zh-CN"/>
        </w:rPr>
        <w:t>1</w:t>
      </w:r>
      <w:r>
        <w:rPr>
          <w:rFonts w:hint="eastAsia" w:ascii="仿宋_GB2312" w:hAnsi="华文中宋" w:eastAsia="仿宋_GB2312"/>
          <w:sz w:val="32"/>
          <w:szCs w:val="32"/>
        </w:rPr>
        <w:t>：</w:t>
      </w:r>
    </w:p>
    <w:p>
      <w:pPr>
        <w:keepNext w:val="0"/>
        <w:keepLines w:val="0"/>
        <w:pageBreakBefore w:val="0"/>
        <w:kinsoku/>
        <w:wordWrap/>
        <w:overflowPunct/>
        <w:topLinePunct w:val="0"/>
        <w:bidi w:val="0"/>
        <w:adjustRightInd/>
        <w:snapToGrid/>
        <w:ind w:left="0" w:leftChars="0" w:firstLine="720" w:firstLineChars="200"/>
        <w:jc w:val="center"/>
        <w:textAlignment w:val="auto"/>
        <w:rPr>
          <w:rFonts w:ascii="仿宋_GB2312" w:hAnsi="仿宋" w:eastAsia="仿宋_GB2312"/>
          <w:sz w:val="36"/>
          <w:szCs w:val="36"/>
        </w:rPr>
      </w:pPr>
      <w:r>
        <w:rPr>
          <w:rFonts w:hint="eastAsia" w:ascii="方正小标宋简体" w:hAnsi="华文中宋" w:eastAsia="方正小标宋简体"/>
          <w:sz w:val="36"/>
          <w:szCs w:val="36"/>
        </w:rPr>
        <w:t>投资价值研究报告负面行为清单</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仿宋" w:eastAsia="仿宋_GB2312"/>
          <w:sz w:val="32"/>
          <w:szCs w:val="32"/>
        </w:rPr>
      </w:pP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承销商在撰写和出具投资价值研究报告过程中不得出现以下情形：</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lang w:eastAsia="zh-CN"/>
        </w:rPr>
        <w:t>一、参与撰写投资价值研究报告的所有人员均没有在中国证券业协会登记为证券分析师，或承销商不具有投资咨询业务资格。</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ascii="仿宋_GB2312" w:hAnsi="华文中宋" w:eastAsia="仿宋_GB2312"/>
          <w:sz w:val="32"/>
          <w:szCs w:val="32"/>
        </w:rPr>
      </w:pPr>
      <w:r>
        <w:rPr>
          <w:rFonts w:hint="eastAsia" w:ascii="仿宋_GB2312" w:hAnsi="华文中宋" w:eastAsia="仿宋_GB2312"/>
          <w:sz w:val="32"/>
          <w:szCs w:val="32"/>
        </w:rPr>
        <w:t>二、承销商撰写和出具投资价值研究报告不客观、不审慎、不独立。</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ascii="仿宋_GB2312" w:hAnsi="华文中宋" w:eastAsia="仿宋_GB2312"/>
          <w:sz w:val="32"/>
          <w:szCs w:val="32"/>
        </w:rPr>
      </w:pPr>
      <w:r>
        <w:rPr>
          <w:rFonts w:hint="eastAsia" w:ascii="仿宋_GB2312" w:hAnsi="华文中宋" w:eastAsia="仿宋_GB2312"/>
          <w:sz w:val="32"/>
          <w:szCs w:val="32"/>
        </w:rPr>
        <w:t>三、证券分析师路演推介内容超出投资价值研究报告及其他已公开信息范围。</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ascii="仿宋_GB2312" w:hAnsi="华文中宋" w:eastAsia="仿宋_GB2312"/>
          <w:sz w:val="32"/>
          <w:szCs w:val="32"/>
        </w:rPr>
      </w:pPr>
      <w:r>
        <w:rPr>
          <w:rFonts w:hint="eastAsia" w:ascii="仿宋_GB2312" w:hAnsi="华文中宋" w:eastAsia="仿宋_GB2312"/>
          <w:sz w:val="32"/>
          <w:szCs w:val="32"/>
        </w:rPr>
        <w:t>四、证券分析师考核制度中未剔除利益冲突部门和人员，将外部评选结果纳入证券分析师薪酬激励的指标。</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ascii="仿宋_GB2312" w:hAnsi="华文中宋" w:eastAsia="仿宋_GB2312"/>
          <w:sz w:val="32"/>
          <w:szCs w:val="32"/>
        </w:rPr>
      </w:pPr>
      <w:r>
        <w:rPr>
          <w:rFonts w:hint="eastAsia" w:ascii="仿宋_GB2312" w:hAnsi="华文中宋" w:eastAsia="仿宋_GB2312"/>
          <w:sz w:val="32"/>
          <w:szCs w:val="32"/>
        </w:rPr>
        <w:t>五、证券分析师及承销商违反静默期要求。</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ascii="仿宋_GB2312" w:hAnsi="华文中宋" w:eastAsia="仿宋_GB2312"/>
          <w:sz w:val="32"/>
          <w:szCs w:val="32"/>
        </w:rPr>
      </w:pPr>
      <w:r>
        <w:rPr>
          <w:rFonts w:hint="eastAsia" w:ascii="仿宋_GB2312" w:hAnsi="华文中宋" w:eastAsia="仿宋_GB2312"/>
          <w:sz w:val="32"/>
          <w:szCs w:val="32"/>
        </w:rPr>
        <w:t>六、在投资价值研究报告内容方面：</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ascii="仿宋_GB2312" w:hAnsi="华文中宋" w:eastAsia="仿宋_GB2312"/>
          <w:sz w:val="32"/>
          <w:szCs w:val="32"/>
        </w:rPr>
      </w:pPr>
      <w:r>
        <w:rPr>
          <w:rFonts w:hint="eastAsia" w:ascii="仿宋_GB2312" w:hAnsi="华文中宋" w:eastAsia="仿宋_GB2312"/>
          <w:sz w:val="32"/>
          <w:szCs w:val="32"/>
        </w:rPr>
        <w:t>（一）行业分析中，缺乏定量分析，主观夸大行业空间和增速；</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（二）公司分析中，未充分考虑影响公司发展的政策因素；</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（三）盈利预测分析中，缺乏客观性和审慎性，对核心假设缺乏合理论证，公司未来的资产负债、利润、现金流量等预估值与基本面相悖；</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（四）采用相对估值法的，估值模型未能客观选取可比公司，选取的可比公司依据不充分；</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（五）采用绝对估值法的，估值模型</w:t>
      </w:r>
      <w:r>
        <w:rPr>
          <w:rFonts w:hint="eastAsia" w:ascii="仿宋_GB2312" w:eastAsia="仿宋_GB2312" w:cs="仿宋_GB2312" w:hAnsiTheme="minorEastAsia"/>
          <w:kern w:val="0"/>
          <w:sz w:val="32"/>
          <w:szCs w:val="32"/>
        </w:rPr>
        <w:t>假设条件、主要参数及选择依据不合理、不充分、不完整，估值参数过于乐观；主要测算过程缺失；在市场未发生重大变化的情况下，同一承销商采用的</w:t>
      </w:r>
      <w:r>
        <w:rPr>
          <w:rFonts w:hint="eastAsia" w:ascii="仿宋_GB2312" w:eastAsia="仿宋_GB2312" w:cs="仿宋_GB2312" w:hAnsiTheme="minorEastAsia"/>
          <w:color w:val="auto"/>
          <w:kern w:val="0"/>
          <w:sz w:val="32"/>
          <w:szCs w:val="32"/>
          <w:highlight w:val="none"/>
          <w:lang w:eastAsia="zh-CN"/>
        </w:rPr>
        <w:t>可比</w:t>
      </w:r>
      <w:r>
        <w:rPr>
          <w:rFonts w:hint="eastAsia" w:ascii="仿宋_GB2312" w:eastAsia="仿宋_GB2312" w:cs="仿宋_GB2312" w:hAnsiTheme="minorEastAsia"/>
          <w:color w:val="auto"/>
          <w:kern w:val="0"/>
          <w:sz w:val="32"/>
          <w:szCs w:val="32"/>
        </w:rPr>
        <w:t>估</w:t>
      </w:r>
      <w:r>
        <w:rPr>
          <w:rFonts w:hint="eastAsia" w:ascii="仿宋_GB2312" w:eastAsia="仿宋_GB2312" w:cs="仿宋_GB2312" w:hAnsiTheme="minorEastAsia"/>
          <w:kern w:val="0"/>
          <w:sz w:val="32"/>
          <w:szCs w:val="32"/>
        </w:rPr>
        <w:t>值参数存在重大差异；</w:t>
      </w:r>
      <w:r>
        <w:rPr>
          <w:rFonts w:hint="eastAsia" w:ascii="仿宋_GB2312" w:hAnsi="华文中宋" w:eastAsia="仿宋_GB2312"/>
          <w:sz w:val="32"/>
          <w:szCs w:val="32"/>
        </w:rPr>
        <w:t xml:space="preserve"> </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（六）引用的数据来源不具有权威性，未注明出处；</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（七）报告内容不完整，存在计算错误；</w:t>
      </w:r>
    </w:p>
    <w:p>
      <w:pPr>
        <w:keepNext w:val="0"/>
        <w:keepLines w:val="0"/>
        <w:pageBreakBefore w:val="0"/>
        <w:kinsoku/>
        <w:wordWrap/>
        <w:overflowPunct/>
        <w:topLinePunct w:val="0"/>
        <w:bidi w:val="0"/>
        <w:adjustRightInd/>
        <w:snapToGrid/>
        <w:ind w:left="0" w:leftChars="0" w:firstLine="640" w:firstLineChars="200"/>
        <w:textAlignment w:val="auto"/>
        <w:rPr>
          <w:rFonts w:ascii="仿宋_GB2312" w:hAnsi="华文中宋" w:eastAsia="仿宋_GB2312"/>
          <w:sz w:val="32"/>
          <w:szCs w:val="32"/>
        </w:rPr>
      </w:pPr>
      <w:r>
        <w:rPr>
          <w:rFonts w:hint="eastAsia" w:ascii="仿宋_GB2312" w:hAnsi="华文中宋" w:eastAsia="仿宋_GB2312"/>
          <w:sz w:val="32"/>
          <w:szCs w:val="32"/>
        </w:rPr>
        <w:t>（八）风险提示方面，缺少对所披露风险因素的定量分析，未说明发行人经营中可能存在的风险，未说明如果盈利预测的假设条件不成立对公司盈利预测的影响以及对估值结论的影响；</w:t>
      </w:r>
    </w:p>
    <w:p>
      <w:pPr>
        <w:keepNext w:val="0"/>
        <w:keepLines w:val="0"/>
        <w:pageBreakBefore w:val="0"/>
        <w:widowControl/>
        <w:kinsoku/>
        <w:wordWrap/>
        <w:overflowPunct/>
        <w:topLinePunct w:val="0"/>
        <w:bidi w:val="0"/>
        <w:adjustRightInd/>
        <w:snapToGrid/>
        <w:ind w:left="0" w:leftChars="0" w:firstLine="640" w:firstLineChars="200"/>
        <w:jc w:val="left"/>
        <w:textAlignment w:val="auto"/>
        <w:rPr>
          <w:rFonts w:hint="eastAsia" w:ascii="仿宋_GB2312" w:eastAsia="仿宋_GB2312" w:cs="仿宋_GB2312" w:hAnsiTheme="minorEastAsia"/>
          <w:color w:val="FF0000"/>
          <w:kern w:val="0"/>
          <w:sz w:val="32"/>
          <w:szCs w:val="32"/>
          <w:lang w:val="en-US" w:eastAsia="zh-CN" w:bidi="ar-SA"/>
        </w:rPr>
      </w:pPr>
      <w:r>
        <w:rPr>
          <w:rFonts w:hint="eastAsia" w:ascii="仿宋_GB2312" w:hAnsi="华文中宋" w:eastAsia="仿宋_GB2312"/>
          <w:sz w:val="32"/>
          <w:szCs w:val="32"/>
        </w:rPr>
        <w:t>七、存在损害投资者合法权益的其他情形。</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24D1C"/>
    <w:rsid w:val="0A8C731E"/>
    <w:rsid w:val="0BA9457B"/>
    <w:rsid w:val="13650311"/>
    <w:rsid w:val="18146C03"/>
    <w:rsid w:val="191B4327"/>
    <w:rsid w:val="19BB59EF"/>
    <w:rsid w:val="1A9C72BD"/>
    <w:rsid w:val="1B6C55D3"/>
    <w:rsid w:val="25824D1C"/>
    <w:rsid w:val="26B50302"/>
    <w:rsid w:val="2F45611E"/>
    <w:rsid w:val="30974C58"/>
    <w:rsid w:val="315B3248"/>
    <w:rsid w:val="316B4C37"/>
    <w:rsid w:val="31A81A26"/>
    <w:rsid w:val="36BE0243"/>
    <w:rsid w:val="42676907"/>
    <w:rsid w:val="44DD48B9"/>
    <w:rsid w:val="46D745C8"/>
    <w:rsid w:val="47613617"/>
    <w:rsid w:val="4FAC3014"/>
    <w:rsid w:val="50BF0DA8"/>
    <w:rsid w:val="517F40DC"/>
    <w:rsid w:val="56461A12"/>
    <w:rsid w:val="567E2E69"/>
    <w:rsid w:val="586D7A70"/>
    <w:rsid w:val="630A6E9B"/>
    <w:rsid w:val="64C661A7"/>
    <w:rsid w:val="656101CC"/>
    <w:rsid w:val="6C8E779F"/>
    <w:rsid w:val="73FE4345"/>
    <w:rsid w:val="763035B5"/>
    <w:rsid w:val="79912EC1"/>
    <w:rsid w:val="7EAF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keepNext/>
      <w:keepLines/>
      <w:spacing w:line="360" w:lineRule="auto"/>
      <w:jc w:val="center"/>
      <w:outlineLvl w:val="1"/>
    </w:pPr>
    <w:rPr>
      <w:rFonts w:ascii="方正小标宋简体" w:hAnsi="宋体" w:eastAsia="方正小标宋简体" w:cs="华文中宋"/>
      <w:bCs/>
      <w:sz w:val="36"/>
      <w:szCs w:val="36"/>
      <w:lang w:val="en-G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12998</Words>
  <Characters>13019</Characters>
  <Lines>0</Lines>
  <Paragraphs>0</Paragraphs>
  <TotalTime>7</TotalTime>
  <ScaleCrop>false</ScaleCrop>
  <LinksUpToDate>false</LinksUpToDate>
  <CharactersWithSpaces>13172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2021-08-24T20:17:00Z</dcterms:created>
  <dc:creator>lenovo</dc:creator>
  <cp:lastModifiedBy>Administrator</cp:lastModifiedBy>
  <cp:lastPrinted>2021-09-10T13:01:00Z</cp:lastPrinted>
  <dcterms:modified xsi:type="dcterms:W3CDTF">2021-10-11T05:50:47Z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8622A8083AFF463788A7164519F60349</vt:lpwstr>
  </property>
</Properties>
</file>