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032" w:rsidRDefault="008A0498">
      <w:pPr>
        <w:spacing w:line="560" w:lineRule="exact"/>
        <w:rPr>
          <w:rFonts w:ascii="仿宋_GB2312" w:eastAsia="仿宋_GB2312" w:hAnsi="仿宋"/>
          <w:sz w:val="28"/>
          <w:szCs w:val="30"/>
        </w:rPr>
      </w:pPr>
      <w:r>
        <w:rPr>
          <w:rFonts w:ascii="仿宋_GB2312" w:eastAsia="仿宋_GB2312" w:hAnsi="仿宋" w:hint="eastAsia"/>
          <w:sz w:val="30"/>
          <w:szCs w:val="30"/>
        </w:rPr>
        <w:t>附件：</w:t>
      </w:r>
    </w:p>
    <w:p w:rsidR="000F4032" w:rsidRDefault="008A0498">
      <w:pPr>
        <w:spacing w:line="560" w:lineRule="exact"/>
        <w:jc w:val="center"/>
        <w:rPr>
          <w:rFonts w:ascii="仿宋_GB2312" w:eastAsia="仿宋_GB2312"/>
          <w:sz w:val="28"/>
          <w:szCs w:val="30"/>
        </w:rPr>
      </w:pPr>
      <w:r>
        <w:rPr>
          <w:rFonts w:ascii="方正小标宋简体" w:eastAsia="方正小标宋简体" w:hAnsi="Times New Roman" w:cs="Times New Roman" w:hint="eastAsia"/>
          <w:sz w:val="40"/>
          <w:szCs w:val="44"/>
        </w:rPr>
        <w:t>《上海证券交易所沪港通业务实施办法》（</w:t>
      </w:r>
      <w:r>
        <w:rPr>
          <w:rFonts w:ascii="方正小标宋简体" w:eastAsia="方正小标宋简体" w:hAnsi="Times New Roman" w:cs="Times New Roman"/>
          <w:sz w:val="40"/>
          <w:szCs w:val="44"/>
        </w:rPr>
        <w:t>2022</w:t>
      </w:r>
      <w:r>
        <w:rPr>
          <w:rFonts w:ascii="方正小标宋简体" w:eastAsia="方正小标宋简体" w:hAnsi="Times New Roman" w:cs="Times New Roman"/>
          <w:sz w:val="40"/>
          <w:szCs w:val="44"/>
        </w:rPr>
        <w:t>年修订）起草</w:t>
      </w:r>
      <w:r>
        <w:rPr>
          <w:rFonts w:ascii="方正小标宋简体" w:eastAsia="方正小标宋简体" w:hAnsi="Times New Roman" w:cs="Times New Roman" w:hint="eastAsia"/>
          <w:sz w:val="40"/>
          <w:szCs w:val="44"/>
        </w:rPr>
        <w:t>说明</w:t>
      </w:r>
    </w:p>
    <w:p w:rsidR="000F4032" w:rsidRDefault="000F4032">
      <w:pPr>
        <w:overflowPunct w:val="0"/>
        <w:adjustRightInd w:val="0"/>
        <w:snapToGrid w:val="0"/>
        <w:spacing w:line="560" w:lineRule="exact"/>
        <w:ind w:firstLineChars="200" w:firstLine="560"/>
        <w:rPr>
          <w:rFonts w:ascii="仿宋_GB2312" w:eastAsia="仿宋_GB2312" w:hAnsi="仿宋"/>
          <w:sz w:val="28"/>
          <w:szCs w:val="30"/>
        </w:rPr>
      </w:pPr>
    </w:p>
    <w:p w:rsidR="000F4032" w:rsidRDefault="008A0498">
      <w:pPr>
        <w:overflowPunct w:val="0"/>
        <w:adjustRightInd w:val="0"/>
        <w:snapToGrid w:val="0"/>
        <w:spacing w:line="560" w:lineRule="exact"/>
        <w:ind w:firstLineChars="200" w:firstLine="600"/>
        <w:rPr>
          <w:rFonts w:ascii="仿宋_GB2312" w:eastAsia="仿宋_GB2312" w:hAnsi="仿宋" w:cs="Times New Roman"/>
          <w:sz w:val="30"/>
          <w:szCs w:val="30"/>
        </w:rPr>
      </w:pPr>
      <w:r>
        <w:rPr>
          <w:rFonts w:ascii="仿宋_GB2312" w:eastAsia="仿宋_GB2312" w:hAnsi="仿宋" w:cs="Times New Roman" w:hint="eastAsia"/>
          <w:sz w:val="30"/>
          <w:szCs w:val="30"/>
        </w:rPr>
        <w:t>为进一步优化互联互通机制，丰富投资标的，规范投资者交易沪股通股票行为，上海证券交易所（以下简称本所）对《上海证券交易所沪港通业务实施办法》（以下简称《实施办法》）进行修订。现就有关修订情况说明如下：</w:t>
      </w:r>
    </w:p>
    <w:p w:rsidR="000F4032" w:rsidRDefault="008A0498" w:rsidP="00D2378C">
      <w:pPr>
        <w:overflowPunct w:val="0"/>
        <w:adjustRightInd w:val="0"/>
        <w:snapToGrid w:val="0"/>
        <w:spacing w:line="560" w:lineRule="exact"/>
        <w:ind w:firstLineChars="200" w:firstLine="643"/>
        <w:rPr>
          <w:rFonts w:ascii="仿宋_GB2312" w:eastAsia="仿宋_GB2312" w:hAnsi="黑体"/>
          <w:b/>
          <w:sz w:val="30"/>
          <w:szCs w:val="30"/>
        </w:rPr>
      </w:pPr>
      <w:r>
        <w:rPr>
          <w:rFonts w:ascii="黑体" w:eastAsia="黑体" w:hAnsi="黑体" w:hint="eastAsia"/>
          <w:b/>
          <w:sz w:val="32"/>
          <w:szCs w:val="32"/>
        </w:rPr>
        <w:t>一、</w:t>
      </w:r>
      <w:r>
        <w:rPr>
          <w:rFonts w:ascii="仿宋_GB2312" w:eastAsia="仿宋_GB2312" w:hAnsi="黑体" w:hint="eastAsia"/>
          <w:b/>
          <w:sz w:val="30"/>
          <w:szCs w:val="30"/>
        </w:rPr>
        <w:t>修订背景</w:t>
      </w:r>
    </w:p>
    <w:p w:rsidR="000F4032" w:rsidRDefault="008A0498">
      <w:pPr>
        <w:overflowPunct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为落实中国证监会与香港证监会关于交易型开放式基金（交易所买卖基金，以下简称</w:t>
      </w:r>
      <w:r>
        <w:rPr>
          <w:rFonts w:ascii="仿宋_GB2312" w:eastAsia="仿宋_GB2312" w:hAnsi="仿宋" w:hint="eastAsia"/>
          <w:sz w:val="30"/>
          <w:szCs w:val="30"/>
        </w:rPr>
        <w:t>ETF</w:t>
      </w:r>
      <w:r>
        <w:rPr>
          <w:rFonts w:ascii="仿宋_GB2312" w:eastAsia="仿宋_GB2312" w:hAnsi="仿宋" w:hint="eastAsia"/>
          <w:sz w:val="30"/>
          <w:szCs w:val="30"/>
        </w:rPr>
        <w:t>）纳入互联互通投资标的共识，以及《内地与香港股票市场交易互联互通机制若干规定》相关要求，进一步丰富交易品种，持续优化完善互联互通机制，前期，上交所对《实施办法》进行修订，分别就</w:t>
      </w:r>
      <w:r>
        <w:rPr>
          <w:rFonts w:ascii="仿宋_GB2312" w:eastAsia="仿宋_GB2312" w:hAnsi="仿宋" w:hint="eastAsia"/>
          <w:sz w:val="30"/>
          <w:szCs w:val="30"/>
        </w:rPr>
        <w:t>ETF</w:t>
      </w:r>
      <w:r>
        <w:rPr>
          <w:rFonts w:ascii="仿宋_GB2312" w:eastAsia="仿宋_GB2312" w:hAnsi="仿宋" w:hint="eastAsia"/>
          <w:sz w:val="30"/>
          <w:szCs w:val="30"/>
        </w:rPr>
        <w:t>纳入互联互通标的具体安排以及规范内地投资者返程参与沪股通交易行为向市场公开征求意见。征求意见期间，本所共收到</w:t>
      </w:r>
      <w:r>
        <w:rPr>
          <w:rFonts w:ascii="仿宋_GB2312" w:eastAsia="仿宋_GB2312" w:hAnsi="仿宋" w:hint="eastAsia"/>
          <w:sz w:val="30"/>
          <w:szCs w:val="30"/>
        </w:rPr>
        <w:t>14</w:t>
      </w:r>
      <w:r>
        <w:rPr>
          <w:rFonts w:ascii="仿宋_GB2312" w:eastAsia="仿宋_GB2312" w:hAnsi="仿宋" w:hint="eastAsia"/>
          <w:sz w:val="30"/>
          <w:szCs w:val="30"/>
        </w:rPr>
        <w:t>家市场主体</w:t>
      </w:r>
      <w:r>
        <w:rPr>
          <w:rFonts w:ascii="仿宋_GB2312" w:eastAsia="仿宋_GB2312" w:hAnsi="仿宋" w:hint="eastAsia"/>
          <w:sz w:val="30"/>
          <w:szCs w:val="30"/>
        </w:rPr>
        <w:t>21</w:t>
      </w:r>
      <w:r>
        <w:rPr>
          <w:rFonts w:ascii="仿宋_GB2312" w:eastAsia="仿宋_GB2312" w:hAnsi="仿宋" w:hint="eastAsia"/>
          <w:sz w:val="30"/>
          <w:szCs w:val="30"/>
        </w:rPr>
        <w:t>条</w:t>
      </w:r>
      <w:bookmarkStart w:id="0" w:name="_GoBack"/>
      <w:bookmarkEnd w:id="0"/>
      <w:r w:rsidR="000F4032" w:rsidRPr="000F4032">
        <w:rPr>
          <w:rFonts w:ascii="仿宋_GB2312" w:eastAsia="仿宋_GB2312" w:hAnsi="仿宋" w:cs="Times New Roman" w:hint="eastAsia"/>
          <w:sz w:val="30"/>
          <w:szCs w:val="30"/>
        </w:rPr>
        <w:t>意见建议，我们进行了研究吸收，对《实施办法》进行了修改</w:t>
      </w:r>
      <w:r>
        <w:rPr>
          <w:rFonts w:ascii="仿宋_GB2312" w:eastAsia="仿宋_GB2312" w:hAnsi="仿宋" w:hint="eastAsia"/>
          <w:sz w:val="30"/>
          <w:szCs w:val="30"/>
        </w:rPr>
        <w:t>。</w:t>
      </w:r>
    </w:p>
    <w:p w:rsidR="000F4032" w:rsidRDefault="008A0498">
      <w:pPr>
        <w:overflowPunct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为尽快推动</w:t>
      </w:r>
      <w:r>
        <w:rPr>
          <w:rFonts w:ascii="仿宋_GB2312" w:eastAsia="仿宋_GB2312" w:hAnsi="仿宋" w:hint="eastAsia"/>
          <w:sz w:val="30"/>
          <w:szCs w:val="30"/>
        </w:rPr>
        <w:t>ETF</w:t>
      </w:r>
      <w:r>
        <w:rPr>
          <w:rFonts w:ascii="仿宋_GB2312" w:eastAsia="仿宋_GB2312" w:hAnsi="仿宋" w:hint="eastAsia"/>
          <w:sz w:val="30"/>
          <w:szCs w:val="30"/>
        </w:rPr>
        <w:t>纳入标的相关工作，进一步规范投资者交易行为，</w:t>
      </w:r>
      <w:r>
        <w:rPr>
          <w:rFonts w:ascii="仿宋_GB2312" w:eastAsia="仿宋_GB2312" w:hAnsi="仿宋" w:hint="eastAsia"/>
          <w:sz w:val="30"/>
          <w:szCs w:val="30"/>
        </w:rPr>
        <w:t>本所</w:t>
      </w:r>
      <w:r>
        <w:rPr>
          <w:rFonts w:ascii="仿宋_GB2312" w:eastAsia="仿宋_GB2312" w:hAnsi="仿宋" w:hint="eastAsia"/>
          <w:sz w:val="30"/>
          <w:szCs w:val="30"/>
        </w:rPr>
        <w:t>合并两次修订内容形成《实施办法（</w:t>
      </w:r>
      <w:r>
        <w:rPr>
          <w:rFonts w:ascii="仿宋_GB2312" w:eastAsia="仿宋_GB2312" w:hAnsi="仿宋" w:hint="eastAsia"/>
          <w:sz w:val="30"/>
          <w:szCs w:val="30"/>
        </w:rPr>
        <w:t>2022</w:t>
      </w:r>
      <w:r>
        <w:rPr>
          <w:rFonts w:ascii="仿宋_GB2312" w:eastAsia="仿宋_GB2312" w:hAnsi="仿宋" w:hint="eastAsia"/>
          <w:sz w:val="30"/>
          <w:szCs w:val="30"/>
        </w:rPr>
        <w:t>年修订）》。</w:t>
      </w:r>
    </w:p>
    <w:p w:rsidR="000F4032" w:rsidRDefault="008A0498" w:rsidP="00D2378C">
      <w:pPr>
        <w:overflowPunct w:val="0"/>
        <w:adjustRightInd w:val="0"/>
        <w:snapToGrid w:val="0"/>
        <w:spacing w:line="560" w:lineRule="exact"/>
        <w:ind w:firstLineChars="200" w:firstLine="643"/>
        <w:rPr>
          <w:rFonts w:ascii="黑体" w:eastAsia="黑体" w:hAnsi="黑体"/>
          <w:b/>
          <w:sz w:val="32"/>
          <w:szCs w:val="32"/>
        </w:rPr>
      </w:pPr>
      <w:r>
        <w:rPr>
          <w:rFonts w:ascii="黑体" w:eastAsia="黑体" w:hAnsi="黑体" w:hint="eastAsia"/>
          <w:b/>
          <w:sz w:val="32"/>
          <w:szCs w:val="32"/>
        </w:rPr>
        <w:t>二、修订内容</w:t>
      </w:r>
    </w:p>
    <w:p w:rsidR="000F4032" w:rsidRDefault="008A0498">
      <w:pPr>
        <w:overflowPunct w:val="0"/>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黑体" w:hint="eastAsia"/>
          <w:sz w:val="30"/>
          <w:szCs w:val="30"/>
        </w:rPr>
        <w:t>本次《实施办法（</w:t>
      </w:r>
      <w:r>
        <w:rPr>
          <w:rFonts w:ascii="仿宋_GB2312" w:eastAsia="仿宋_GB2312" w:hAnsi="黑体" w:hint="eastAsia"/>
          <w:sz w:val="30"/>
          <w:szCs w:val="30"/>
        </w:rPr>
        <w:t>2022</w:t>
      </w:r>
      <w:r>
        <w:rPr>
          <w:rFonts w:ascii="仿宋_GB2312" w:eastAsia="仿宋_GB2312" w:hAnsi="黑体" w:hint="eastAsia"/>
          <w:sz w:val="30"/>
          <w:szCs w:val="30"/>
        </w:rPr>
        <w:t>年修订）》合</w:t>
      </w:r>
      <w:r>
        <w:rPr>
          <w:rFonts w:ascii="仿宋_GB2312" w:eastAsia="仿宋_GB2312" w:hAnsi="仿宋" w:hint="eastAsia"/>
          <w:sz w:val="30"/>
          <w:szCs w:val="30"/>
        </w:rPr>
        <w:t>计新增</w:t>
      </w:r>
      <w:r>
        <w:rPr>
          <w:rFonts w:ascii="仿宋_GB2312" w:eastAsia="仿宋_GB2312" w:hAnsi="仿宋" w:hint="eastAsia"/>
          <w:sz w:val="30"/>
          <w:szCs w:val="30"/>
        </w:rPr>
        <w:t>16</w:t>
      </w:r>
      <w:r>
        <w:rPr>
          <w:rFonts w:ascii="仿宋_GB2312" w:eastAsia="仿宋_GB2312" w:hAnsi="仿宋" w:hint="eastAsia"/>
          <w:sz w:val="30"/>
          <w:szCs w:val="30"/>
        </w:rPr>
        <w:t>条，修订</w:t>
      </w:r>
      <w:r>
        <w:rPr>
          <w:rFonts w:ascii="仿宋_GB2312" w:eastAsia="仿宋_GB2312" w:hAnsi="仿宋" w:hint="eastAsia"/>
          <w:sz w:val="30"/>
          <w:szCs w:val="30"/>
        </w:rPr>
        <w:t>28</w:t>
      </w:r>
      <w:r>
        <w:rPr>
          <w:rFonts w:ascii="仿宋_GB2312" w:eastAsia="仿宋_GB2312" w:hAnsi="仿宋" w:hint="eastAsia"/>
          <w:sz w:val="30"/>
          <w:szCs w:val="30"/>
        </w:rPr>
        <w:t>条，主要内容包括：</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（一）将沪港通标的证券范围扩展至股票</w:t>
      </w:r>
      <w:r>
        <w:rPr>
          <w:rFonts w:ascii="仿宋_GB2312" w:eastAsia="仿宋_GB2312" w:hAnsi="仿宋" w:hint="eastAsia"/>
          <w:b/>
          <w:sz w:val="30"/>
          <w:szCs w:val="30"/>
        </w:rPr>
        <w:t>ETF</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1.</w:t>
      </w:r>
      <w:r>
        <w:rPr>
          <w:rFonts w:ascii="仿宋_GB2312" w:eastAsia="仿宋_GB2312" w:hAnsi="仿宋" w:hint="eastAsia"/>
          <w:b/>
          <w:sz w:val="30"/>
          <w:szCs w:val="30"/>
        </w:rPr>
        <w:t>明确标的证券范围。</w:t>
      </w:r>
      <w:r>
        <w:rPr>
          <w:rFonts w:ascii="仿宋_GB2312" w:eastAsia="仿宋_GB2312" w:hAnsi="仿宋" w:hint="eastAsia"/>
          <w:sz w:val="30"/>
          <w:szCs w:val="30"/>
        </w:rPr>
        <w:t>新增第十六条、第六十五条，明确沪</w:t>
      </w:r>
      <w:r>
        <w:rPr>
          <w:rFonts w:ascii="仿宋_GB2312" w:eastAsia="仿宋_GB2312" w:hAnsi="仿宋" w:hint="eastAsia"/>
          <w:sz w:val="30"/>
          <w:szCs w:val="30"/>
        </w:rPr>
        <w:lastRenderedPageBreak/>
        <w:t>股通、港股通标的证券包括股票和股票</w:t>
      </w:r>
      <w:r>
        <w:rPr>
          <w:rFonts w:ascii="仿宋_GB2312" w:eastAsia="仿宋_GB2312" w:hAnsi="仿宋" w:hint="eastAsia"/>
          <w:sz w:val="30"/>
          <w:szCs w:val="30"/>
        </w:rPr>
        <w:t>ETF</w:t>
      </w:r>
      <w:r>
        <w:rPr>
          <w:rFonts w:ascii="仿宋_GB2312" w:eastAsia="仿宋_GB2312" w:hAnsi="仿宋" w:hint="eastAsia"/>
          <w:sz w:val="30"/>
          <w:szCs w:val="30"/>
        </w:rPr>
        <w:t>。</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2.</w:t>
      </w:r>
      <w:r>
        <w:rPr>
          <w:rFonts w:ascii="仿宋_GB2312" w:eastAsia="仿宋_GB2312" w:hAnsi="仿宋" w:hint="eastAsia"/>
          <w:b/>
          <w:sz w:val="30"/>
          <w:szCs w:val="30"/>
        </w:rPr>
        <w:t>调整涉及标的证券的通用规定。</w:t>
      </w:r>
      <w:r>
        <w:rPr>
          <w:rFonts w:ascii="仿宋_GB2312" w:eastAsia="仿宋_GB2312" w:hAnsi="仿宋" w:hint="eastAsia"/>
          <w:sz w:val="30"/>
          <w:szCs w:val="30"/>
        </w:rPr>
        <w:t>对于同时适用于股票、股票</w:t>
      </w:r>
      <w:r>
        <w:rPr>
          <w:rFonts w:ascii="仿宋_GB2312" w:eastAsia="仿宋_GB2312" w:hAnsi="仿宋" w:hint="eastAsia"/>
          <w:sz w:val="30"/>
          <w:szCs w:val="30"/>
        </w:rPr>
        <w:t>ETF</w:t>
      </w:r>
      <w:r>
        <w:rPr>
          <w:rFonts w:ascii="仿宋_GB2312" w:eastAsia="仿宋_GB2312" w:hAnsi="仿宋" w:hint="eastAsia"/>
          <w:sz w:val="30"/>
          <w:szCs w:val="30"/>
        </w:rPr>
        <w:t>的规定，统一将“股票”表述调整为“证券”或“标的证券”，包括报价等交易事项、非交易过户、即时行情发布、信息披露等，涉及第二十八条、第三十八条、</w:t>
      </w:r>
      <w:r>
        <w:rPr>
          <w:rFonts w:ascii="仿宋_GB2312" w:eastAsia="仿宋_GB2312" w:hAnsi="仿宋" w:hint="eastAsia"/>
          <w:sz w:val="30"/>
          <w:szCs w:val="30"/>
        </w:rPr>
        <w:t>第</w:t>
      </w:r>
      <w:r>
        <w:rPr>
          <w:rFonts w:ascii="仿宋_GB2312" w:eastAsia="仿宋_GB2312" w:hAnsi="仿宋" w:hint="eastAsia"/>
          <w:sz w:val="30"/>
          <w:szCs w:val="30"/>
        </w:rPr>
        <w:t>四十一条</w:t>
      </w:r>
      <w:r>
        <w:rPr>
          <w:rFonts w:ascii="仿宋_GB2312" w:eastAsia="仿宋_GB2312" w:hAnsi="仿宋" w:hint="eastAsia"/>
          <w:sz w:val="30"/>
          <w:szCs w:val="30"/>
        </w:rPr>
        <w:t>、第</w:t>
      </w:r>
      <w:r>
        <w:rPr>
          <w:rFonts w:ascii="仿宋_GB2312" w:eastAsia="仿宋_GB2312" w:hAnsi="仿宋" w:hint="eastAsia"/>
          <w:sz w:val="30"/>
          <w:szCs w:val="30"/>
        </w:rPr>
        <w:t>九十条、</w:t>
      </w:r>
      <w:r>
        <w:rPr>
          <w:rFonts w:ascii="仿宋_GB2312" w:eastAsia="仿宋_GB2312" w:hAnsi="仿宋" w:hint="eastAsia"/>
          <w:sz w:val="30"/>
          <w:szCs w:val="30"/>
        </w:rPr>
        <w:t>第一百二十九条</w:t>
      </w:r>
      <w:r>
        <w:rPr>
          <w:rFonts w:ascii="仿宋_GB2312" w:eastAsia="仿宋_GB2312" w:hAnsi="仿宋" w:hint="eastAsia"/>
          <w:sz w:val="30"/>
          <w:szCs w:val="30"/>
        </w:rPr>
        <w:t>等。</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3.</w:t>
      </w:r>
      <w:r>
        <w:rPr>
          <w:rFonts w:ascii="仿宋_GB2312" w:eastAsia="仿宋_GB2312" w:hAnsi="仿宋" w:hint="eastAsia"/>
          <w:b/>
          <w:sz w:val="30"/>
          <w:szCs w:val="30"/>
        </w:rPr>
        <w:t>新增沪股通</w:t>
      </w:r>
      <w:r>
        <w:rPr>
          <w:rFonts w:ascii="仿宋_GB2312" w:eastAsia="仿宋_GB2312" w:hAnsi="仿宋" w:hint="eastAsia"/>
          <w:b/>
          <w:sz w:val="30"/>
          <w:szCs w:val="30"/>
        </w:rPr>
        <w:t>ETF</w:t>
      </w:r>
      <w:r>
        <w:rPr>
          <w:rFonts w:ascii="仿宋_GB2312" w:eastAsia="仿宋_GB2312" w:hAnsi="仿宋" w:hint="eastAsia"/>
          <w:b/>
          <w:sz w:val="30"/>
          <w:szCs w:val="30"/>
        </w:rPr>
        <w:t>份额持有人投票权的规定。</w:t>
      </w:r>
      <w:r>
        <w:rPr>
          <w:rFonts w:ascii="仿宋_GB2312" w:eastAsia="仿宋_GB2312" w:hAnsi="仿宋" w:hint="eastAsia"/>
          <w:sz w:val="30"/>
          <w:szCs w:val="30"/>
        </w:rPr>
        <w:t>修订第一百三十三条，明确香港结算作为名义持有人参与基金份额持有人大会并行使表决权的方式，按照《公开募集证券投资基金运作管理办法》相关规定执行</w:t>
      </w:r>
      <w:r>
        <w:rPr>
          <w:rFonts w:ascii="仿宋_GB2312" w:eastAsia="仿宋_GB2312" w:hAnsi="仿宋" w:hint="eastAsia"/>
          <w:sz w:val="30"/>
          <w:szCs w:val="30"/>
        </w:rPr>
        <w:t>。</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（二）明确股票</w:t>
      </w:r>
      <w:r>
        <w:rPr>
          <w:rFonts w:ascii="仿宋_GB2312" w:eastAsia="仿宋_GB2312" w:hAnsi="仿宋" w:hint="eastAsia"/>
          <w:b/>
          <w:sz w:val="30"/>
          <w:szCs w:val="30"/>
        </w:rPr>
        <w:t>ETF</w:t>
      </w:r>
      <w:r>
        <w:rPr>
          <w:rFonts w:ascii="仿宋_GB2312" w:eastAsia="仿宋_GB2312" w:hAnsi="仿宋" w:hint="eastAsia"/>
          <w:b/>
          <w:sz w:val="30"/>
          <w:szCs w:val="30"/>
        </w:rPr>
        <w:t>纳入及调整机制</w:t>
      </w:r>
    </w:p>
    <w:p w:rsidR="000F4032" w:rsidRDefault="008A0498" w:rsidP="00D2378C">
      <w:pPr>
        <w:overflowPunct w:val="0"/>
        <w:adjustRightInd w:val="0"/>
        <w:snapToGrid w:val="0"/>
        <w:spacing w:line="560" w:lineRule="exact"/>
        <w:ind w:firstLineChars="200" w:firstLine="602"/>
        <w:rPr>
          <w:rFonts w:ascii="仿宋_GB2312" w:eastAsia="仿宋_GB2312" w:hAnsi="Times New Roman" w:cs="仿宋"/>
          <w:sz w:val="30"/>
          <w:szCs w:val="30"/>
        </w:rPr>
      </w:pPr>
      <w:r>
        <w:rPr>
          <w:rFonts w:ascii="仿宋_GB2312" w:eastAsia="仿宋_GB2312" w:hAnsi="仿宋" w:hint="eastAsia"/>
          <w:b/>
          <w:sz w:val="30"/>
          <w:szCs w:val="30"/>
        </w:rPr>
        <w:t>1.</w:t>
      </w:r>
      <w:r>
        <w:rPr>
          <w:rFonts w:ascii="仿宋_GB2312" w:eastAsia="仿宋_GB2312" w:hAnsi="仿宋" w:hint="eastAsia"/>
          <w:b/>
          <w:sz w:val="30"/>
          <w:szCs w:val="30"/>
        </w:rPr>
        <w:t>明确纳入条件。</w:t>
      </w:r>
      <w:r>
        <w:rPr>
          <w:rFonts w:ascii="仿宋_GB2312" w:eastAsia="仿宋_GB2312" w:hAnsi="仿宋" w:hint="eastAsia"/>
          <w:sz w:val="30"/>
          <w:szCs w:val="30"/>
        </w:rPr>
        <w:t>新增第二十二条、第</w:t>
      </w:r>
      <w:r>
        <w:rPr>
          <w:rFonts w:ascii="仿宋_GB2312" w:eastAsia="仿宋_GB2312" w:hAnsi="Times New Roman" w:cs="仿宋" w:hint="eastAsia"/>
          <w:sz w:val="30"/>
          <w:szCs w:val="30"/>
        </w:rPr>
        <w:t>七十一</w:t>
      </w:r>
      <w:r>
        <w:rPr>
          <w:rFonts w:ascii="仿宋_GB2312" w:eastAsia="仿宋_GB2312" w:hAnsi="仿宋" w:hint="eastAsia"/>
          <w:sz w:val="30"/>
          <w:szCs w:val="30"/>
        </w:rPr>
        <w:t>条，明确沪股通、港股通</w:t>
      </w:r>
      <w:r>
        <w:rPr>
          <w:rFonts w:ascii="仿宋_GB2312" w:eastAsia="仿宋_GB2312" w:hAnsi="仿宋" w:hint="eastAsia"/>
          <w:sz w:val="30"/>
          <w:szCs w:val="30"/>
        </w:rPr>
        <w:t>ETF</w:t>
      </w:r>
      <w:r>
        <w:rPr>
          <w:rFonts w:ascii="仿宋_GB2312" w:eastAsia="仿宋_GB2312" w:hAnsi="仿宋" w:hint="eastAsia"/>
          <w:sz w:val="30"/>
          <w:szCs w:val="30"/>
        </w:rPr>
        <w:t>纳入条件，包括产品属性、资产规模、上市时间、跟踪指数发布时间、</w:t>
      </w:r>
      <w:r>
        <w:rPr>
          <w:rFonts w:ascii="仿宋_GB2312" w:eastAsia="仿宋_GB2312" w:hAnsi="Times New Roman" w:cs="仿宋" w:hint="eastAsia"/>
          <w:sz w:val="30"/>
          <w:szCs w:val="30"/>
        </w:rPr>
        <w:t>沪深港通股票权重占比、跟踪指数及其编制方案等。</w:t>
      </w:r>
    </w:p>
    <w:p w:rsidR="000F4032" w:rsidRDefault="008A0498" w:rsidP="00D2378C">
      <w:pPr>
        <w:overflowPunct w:val="0"/>
        <w:adjustRightInd w:val="0"/>
        <w:snapToGrid w:val="0"/>
        <w:spacing w:line="560" w:lineRule="exact"/>
        <w:ind w:firstLineChars="200" w:firstLine="602"/>
        <w:rPr>
          <w:rFonts w:ascii="仿宋_GB2312" w:eastAsia="仿宋_GB2312" w:hAnsi="Times New Roman" w:cs="仿宋"/>
          <w:sz w:val="30"/>
          <w:szCs w:val="30"/>
        </w:rPr>
      </w:pPr>
      <w:r>
        <w:rPr>
          <w:rFonts w:ascii="仿宋_GB2312" w:eastAsia="仿宋_GB2312" w:hAnsi="Times New Roman" w:cs="仿宋" w:hint="eastAsia"/>
          <w:b/>
          <w:sz w:val="30"/>
          <w:szCs w:val="30"/>
        </w:rPr>
        <w:t>2.</w:t>
      </w:r>
      <w:r>
        <w:rPr>
          <w:rFonts w:ascii="仿宋_GB2312" w:eastAsia="仿宋_GB2312" w:hAnsi="Times New Roman" w:cs="仿宋" w:hint="eastAsia"/>
          <w:b/>
          <w:sz w:val="30"/>
          <w:szCs w:val="30"/>
        </w:rPr>
        <w:t>明确调出情形。</w:t>
      </w:r>
      <w:r>
        <w:rPr>
          <w:rFonts w:ascii="仿宋_GB2312" w:eastAsia="仿宋_GB2312" w:hAnsi="Times New Roman" w:cs="仿宋" w:hint="eastAsia"/>
          <w:sz w:val="30"/>
          <w:szCs w:val="30"/>
        </w:rPr>
        <w:t>新增第二十三条、第七十二条，明确</w:t>
      </w:r>
      <w:r>
        <w:rPr>
          <w:rFonts w:ascii="仿宋_GB2312" w:eastAsia="仿宋_GB2312" w:hAnsi="仿宋" w:hint="eastAsia"/>
          <w:sz w:val="30"/>
          <w:szCs w:val="30"/>
        </w:rPr>
        <w:t>沪股通、港股通</w:t>
      </w:r>
      <w:r>
        <w:rPr>
          <w:rFonts w:ascii="仿宋_GB2312" w:eastAsia="仿宋_GB2312" w:hAnsi="仿宋" w:hint="eastAsia"/>
          <w:sz w:val="30"/>
          <w:szCs w:val="30"/>
        </w:rPr>
        <w:t>ETF</w:t>
      </w:r>
      <w:r>
        <w:rPr>
          <w:rFonts w:ascii="仿宋_GB2312" w:eastAsia="仿宋_GB2312" w:hAnsi="仿宋" w:hint="eastAsia"/>
          <w:sz w:val="30"/>
          <w:szCs w:val="30"/>
        </w:rPr>
        <w:t>调出情形，包括资产规模、</w:t>
      </w:r>
      <w:r>
        <w:rPr>
          <w:rFonts w:ascii="仿宋_GB2312" w:eastAsia="仿宋_GB2312" w:hAnsi="Times New Roman" w:cs="仿宋" w:hint="eastAsia"/>
          <w:sz w:val="30"/>
          <w:szCs w:val="30"/>
        </w:rPr>
        <w:t>沪深港股通股票权重占比、跟踪指数及其编制方案等。</w:t>
      </w:r>
    </w:p>
    <w:p w:rsidR="000F4032" w:rsidRDefault="008A0498" w:rsidP="00D2378C">
      <w:pPr>
        <w:overflowPunct w:val="0"/>
        <w:adjustRightInd w:val="0"/>
        <w:snapToGrid w:val="0"/>
        <w:spacing w:line="560" w:lineRule="exact"/>
        <w:ind w:firstLineChars="200" w:firstLine="602"/>
        <w:rPr>
          <w:rFonts w:ascii="仿宋_GB2312" w:eastAsia="仿宋_GB2312" w:hAnsi="Times New Roman" w:cs="仿宋"/>
          <w:sz w:val="30"/>
          <w:szCs w:val="30"/>
        </w:rPr>
      </w:pPr>
      <w:r>
        <w:rPr>
          <w:rFonts w:ascii="仿宋_GB2312" w:eastAsia="仿宋_GB2312" w:hAnsi="Times New Roman" w:cs="仿宋" w:hint="eastAsia"/>
          <w:b/>
          <w:sz w:val="30"/>
          <w:szCs w:val="30"/>
        </w:rPr>
        <w:t>3.</w:t>
      </w:r>
      <w:r>
        <w:rPr>
          <w:rFonts w:ascii="仿宋_GB2312" w:eastAsia="仿宋_GB2312" w:hAnsi="Times New Roman" w:cs="仿宋" w:hint="eastAsia"/>
          <w:b/>
          <w:sz w:val="30"/>
          <w:szCs w:val="30"/>
        </w:rPr>
        <w:t>明确定期调整安排。</w:t>
      </w:r>
      <w:r>
        <w:rPr>
          <w:rFonts w:ascii="仿宋_GB2312" w:eastAsia="仿宋_GB2312" w:hAnsi="Times New Roman" w:cs="仿宋" w:hint="eastAsia"/>
          <w:sz w:val="30"/>
          <w:szCs w:val="30"/>
        </w:rPr>
        <w:t>新增第二十四条、第七十三条，明确</w:t>
      </w:r>
      <w:r>
        <w:rPr>
          <w:rFonts w:ascii="仿宋_GB2312" w:eastAsia="仿宋_GB2312" w:hAnsi="仿宋" w:hint="eastAsia"/>
          <w:sz w:val="30"/>
          <w:szCs w:val="30"/>
        </w:rPr>
        <w:t>沪股通、港股通</w:t>
      </w:r>
      <w:r>
        <w:rPr>
          <w:rFonts w:ascii="仿宋_GB2312" w:eastAsia="仿宋_GB2312" w:hAnsi="仿宋" w:hint="eastAsia"/>
          <w:sz w:val="30"/>
          <w:szCs w:val="30"/>
        </w:rPr>
        <w:t>ETF</w:t>
      </w:r>
      <w:r>
        <w:rPr>
          <w:rFonts w:ascii="仿宋_GB2312" w:eastAsia="仿宋_GB2312" w:hAnsi="Times New Roman" w:cs="仿宋" w:hint="eastAsia"/>
          <w:sz w:val="30"/>
          <w:szCs w:val="30"/>
        </w:rPr>
        <w:t>定期调整公布及生效时点。</w:t>
      </w:r>
    </w:p>
    <w:p w:rsidR="000F4032" w:rsidRDefault="008A0498" w:rsidP="00D2378C">
      <w:pPr>
        <w:overflowPunct w:val="0"/>
        <w:adjustRightInd w:val="0"/>
        <w:snapToGrid w:val="0"/>
        <w:spacing w:line="560" w:lineRule="exact"/>
        <w:ind w:firstLineChars="200" w:firstLine="602"/>
        <w:rPr>
          <w:rFonts w:ascii="仿宋_GB2312" w:eastAsia="仿宋_GB2312" w:hAnsi="Times New Roman" w:cs="仿宋"/>
          <w:sz w:val="30"/>
          <w:szCs w:val="30"/>
        </w:rPr>
      </w:pPr>
      <w:r>
        <w:rPr>
          <w:rFonts w:ascii="仿宋_GB2312" w:eastAsia="仿宋_GB2312" w:hAnsi="Times New Roman" w:cs="仿宋" w:hint="eastAsia"/>
          <w:b/>
          <w:sz w:val="30"/>
          <w:szCs w:val="30"/>
        </w:rPr>
        <w:t>4.</w:t>
      </w:r>
      <w:r>
        <w:rPr>
          <w:rFonts w:ascii="仿宋_GB2312" w:eastAsia="仿宋_GB2312" w:hAnsi="Times New Roman" w:cs="仿宋" w:hint="eastAsia"/>
          <w:b/>
          <w:sz w:val="30"/>
          <w:szCs w:val="30"/>
        </w:rPr>
        <w:t>明确临时调整安排。</w:t>
      </w:r>
      <w:r>
        <w:rPr>
          <w:rFonts w:ascii="仿宋_GB2312" w:eastAsia="仿宋_GB2312" w:hAnsi="Times New Roman" w:cs="仿宋" w:hint="eastAsia"/>
          <w:sz w:val="30"/>
          <w:szCs w:val="30"/>
        </w:rPr>
        <w:t>新增第二十五条、第七十四条，明确股票</w:t>
      </w:r>
      <w:r>
        <w:rPr>
          <w:rFonts w:ascii="仿宋_GB2312" w:eastAsia="仿宋_GB2312" w:hAnsi="Times New Roman" w:cs="仿宋" w:hint="eastAsia"/>
          <w:sz w:val="30"/>
          <w:szCs w:val="30"/>
        </w:rPr>
        <w:t>ETF</w:t>
      </w:r>
      <w:r>
        <w:rPr>
          <w:rFonts w:ascii="仿宋_GB2312" w:eastAsia="仿宋_GB2312" w:hAnsi="Times New Roman" w:cs="仿宋" w:hint="eastAsia"/>
          <w:sz w:val="30"/>
          <w:szCs w:val="30"/>
        </w:rPr>
        <w:t>终止上市的临时调整机制。</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Times New Roman" w:cs="仿宋" w:hint="eastAsia"/>
          <w:b/>
          <w:sz w:val="30"/>
          <w:szCs w:val="30"/>
        </w:rPr>
        <w:t>5.</w:t>
      </w:r>
      <w:r>
        <w:rPr>
          <w:rFonts w:ascii="仿宋_GB2312" w:eastAsia="仿宋_GB2312" w:hAnsi="Times New Roman" w:cs="仿宋" w:hint="eastAsia"/>
          <w:b/>
          <w:sz w:val="30"/>
          <w:szCs w:val="30"/>
        </w:rPr>
        <w:t>明确交易所无法获取有关数据的股票</w:t>
      </w:r>
      <w:r>
        <w:rPr>
          <w:rFonts w:ascii="仿宋_GB2312" w:eastAsia="仿宋_GB2312" w:hAnsi="Times New Roman" w:cs="仿宋" w:hint="eastAsia"/>
          <w:b/>
          <w:sz w:val="30"/>
          <w:szCs w:val="30"/>
        </w:rPr>
        <w:t>ETF</w:t>
      </w:r>
      <w:r>
        <w:rPr>
          <w:rFonts w:ascii="仿宋_GB2312" w:eastAsia="仿宋_GB2312" w:hAnsi="Times New Roman" w:cs="仿宋" w:hint="eastAsia"/>
          <w:b/>
          <w:sz w:val="30"/>
          <w:szCs w:val="30"/>
        </w:rPr>
        <w:t>不予纳入。</w:t>
      </w:r>
      <w:r>
        <w:rPr>
          <w:rFonts w:ascii="仿宋_GB2312" w:eastAsia="仿宋_GB2312" w:hAnsi="仿宋" w:hint="eastAsia"/>
          <w:sz w:val="30"/>
          <w:szCs w:val="30"/>
        </w:rPr>
        <w:t>新增第二十六条、第七十五条，明确本所或联交所无法获得用于判断</w:t>
      </w:r>
      <w:r>
        <w:rPr>
          <w:rFonts w:ascii="仿宋_GB2312" w:eastAsia="仿宋_GB2312" w:hAnsi="仿宋" w:hint="eastAsia"/>
          <w:sz w:val="30"/>
          <w:szCs w:val="30"/>
        </w:rPr>
        <w:lastRenderedPageBreak/>
        <w:t>纳入条件的指数数据时，相应股票</w:t>
      </w:r>
      <w:r>
        <w:rPr>
          <w:rFonts w:ascii="仿宋_GB2312" w:eastAsia="仿宋_GB2312" w:hAnsi="仿宋" w:hint="eastAsia"/>
          <w:sz w:val="30"/>
          <w:szCs w:val="30"/>
        </w:rPr>
        <w:t>ETF</w:t>
      </w:r>
      <w:r>
        <w:rPr>
          <w:rFonts w:ascii="仿宋_GB2312" w:eastAsia="仿宋_GB2312" w:hAnsi="仿宋" w:hint="eastAsia"/>
          <w:sz w:val="30"/>
          <w:szCs w:val="30"/>
        </w:rPr>
        <w:t>不予纳入。</w:t>
      </w:r>
    </w:p>
    <w:p w:rsidR="000F4032" w:rsidRDefault="008A0498" w:rsidP="00D2378C">
      <w:pPr>
        <w:overflowPunct w:val="0"/>
        <w:spacing w:line="560" w:lineRule="exact"/>
        <w:ind w:firstLineChars="200" w:firstLine="602"/>
        <w:rPr>
          <w:rFonts w:ascii="仿宋_GB2312" w:eastAsia="仿宋_GB2312" w:hAnsi="黑体"/>
          <w:b/>
          <w:sz w:val="30"/>
          <w:szCs w:val="30"/>
        </w:rPr>
      </w:pPr>
      <w:r>
        <w:rPr>
          <w:rFonts w:ascii="仿宋_GB2312" w:eastAsia="仿宋_GB2312" w:hAnsi="黑体" w:hint="eastAsia"/>
          <w:b/>
          <w:sz w:val="30"/>
          <w:szCs w:val="30"/>
        </w:rPr>
        <w:t>（三）规范投资者返程交易行为</w:t>
      </w:r>
    </w:p>
    <w:p w:rsidR="000F4032" w:rsidRDefault="008A0498" w:rsidP="00D2378C">
      <w:pPr>
        <w:overflowPunct w:val="0"/>
        <w:spacing w:line="560" w:lineRule="exact"/>
        <w:ind w:firstLineChars="200" w:firstLine="602"/>
        <w:rPr>
          <w:rFonts w:ascii="仿宋_GB2312" w:eastAsia="仿宋_GB2312" w:hAnsi="黑体"/>
          <w:b/>
          <w:sz w:val="30"/>
          <w:szCs w:val="30"/>
        </w:rPr>
      </w:pPr>
      <w:r>
        <w:rPr>
          <w:rFonts w:ascii="仿宋_GB2312" w:eastAsia="仿宋_GB2312" w:hAnsi="楷体" w:hint="eastAsia"/>
          <w:b/>
          <w:sz w:val="30"/>
          <w:szCs w:val="30"/>
        </w:rPr>
        <w:t>1.</w:t>
      </w:r>
      <w:r>
        <w:rPr>
          <w:rFonts w:ascii="仿宋_GB2312" w:eastAsia="仿宋_GB2312" w:hAnsi="楷体" w:hint="eastAsia"/>
          <w:b/>
          <w:sz w:val="30"/>
          <w:szCs w:val="30"/>
        </w:rPr>
        <w:t>补充规定沪股通投资者不包括内地投资者</w:t>
      </w:r>
    </w:p>
    <w:p w:rsidR="000F4032" w:rsidRDefault="008A0498">
      <w:pPr>
        <w:overflowPunct w:val="0"/>
        <w:spacing w:line="560" w:lineRule="exact"/>
        <w:ind w:firstLineChars="200" w:firstLine="600"/>
        <w:rPr>
          <w:rFonts w:ascii="仿宋_GB2312" w:eastAsia="仿宋_GB2312" w:hAnsi="黑体"/>
          <w:b/>
          <w:sz w:val="30"/>
          <w:szCs w:val="30"/>
        </w:rPr>
      </w:pPr>
      <w:r>
        <w:rPr>
          <w:rFonts w:ascii="仿宋_GB2312" w:eastAsia="仿宋_GB2312" w:hAnsi="仿宋" w:hint="eastAsia"/>
          <w:sz w:val="30"/>
          <w:szCs w:val="30"/>
        </w:rPr>
        <w:t>新增第四十条，明确规定“沪股通投资者不包括内地投资者。联交所证券交易服务公司应当采取适当方式，要求联交所参与者遵守前款规定，并要求联交所参与者敦促其客户遵守前款规定。”</w:t>
      </w:r>
    </w:p>
    <w:p w:rsidR="000F4032" w:rsidRDefault="008A0498" w:rsidP="00D2378C">
      <w:pPr>
        <w:overflowPunct w:val="0"/>
        <w:spacing w:line="560" w:lineRule="exact"/>
        <w:ind w:firstLineChars="200" w:firstLine="602"/>
        <w:rPr>
          <w:rFonts w:ascii="仿宋_GB2312" w:eastAsia="仿宋_GB2312" w:hAnsi="黑体"/>
          <w:b/>
          <w:sz w:val="30"/>
          <w:szCs w:val="30"/>
        </w:rPr>
      </w:pPr>
      <w:r>
        <w:rPr>
          <w:rFonts w:ascii="仿宋_GB2312" w:eastAsia="仿宋_GB2312" w:hAnsi="楷体" w:hint="eastAsia"/>
          <w:b/>
          <w:sz w:val="30"/>
          <w:szCs w:val="30"/>
        </w:rPr>
        <w:t>2.</w:t>
      </w:r>
      <w:r>
        <w:rPr>
          <w:rFonts w:ascii="仿宋_GB2312" w:eastAsia="仿宋_GB2312" w:hAnsi="楷体" w:hint="eastAsia"/>
          <w:b/>
          <w:sz w:val="30"/>
          <w:szCs w:val="30"/>
        </w:rPr>
        <w:t>明确内地投资者的范围和界定标准</w:t>
      </w:r>
    </w:p>
    <w:p w:rsidR="000F4032" w:rsidRDefault="008A0498">
      <w:pPr>
        <w:overflowPunct w:val="0"/>
        <w:spacing w:line="560" w:lineRule="exact"/>
        <w:ind w:firstLineChars="200" w:firstLine="600"/>
        <w:rPr>
          <w:rFonts w:ascii="仿宋_GB2312" w:eastAsia="仿宋_GB2312" w:hAnsi="黑体"/>
          <w:b/>
          <w:sz w:val="30"/>
          <w:szCs w:val="30"/>
        </w:rPr>
      </w:pPr>
      <w:r>
        <w:rPr>
          <w:rFonts w:ascii="仿宋_GB2312" w:eastAsia="仿宋_GB2312" w:hAnsi="仿宋" w:hint="eastAsia"/>
          <w:sz w:val="30"/>
          <w:szCs w:val="30"/>
        </w:rPr>
        <w:t>第一百二十七条中增加“内地投资者”的释义，“内地投资者指持有中国内地身份证明文件的中国公民和在中国内地注册的法人及非法人组织，不包括取得境外永久居留身份证明文件的中国公民。内地身份证明文件包括境内居民户口簿、居民身份证、中华人民共和国护照、往来港澳通行证。境外永久居留身份证明文件包括但不限于境外国家和地区颁发的永久居民卡、永久居民签证等。”</w:t>
      </w:r>
    </w:p>
    <w:p w:rsidR="000F4032" w:rsidRDefault="008A0498">
      <w:pPr>
        <w:overflowPunct w:val="0"/>
        <w:spacing w:line="560" w:lineRule="exact"/>
        <w:ind w:firstLineChars="200" w:firstLine="600"/>
        <w:rPr>
          <w:rFonts w:ascii="仿宋_GB2312" w:eastAsia="仿宋_GB2312" w:hAnsi="黑体"/>
          <w:b/>
          <w:sz w:val="30"/>
          <w:szCs w:val="30"/>
        </w:rPr>
      </w:pPr>
      <w:r>
        <w:rPr>
          <w:rFonts w:ascii="仿宋_GB2312" w:eastAsia="仿宋_GB2312" w:hAnsi="仿宋" w:hint="eastAsia"/>
          <w:sz w:val="30"/>
          <w:szCs w:val="30"/>
        </w:rPr>
        <w:t>内地身份证明文件不包括前往港澳通行证（俗称单程证）。内地注册法人和非法人组织在境外设立的分支机构或子公司可使用在境外取得的身份证明文件（如商业登记证等）开通沪股通交易权</w:t>
      </w:r>
      <w:r>
        <w:rPr>
          <w:rFonts w:ascii="仿宋_GB2312" w:eastAsia="仿宋_GB2312" w:hAnsi="仿宋" w:hint="eastAsia"/>
          <w:sz w:val="30"/>
          <w:szCs w:val="30"/>
        </w:rPr>
        <w:t>限。</w:t>
      </w:r>
    </w:p>
    <w:p w:rsidR="000F4032" w:rsidRDefault="008A0498">
      <w:pPr>
        <w:overflowPunct w:val="0"/>
        <w:spacing w:line="560" w:lineRule="exact"/>
        <w:ind w:firstLineChars="200" w:firstLine="600"/>
        <w:rPr>
          <w:rFonts w:ascii="仿宋_GB2312" w:eastAsia="仿宋_GB2312" w:hAnsi="黑体"/>
          <w:b/>
          <w:sz w:val="30"/>
          <w:szCs w:val="30"/>
        </w:rPr>
      </w:pPr>
      <w:r>
        <w:rPr>
          <w:rFonts w:ascii="仿宋_GB2312" w:eastAsia="仿宋_GB2312" w:hAnsi="仿宋" w:hint="eastAsia"/>
          <w:sz w:val="30"/>
          <w:szCs w:val="30"/>
        </w:rPr>
        <w:t>如联名账户的投资者中有任一方属内地投资者，该联名账户按内地投资者账户规范。</w:t>
      </w:r>
    </w:p>
    <w:p w:rsidR="000F4032" w:rsidRDefault="008A0498" w:rsidP="00D2378C">
      <w:pPr>
        <w:overflowPunct w:val="0"/>
        <w:adjustRightInd w:val="0"/>
        <w:snapToGrid w:val="0"/>
        <w:spacing w:line="560" w:lineRule="exact"/>
        <w:ind w:firstLineChars="200" w:firstLine="602"/>
        <w:rPr>
          <w:rFonts w:ascii="仿宋_GB2312" w:eastAsia="仿宋_GB2312" w:hAnsi="仿宋"/>
          <w:b/>
          <w:sz w:val="30"/>
          <w:szCs w:val="30"/>
        </w:rPr>
      </w:pPr>
      <w:r>
        <w:rPr>
          <w:rFonts w:ascii="仿宋_GB2312" w:eastAsia="仿宋_GB2312" w:hAnsi="仿宋" w:hint="eastAsia"/>
          <w:b/>
          <w:sz w:val="30"/>
          <w:szCs w:val="30"/>
        </w:rPr>
        <w:t>（四）其他适应性修订</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1.</w:t>
      </w:r>
      <w:r>
        <w:rPr>
          <w:rFonts w:ascii="仿宋_GB2312" w:eastAsia="仿宋_GB2312" w:hAnsi="仿宋" w:hint="eastAsia"/>
          <w:b/>
          <w:sz w:val="30"/>
          <w:szCs w:val="30"/>
        </w:rPr>
        <w:t>新增沪股通</w:t>
      </w:r>
      <w:r>
        <w:rPr>
          <w:rFonts w:ascii="仿宋_GB2312" w:eastAsia="仿宋_GB2312" w:hAnsi="仿宋" w:hint="eastAsia"/>
          <w:b/>
          <w:sz w:val="30"/>
          <w:szCs w:val="30"/>
        </w:rPr>
        <w:t>ETF</w:t>
      </w:r>
      <w:r>
        <w:rPr>
          <w:rFonts w:ascii="仿宋_GB2312" w:eastAsia="仿宋_GB2312" w:hAnsi="仿宋" w:hint="eastAsia"/>
          <w:b/>
          <w:sz w:val="30"/>
          <w:szCs w:val="30"/>
        </w:rPr>
        <w:t>担保卖空豁免提价限制的规定。</w:t>
      </w:r>
      <w:r>
        <w:rPr>
          <w:rFonts w:ascii="仿宋_GB2312" w:eastAsia="仿宋_GB2312" w:hAnsi="仿宋" w:hint="eastAsia"/>
          <w:sz w:val="30"/>
          <w:szCs w:val="30"/>
        </w:rPr>
        <w:t>根据本所《融资融券交易实施细则》，</w:t>
      </w:r>
      <w:r>
        <w:rPr>
          <w:rFonts w:ascii="仿宋_GB2312" w:eastAsia="仿宋_GB2312" w:hAnsi="仿宋" w:hint="eastAsia"/>
          <w:sz w:val="30"/>
          <w:szCs w:val="30"/>
        </w:rPr>
        <w:t>ETF</w:t>
      </w:r>
      <w:r>
        <w:rPr>
          <w:rFonts w:ascii="仿宋_GB2312" w:eastAsia="仿宋_GB2312" w:hAnsi="仿宋" w:hint="eastAsia"/>
          <w:sz w:val="30"/>
          <w:szCs w:val="30"/>
        </w:rPr>
        <w:t>融券卖出豁免提价限制（即申</w:t>
      </w:r>
      <w:r>
        <w:rPr>
          <w:rFonts w:ascii="仿宋_GB2312" w:eastAsia="仿宋_GB2312" w:hAnsi="仿宋" w:hint="eastAsia"/>
          <w:sz w:val="30"/>
          <w:szCs w:val="30"/>
        </w:rPr>
        <w:lastRenderedPageBreak/>
        <w:t>报价格不得低于最近成交价），在第三十五条中新增第四款</w:t>
      </w:r>
      <w:r>
        <w:rPr>
          <w:rFonts w:ascii="仿宋_GB2312" w:eastAsia="仿宋_GB2312" w:hAnsi="仿宋" w:hint="eastAsia"/>
          <w:sz w:val="30"/>
          <w:szCs w:val="30"/>
        </w:rPr>
        <w:t>沪股通</w:t>
      </w:r>
      <w:r>
        <w:rPr>
          <w:rFonts w:ascii="仿宋_GB2312" w:eastAsia="仿宋_GB2312" w:hAnsi="仿宋" w:hint="eastAsia"/>
          <w:sz w:val="30"/>
          <w:szCs w:val="30"/>
        </w:rPr>
        <w:t>ETF</w:t>
      </w:r>
      <w:r>
        <w:rPr>
          <w:rFonts w:ascii="仿宋_GB2312" w:eastAsia="仿宋_GB2312" w:hAnsi="仿宋" w:hint="eastAsia"/>
          <w:sz w:val="30"/>
          <w:szCs w:val="30"/>
        </w:rPr>
        <w:t>担保卖空</w:t>
      </w:r>
      <w:r>
        <w:rPr>
          <w:rFonts w:ascii="仿宋_GB2312" w:eastAsia="仿宋_GB2312" w:hAnsi="仿宋" w:hint="eastAsia"/>
          <w:sz w:val="30"/>
          <w:szCs w:val="30"/>
        </w:rPr>
        <w:t>豁免规定。</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2.</w:t>
      </w:r>
      <w:r>
        <w:rPr>
          <w:rFonts w:ascii="仿宋_GB2312" w:eastAsia="仿宋_GB2312" w:hAnsi="仿宋" w:hint="eastAsia"/>
          <w:b/>
          <w:sz w:val="30"/>
          <w:szCs w:val="30"/>
        </w:rPr>
        <w:t>补充沪股通、港股通</w:t>
      </w:r>
      <w:r>
        <w:rPr>
          <w:rFonts w:ascii="仿宋_GB2312" w:eastAsia="仿宋_GB2312" w:hAnsi="仿宋" w:hint="eastAsia"/>
          <w:b/>
          <w:sz w:val="30"/>
          <w:szCs w:val="30"/>
        </w:rPr>
        <w:t>ETF</w:t>
      </w:r>
      <w:r>
        <w:rPr>
          <w:rFonts w:ascii="仿宋_GB2312" w:eastAsia="仿宋_GB2312" w:hAnsi="仿宋" w:hint="eastAsia"/>
          <w:b/>
          <w:sz w:val="30"/>
          <w:szCs w:val="30"/>
        </w:rPr>
        <w:t>信息披露渠道。</w:t>
      </w:r>
      <w:r>
        <w:rPr>
          <w:rFonts w:ascii="仿宋_GB2312" w:eastAsia="仿宋_GB2312" w:hAnsi="仿宋" w:hint="eastAsia"/>
          <w:sz w:val="30"/>
          <w:szCs w:val="30"/>
        </w:rPr>
        <w:t>根据《公开募集证券投资基金信息披露管理办法》及联交所有关规定，修订第一百三十一条、第一百三十二条。</w:t>
      </w:r>
    </w:p>
    <w:p w:rsidR="000F4032" w:rsidRDefault="008A0498" w:rsidP="00D2378C">
      <w:pPr>
        <w:overflowPunct w:val="0"/>
        <w:adjustRightInd w:val="0"/>
        <w:snapToGrid w:val="0"/>
        <w:spacing w:line="560" w:lineRule="exact"/>
        <w:ind w:firstLineChars="200" w:firstLine="602"/>
        <w:rPr>
          <w:rFonts w:ascii="仿宋_GB2312" w:eastAsia="仿宋_GB2312" w:hAnsi="仿宋"/>
          <w:sz w:val="30"/>
          <w:szCs w:val="30"/>
        </w:rPr>
      </w:pPr>
      <w:r>
        <w:rPr>
          <w:rFonts w:ascii="仿宋_GB2312" w:eastAsia="仿宋_GB2312" w:hAnsi="仿宋" w:hint="eastAsia"/>
          <w:b/>
          <w:sz w:val="30"/>
          <w:szCs w:val="30"/>
        </w:rPr>
        <w:t>3.</w:t>
      </w:r>
      <w:r>
        <w:rPr>
          <w:rFonts w:ascii="仿宋_GB2312" w:eastAsia="仿宋_GB2312" w:hAnsi="仿宋"/>
          <w:b/>
          <w:sz w:val="30"/>
          <w:szCs w:val="30"/>
        </w:rPr>
        <w:t>补充关于沪股通科创板股票盘后固定价格交易的规定。</w:t>
      </w:r>
      <w:r>
        <w:rPr>
          <w:rFonts w:ascii="仿宋_GB2312" w:eastAsia="仿宋_GB2312" w:hAnsi="仿宋"/>
          <w:sz w:val="30"/>
          <w:szCs w:val="30"/>
        </w:rPr>
        <w:t>新增第三十一条，明确沪股通标的证券为科创板股票的，可以采用盘后固定价格交易申报，规定盘后固定价格申报指令应包含的内容；修订第五十条，将盘后固定价格交易纳入沪股通额度控制。</w:t>
      </w:r>
    </w:p>
    <w:p w:rsidR="000F4032" w:rsidRDefault="008A0498" w:rsidP="00D2378C">
      <w:pPr>
        <w:overflowPunct w:val="0"/>
        <w:adjustRightInd w:val="0"/>
        <w:snapToGrid w:val="0"/>
        <w:spacing w:line="560" w:lineRule="exact"/>
        <w:ind w:firstLineChars="200" w:firstLine="602"/>
        <w:rPr>
          <w:rFonts w:ascii="仿宋_GB2312" w:eastAsia="仿宋_GB2312" w:hAnsi="仿宋"/>
          <w:b/>
          <w:sz w:val="30"/>
          <w:szCs w:val="30"/>
        </w:rPr>
      </w:pPr>
      <w:r>
        <w:rPr>
          <w:rFonts w:ascii="仿宋_GB2312" w:eastAsia="仿宋_GB2312" w:hAnsi="仿宋" w:hint="eastAsia"/>
          <w:b/>
          <w:sz w:val="30"/>
          <w:szCs w:val="30"/>
        </w:rPr>
        <w:t>4.</w:t>
      </w:r>
      <w:r>
        <w:rPr>
          <w:rFonts w:ascii="仿宋_GB2312" w:eastAsia="仿宋_GB2312" w:hAnsi="仿宋" w:hint="eastAsia"/>
          <w:b/>
          <w:sz w:val="30"/>
          <w:szCs w:val="30"/>
        </w:rPr>
        <w:t>衔接退市新规，修改不纳入沪股通股票的情形</w:t>
      </w:r>
      <w:r>
        <w:rPr>
          <w:rFonts w:ascii="仿宋_GB2312" w:eastAsia="仿宋_GB2312" w:hAnsi="仿宋" w:hint="eastAsia"/>
          <w:sz w:val="30"/>
          <w:szCs w:val="30"/>
        </w:rPr>
        <w:t>。</w:t>
      </w:r>
      <w:r>
        <w:rPr>
          <w:rFonts w:ascii="仿宋_GB2312" w:eastAsia="仿宋_GB2312" w:hAnsi="仿宋" w:hint="eastAsia"/>
          <w:sz w:val="30"/>
          <w:szCs w:val="30"/>
        </w:rPr>
        <w:t>《上海证券交易所股票上市规则》取消了暂停上市环节，且目前本所已无暂停上市股票。据此调整不纳入沪股通股票的情形，修订第十七条，删除“暂停上市股票”，并修改第十九条，新增“因终止上市被摘牌的”。</w:t>
      </w:r>
    </w:p>
    <w:p w:rsidR="000F4032" w:rsidRDefault="008A0498" w:rsidP="00D2378C">
      <w:pPr>
        <w:overflowPunct w:val="0"/>
        <w:adjustRightInd w:val="0"/>
        <w:snapToGrid w:val="0"/>
        <w:spacing w:line="560" w:lineRule="exact"/>
        <w:ind w:firstLineChars="200" w:firstLine="602"/>
        <w:rPr>
          <w:rFonts w:ascii="仿宋_GB2312" w:eastAsia="仿宋_GB2312" w:hAnsi="黑体"/>
          <w:b/>
          <w:sz w:val="30"/>
          <w:szCs w:val="30"/>
        </w:rPr>
      </w:pPr>
      <w:r>
        <w:rPr>
          <w:rFonts w:ascii="仿宋_GB2312" w:eastAsia="仿宋_GB2312" w:hAnsi="仿宋" w:hint="eastAsia"/>
          <w:b/>
          <w:sz w:val="30"/>
          <w:szCs w:val="30"/>
        </w:rPr>
        <w:t>5.</w:t>
      </w:r>
      <w:r>
        <w:rPr>
          <w:rFonts w:ascii="仿宋_GB2312" w:eastAsia="仿宋_GB2312" w:hAnsi="仿宋" w:hint="eastAsia"/>
          <w:b/>
          <w:sz w:val="30"/>
          <w:szCs w:val="30"/>
        </w:rPr>
        <w:t>新增及补充相关释义。</w:t>
      </w:r>
      <w:r>
        <w:rPr>
          <w:rFonts w:ascii="仿宋_GB2312" w:eastAsia="仿宋_GB2312" w:hAnsi="仿宋" w:hint="eastAsia"/>
          <w:sz w:val="30"/>
          <w:szCs w:val="30"/>
        </w:rPr>
        <w:t>修订第一百二十七条，新增沪股通及港通标的证券、</w:t>
      </w:r>
      <w:r>
        <w:rPr>
          <w:rFonts w:ascii="仿宋_GB2312" w:eastAsia="仿宋_GB2312" w:hAnsi="仿宋" w:hint="eastAsia"/>
          <w:sz w:val="30"/>
          <w:szCs w:val="30"/>
        </w:rPr>
        <w:t>ETF</w:t>
      </w:r>
      <w:r>
        <w:rPr>
          <w:rFonts w:ascii="仿宋_GB2312" w:eastAsia="仿宋_GB2312" w:hAnsi="仿宋" w:hint="eastAsia"/>
          <w:sz w:val="30"/>
          <w:szCs w:val="30"/>
        </w:rPr>
        <w:t>、沪股通及港股通</w:t>
      </w:r>
      <w:r>
        <w:rPr>
          <w:rFonts w:ascii="仿宋_GB2312" w:eastAsia="仿宋_GB2312" w:hAnsi="仿宋" w:hint="eastAsia"/>
          <w:sz w:val="30"/>
          <w:szCs w:val="30"/>
        </w:rPr>
        <w:t>ETF</w:t>
      </w:r>
      <w:r>
        <w:rPr>
          <w:rFonts w:ascii="仿宋_GB2312" w:eastAsia="仿宋_GB2312" w:hAnsi="仿宋" w:hint="eastAsia"/>
          <w:sz w:val="30"/>
          <w:szCs w:val="30"/>
        </w:rPr>
        <w:t>、深股通、定期调整考察截止日、宽基股票指数、合成</w:t>
      </w:r>
      <w:r>
        <w:rPr>
          <w:rFonts w:ascii="仿宋_GB2312" w:eastAsia="仿宋_GB2312" w:hAnsi="仿宋" w:hint="eastAsia"/>
          <w:sz w:val="30"/>
          <w:szCs w:val="30"/>
        </w:rPr>
        <w:t>ETF</w:t>
      </w:r>
      <w:r>
        <w:rPr>
          <w:rFonts w:ascii="仿宋_GB2312" w:eastAsia="仿宋_GB2312" w:hAnsi="仿宋" w:hint="eastAsia"/>
          <w:sz w:val="30"/>
          <w:szCs w:val="30"/>
        </w:rPr>
        <w:t>、杠杆及反向产品等释义；补充沪港通、沪股通、港股通释义，增加股票</w:t>
      </w:r>
      <w:r>
        <w:rPr>
          <w:rFonts w:ascii="仿宋_GB2312" w:eastAsia="仿宋_GB2312" w:hAnsi="仿宋" w:hint="eastAsia"/>
          <w:sz w:val="30"/>
          <w:szCs w:val="30"/>
        </w:rPr>
        <w:t>ETF</w:t>
      </w:r>
      <w:r>
        <w:rPr>
          <w:rFonts w:ascii="仿宋_GB2312" w:eastAsia="仿宋_GB2312" w:hAnsi="仿宋" w:hint="eastAsia"/>
          <w:sz w:val="30"/>
          <w:szCs w:val="30"/>
        </w:rPr>
        <w:t>相关安排。</w:t>
      </w:r>
    </w:p>
    <w:sectPr w:rsidR="000F4032" w:rsidSect="000F4032">
      <w:footerReference w:type="default" r:id="rId6"/>
      <w:pgSz w:w="11906" w:h="16838"/>
      <w:pgMar w:top="1440" w:right="1797" w:bottom="1440" w:left="1797"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B07E6F" w15:done="0"/>
  <w15:commentEx w15:paraId="00EE0A5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498" w:rsidRDefault="008A0498" w:rsidP="000F4032">
      <w:r>
        <w:separator/>
      </w:r>
    </w:p>
  </w:endnote>
  <w:endnote w:type="continuationSeparator" w:id="0">
    <w:p w:rsidR="008A0498" w:rsidRDefault="008A0498" w:rsidP="000F403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32" w:rsidRDefault="008A0498">
    <w:pPr>
      <w:framePr w:wrap="around" w:vAnchor="text" w:hAnchor="margin" w:xAlign="outside" w:y="1"/>
      <w:tabs>
        <w:tab w:val="center" w:pos="4153"/>
        <w:tab w:val="right" w:pos="8306"/>
      </w:tabs>
      <w:snapToGrid w:val="0"/>
      <w:jc w:val="left"/>
      <w:rPr>
        <w:rFonts w:ascii="宋体" w:eastAsia="宋体" w:hAnsi="宋体" w:cs="Times New Roman"/>
        <w:sz w:val="22"/>
      </w:rPr>
    </w:pPr>
    <w:r>
      <w:rPr>
        <w:rFonts w:ascii="宋体" w:eastAsia="宋体" w:hAnsi="宋体" w:cs="Times New Roman" w:hint="eastAsia"/>
        <w:sz w:val="22"/>
      </w:rPr>
      <w:t>—</w:t>
    </w:r>
    <w:r>
      <w:rPr>
        <w:rFonts w:ascii="宋体" w:eastAsia="宋体" w:hAnsi="宋体" w:cs="Times New Roman" w:hint="eastAsia"/>
        <w:sz w:val="22"/>
      </w:rPr>
      <w:t xml:space="preserve"> </w:t>
    </w:r>
    <w:r w:rsidR="000F4032">
      <w:rPr>
        <w:rFonts w:ascii="宋体" w:eastAsia="宋体" w:hAnsi="宋体" w:cs="Times New Roman"/>
        <w:sz w:val="22"/>
      </w:rPr>
      <w:fldChar w:fldCharType="begin"/>
    </w:r>
    <w:r>
      <w:rPr>
        <w:rFonts w:ascii="宋体" w:eastAsia="宋体" w:hAnsi="宋体" w:cs="Times New Roman"/>
        <w:sz w:val="22"/>
      </w:rPr>
      <w:instrText xml:space="preserve">PAGE  </w:instrText>
    </w:r>
    <w:r w:rsidR="000F4032">
      <w:rPr>
        <w:rFonts w:ascii="宋体" w:eastAsia="宋体" w:hAnsi="宋体" w:cs="Times New Roman"/>
        <w:sz w:val="22"/>
      </w:rPr>
      <w:fldChar w:fldCharType="separate"/>
    </w:r>
    <w:r w:rsidR="00D2378C">
      <w:rPr>
        <w:rFonts w:ascii="宋体" w:eastAsia="宋体" w:hAnsi="宋体" w:cs="Times New Roman"/>
        <w:noProof/>
        <w:sz w:val="22"/>
      </w:rPr>
      <w:t>3</w:t>
    </w:r>
    <w:r w:rsidR="000F4032">
      <w:rPr>
        <w:rFonts w:ascii="宋体" w:eastAsia="宋体" w:hAnsi="宋体" w:cs="Times New Roman"/>
        <w:sz w:val="22"/>
      </w:rPr>
      <w:fldChar w:fldCharType="end"/>
    </w:r>
    <w:r>
      <w:rPr>
        <w:rFonts w:ascii="宋体" w:eastAsia="宋体" w:hAnsi="宋体" w:cs="Times New Roman" w:hint="eastAsia"/>
        <w:sz w:val="22"/>
      </w:rPr>
      <w:t xml:space="preserve"> </w:t>
    </w:r>
    <w:r>
      <w:rPr>
        <w:rFonts w:ascii="宋体" w:eastAsia="宋体" w:hAnsi="宋体" w:cs="Times New Roman" w:hint="eastAsia"/>
        <w:sz w:val="22"/>
      </w:rPr>
      <w:t>—</w:t>
    </w:r>
  </w:p>
  <w:p w:rsidR="000F4032" w:rsidRDefault="000F40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498" w:rsidRDefault="008A0498" w:rsidP="000F4032">
      <w:r>
        <w:separator/>
      </w:r>
    </w:p>
  </w:footnote>
  <w:footnote w:type="continuationSeparator" w:id="0">
    <w:p w:rsidR="008A0498" w:rsidRDefault="008A0498" w:rsidP="000F403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axu">
    <w15:presenceInfo w15:providerId="None" w15:userId="aax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0965"/>
    <w:rsid w:val="FAF51147"/>
    <w:rsid w:val="00012522"/>
    <w:rsid w:val="0002066E"/>
    <w:rsid w:val="00026785"/>
    <w:rsid w:val="0004144E"/>
    <w:rsid w:val="00041E20"/>
    <w:rsid w:val="00051705"/>
    <w:rsid w:val="00062932"/>
    <w:rsid w:val="000905F7"/>
    <w:rsid w:val="000950F3"/>
    <w:rsid w:val="000A434D"/>
    <w:rsid w:val="000A560C"/>
    <w:rsid w:val="000B7F4E"/>
    <w:rsid w:val="000C1506"/>
    <w:rsid w:val="000F4032"/>
    <w:rsid w:val="00114C61"/>
    <w:rsid w:val="00125405"/>
    <w:rsid w:val="0013043E"/>
    <w:rsid w:val="00144A79"/>
    <w:rsid w:val="00153877"/>
    <w:rsid w:val="00164FF3"/>
    <w:rsid w:val="00173CF6"/>
    <w:rsid w:val="00181C86"/>
    <w:rsid w:val="00194EA4"/>
    <w:rsid w:val="001B22EA"/>
    <w:rsid w:val="001B2FCD"/>
    <w:rsid w:val="002039A5"/>
    <w:rsid w:val="0020532F"/>
    <w:rsid w:val="00225675"/>
    <w:rsid w:val="00244533"/>
    <w:rsid w:val="00252AFE"/>
    <w:rsid w:val="0025669A"/>
    <w:rsid w:val="002633E3"/>
    <w:rsid w:val="00282E36"/>
    <w:rsid w:val="00287724"/>
    <w:rsid w:val="00295A90"/>
    <w:rsid w:val="002962B8"/>
    <w:rsid w:val="002A0991"/>
    <w:rsid w:val="002A0A2D"/>
    <w:rsid w:val="002F1777"/>
    <w:rsid w:val="00311372"/>
    <w:rsid w:val="00330386"/>
    <w:rsid w:val="00346D11"/>
    <w:rsid w:val="0035186E"/>
    <w:rsid w:val="003534E4"/>
    <w:rsid w:val="003731E5"/>
    <w:rsid w:val="00383F0C"/>
    <w:rsid w:val="003C6399"/>
    <w:rsid w:val="003D52EC"/>
    <w:rsid w:val="003E5A6B"/>
    <w:rsid w:val="0041648D"/>
    <w:rsid w:val="004265BC"/>
    <w:rsid w:val="004523E3"/>
    <w:rsid w:val="00467C53"/>
    <w:rsid w:val="00483E2D"/>
    <w:rsid w:val="0048707B"/>
    <w:rsid w:val="00493FB6"/>
    <w:rsid w:val="004C4580"/>
    <w:rsid w:val="004D26C3"/>
    <w:rsid w:val="004E70E7"/>
    <w:rsid w:val="00504900"/>
    <w:rsid w:val="0050644E"/>
    <w:rsid w:val="0051042C"/>
    <w:rsid w:val="005160FE"/>
    <w:rsid w:val="00532A67"/>
    <w:rsid w:val="005475F5"/>
    <w:rsid w:val="005757F6"/>
    <w:rsid w:val="005A3A80"/>
    <w:rsid w:val="005B0BD9"/>
    <w:rsid w:val="005B222F"/>
    <w:rsid w:val="0061161C"/>
    <w:rsid w:val="00612D45"/>
    <w:rsid w:val="00627F45"/>
    <w:rsid w:val="00635762"/>
    <w:rsid w:val="0064027E"/>
    <w:rsid w:val="006528D7"/>
    <w:rsid w:val="006677CA"/>
    <w:rsid w:val="006778DE"/>
    <w:rsid w:val="00681732"/>
    <w:rsid w:val="0068311E"/>
    <w:rsid w:val="006B3FEF"/>
    <w:rsid w:val="006C4099"/>
    <w:rsid w:val="006D2685"/>
    <w:rsid w:val="007106BC"/>
    <w:rsid w:val="00710B38"/>
    <w:rsid w:val="00714B6B"/>
    <w:rsid w:val="00732DA4"/>
    <w:rsid w:val="00736C92"/>
    <w:rsid w:val="00756578"/>
    <w:rsid w:val="00770A18"/>
    <w:rsid w:val="00770CEC"/>
    <w:rsid w:val="007B7595"/>
    <w:rsid w:val="007D3FC1"/>
    <w:rsid w:val="007E02C1"/>
    <w:rsid w:val="007E4F3C"/>
    <w:rsid w:val="00805AB0"/>
    <w:rsid w:val="00814BDE"/>
    <w:rsid w:val="00865E07"/>
    <w:rsid w:val="00876477"/>
    <w:rsid w:val="0088277A"/>
    <w:rsid w:val="008A0498"/>
    <w:rsid w:val="008A675A"/>
    <w:rsid w:val="008A6B66"/>
    <w:rsid w:val="008B13C1"/>
    <w:rsid w:val="008B412C"/>
    <w:rsid w:val="008D06E7"/>
    <w:rsid w:val="008D7EB2"/>
    <w:rsid w:val="00910965"/>
    <w:rsid w:val="0091208E"/>
    <w:rsid w:val="0091305E"/>
    <w:rsid w:val="00931513"/>
    <w:rsid w:val="009369B2"/>
    <w:rsid w:val="00940346"/>
    <w:rsid w:val="00960AF3"/>
    <w:rsid w:val="00971B1F"/>
    <w:rsid w:val="0098250B"/>
    <w:rsid w:val="009842EA"/>
    <w:rsid w:val="0099682B"/>
    <w:rsid w:val="009A363B"/>
    <w:rsid w:val="009A4875"/>
    <w:rsid w:val="009A661C"/>
    <w:rsid w:val="009E19EC"/>
    <w:rsid w:val="009F0E42"/>
    <w:rsid w:val="00A000C3"/>
    <w:rsid w:val="00A00102"/>
    <w:rsid w:val="00A13EA8"/>
    <w:rsid w:val="00A21095"/>
    <w:rsid w:val="00A23CEA"/>
    <w:rsid w:val="00A337F4"/>
    <w:rsid w:val="00A41F99"/>
    <w:rsid w:val="00A50F09"/>
    <w:rsid w:val="00A6371D"/>
    <w:rsid w:val="00AF5B6D"/>
    <w:rsid w:val="00B033ED"/>
    <w:rsid w:val="00B16439"/>
    <w:rsid w:val="00B22819"/>
    <w:rsid w:val="00B23078"/>
    <w:rsid w:val="00B35B59"/>
    <w:rsid w:val="00B42E6B"/>
    <w:rsid w:val="00B550EB"/>
    <w:rsid w:val="00B643AE"/>
    <w:rsid w:val="00B808A8"/>
    <w:rsid w:val="00B8577E"/>
    <w:rsid w:val="00B9549F"/>
    <w:rsid w:val="00BB2454"/>
    <w:rsid w:val="00C26A9D"/>
    <w:rsid w:val="00C35B07"/>
    <w:rsid w:val="00C35C3A"/>
    <w:rsid w:val="00C8360B"/>
    <w:rsid w:val="00CA5145"/>
    <w:rsid w:val="00CA7DCA"/>
    <w:rsid w:val="00CD08F6"/>
    <w:rsid w:val="00CD10B8"/>
    <w:rsid w:val="00D05836"/>
    <w:rsid w:val="00D23674"/>
    <w:rsid w:val="00D2378C"/>
    <w:rsid w:val="00D2718F"/>
    <w:rsid w:val="00D31630"/>
    <w:rsid w:val="00D36EBC"/>
    <w:rsid w:val="00D679CE"/>
    <w:rsid w:val="00D77981"/>
    <w:rsid w:val="00DC0E2F"/>
    <w:rsid w:val="00DC54F1"/>
    <w:rsid w:val="00DD6AC5"/>
    <w:rsid w:val="00DF09EA"/>
    <w:rsid w:val="00E2596D"/>
    <w:rsid w:val="00E307ED"/>
    <w:rsid w:val="00E530FB"/>
    <w:rsid w:val="00E55B4A"/>
    <w:rsid w:val="00E611F6"/>
    <w:rsid w:val="00E66929"/>
    <w:rsid w:val="00E66C5C"/>
    <w:rsid w:val="00E731E2"/>
    <w:rsid w:val="00EA6409"/>
    <w:rsid w:val="00EB4334"/>
    <w:rsid w:val="00ED111D"/>
    <w:rsid w:val="00ED1D0A"/>
    <w:rsid w:val="00ED70A8"/>
    <w:rsid w:val="00EE1B6A"/>
    <w:rsid w:val="00F1372B"/>
    <w:rsid w:val="00F173A7"/>
    <w:rsid w:val="00F31886"/>
    <w:rsid w:val="00F43ABE"/>
    <w:rsid w:val="00F52AF9"/>
    <w:rsid w:val="00F71732"/>
    <w:rsid w:val="00F7743E"/>
    <w:rsid w:val="00F77867"/>
    <w:rsid w:val="00F81435"/>
    <w:rsid w:val="00F91C29"/>
    <w:rsid w:val="00F96BD2"/>
    <w:rsid w:val="00FB620F"/>
    <w:rsid w:val="00FD02FF"/>
    <w:rsid w:val="00FE238C"/>
    <w:rsid w:val="00FE78A7"/>
    <w:rsid w:val="0CA323B4"/>
    <w:rsid w:val="17BC1B0E"/>
    <w:rsid w:val="1E3F2E04"/>
    <w:rsid w:val="27036605"/>
    <w:rsid w:val="285C02EC"/>
    <w:rsid w:val="29D6351B"/>
    <w:rsid w:val="343D3316"/>
    <w:rsid w:val="3EAE70CF"/>
    <w:rsid w:val="40E66927"/>
    <w:rsid w:val="53BF3185"/>
    <w:rsid w:val="65841713"/>
    <w:rsid w:val="6777E6D7"/>
    <w:rsid w:val="6D946CAC"/>
    <w:rsid w:val="6F342AD0"/>
    <w:rsid w:val="7358144A"/>
    <w:rsid w:val="754D1393"/>
    <w:rsid w:val="76220F96"/>
    <w:rsid w:val="77E55E91"/>
    <w:rsid w:val="7A647024"/>
    <w:rsid w:val="7B4D6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0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0F4032"/>
    <w:pPr>
      <w:jc w:val="left"/>
    </w:pPr>
  </w:style>
  <w:style w:type="paragraph" w:styleId="a4">
    <w:name w:val="Balloon Text"/>
    <w:basedOn w:val="a"/>
    <w:link w:val="Char0"/>
    <w:uiPriority w:val="99"/>
    <w:semiHidden/>
    <w:unhideWhenUsed/>
    <w:rsid w:val="000F4032"/>
    <w:rPr>
      <w:sz w:val="18"/>
      <w:szCs w:val="18"/>
    </w:rPr>
  </w:style>
  <w:style w:type="paragraph" w:styleId="a5">
    <w:name w:val="footer"/>
    <w:basedOn w:val="a"/>
    <w:link w:val="Char1"/>
    <w:uiPriority w:val="99"/>
    <w:unhideWhenUsed/>
    <w:qFormat/>
    <w:rsid w:val="000F4032"/>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0F4032"/>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rsid w:val="000F4032"/>
    <w:rPr>
      <w:sz w:val="21"/>
      <w:szCs w:val="21"/>
    </w:rPr>
  </w:style>
  <w:style w:type="character" w:customStyle="1" w:styleId="Char">
    <w:name w:val="批注文字 Char"/>
    <w:basedOn w:val="a0"/>
    <w:link w:val="a3"/>
    <w:uiPriority w:val="99"/>
    <w:rsid w:val="000F4032"/>
  </w:style>
  <w:style w:type="character" w:customStyle="1" w:styleId="Char1">
    <w:name w:val="页脚 Char"/>
    <w:basedOn w:val="a0"/>
    <w:link w:val="a5"/>
    <w:uiPriority w:val="99"/>
    <w:rsid w:val="000F4032"/>
    <w:rPr>
      <w:sz w:val="18"/>
      <w:szCs w:val="18"/>
    </w:rPr>
  </w:style>
  <w:style w:type="character" w:customStyle="1" w:styleId="Char0">
    <w:name w:val="批注框文本 Char"/>
    <w:basedOn w:val="a0"/>
    <w:link w:val="a4"/>
    <w:uiPriority w:val="99"/>
    <w:semiHidden/>
    <w:rsid w:val="000F4032"/>
    <w:rPr>
      <w:sz w:val="18"/>
      <w:szCs w:val="18"/>
    </w:rPr>
  </w:style>
  <w:style w:type="character" w:customStyle="1" w:styleId="Char2">
    <w:name w:val="页眉 Char"/>
    <w:basedOn w:val="a0"/>
    <w:link w:val="a6"/>
    <w:uiPriority w:val="99"/>
    <w:semiHidden/>
    <w:rsid w:val="000F4032"/>
    <w:rPr>
      <w:sz w:val="18"/>
      <w:szCs w:val="18"/>
    </w:rPr>
  </w:style>
  <w:style w:type="paragraph" w:styleId="a8">
    <w:name w:val="List Paragraph"/>
    <w:basedOn w:val="a"/>
    <w:uiPriority w:val="34"/>
    <w:qFormat/>
    <w:rsid w:val="000F403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310</Words>
  <Characters>1771</Characters>
  <Application>Microsoft Office Word</Application>
  <DocSecurity>0</DocSecurity>
  <Lines>14</Lines>
  <Paragraphs>4</Paragraphs>
  <ScaleCrop>false</ScaleCrop>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李思童(拟稿)</cp:lastModifiedBy>
  <cp:lastPrinted>2022-06-24T08:34:00Z</cp:lastPrinted>
  <dcterms:created xsi:type="dcterms:W3CDTF">2022-06-24T11:11:00Z</dcterms:created>
  <dcterms:modified xsi:type="dcterms:W3CDTF">2022-06-24T09:25:00Z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5DEE8D2FF1F041D686D90C4AD0D5739D</vt:lpwstr>
  </property>
</Properties>
</file>