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5E" w:rsidRPr="00E6344B" w:rsidRDefault="00646D5E" w:rsidP="00646D5E">
      <w:pPr>
        <w:pStyle w:val="doc-a"/>
        <w:rPr>
          <w:rFonts w:ascii="Times New Roman" w:eastAsia="宋体" w:hAnsi="Times New Roman"/>
        </w:rPr>
      </w:pPr>
      <w:r w:rsidRPr="00E6344B">
        <w:rPr>
          <w:rFonts w:ascii="Times New Roman" w:eastAsia="宋体" w:hAnsi="Times New Roman" w:hint="eastAsia"/>
        </w:rPr>
        <w:t>附件一：</w:t>
      </w:r>
      <w:r w:rsidRPr="00E6344B">
        <w:rPr>
          <w:rFonts w:ascii="Times New Roman" w:eastAsia="宋体" w:hAnsi="Times New Roman" w:hint="eastAsia"/>
        </w:rPr>
        <w:t xml:space="preserve"> </w:t>
      </w:r>
      <w:r w:rsidRPr="00E6344B">
        <w:rPr>
          <w:rFonts w:ascii="Times New Roman" w:eastAsia="宋体" w:hAnsi="Times New Roman" w:hint="eastAsia"/>
        </w:rPr>
        <w:t>公司股份变动情况表</w:t>
      </w:r>
    </w:p>
    <w:p w:rsidR="00646D5E" w:rsidRPr="00E6344B" w:rsidRDefault="00646D5E" w:rsidP="00E14038">
      <w:pPr>
        <w:pStyle w:val="a3"/>
        <w:jc w:val="right"/>
        <w:rPr>
          <w:rFonts w:ascii="Times New Roman" w:hAnsi="Times New Roman"/>
          <w:sz w:val="21"/>
          <w:szCs w:val="21"/>
        </w:rPr>
      </w:pPr>
      <w:r w:rsidRPr="00E6344B">
        <w:rPr>
          <w:rFonts w:ascii="Times New Roman" w:hAnsi="Times New Roman" w:hint="eastAsia"/>
          <w:sz w:val="21"/>
          <w:szCs w:val="21"/>
        </w:rPr>
        <w:t>数量单位：股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257"/>
        <w:gridCol w:w="864"/>
        <w:gridCol w:w="649"/>
        <w:gridCol w:w="649"/>
        <w:gridCol w:w="1078"/>
        <w:gridCol w:w="649"/>
        <w:gridCol w:w="649"/>
        <w:gridCol w:w="649"/>
        <w:gridCol w:w="1078"/>
      </w:tblGrid>
      <w:tr w:rsidR="00646D5E" w:rsidRPr="00E6344B" w:rsidTr="00E14038">
        <w:trPr>
          <w:trHeight w:val="624"/>
        </w:trPr>
        <w:tc>
          <w:tcPr>
            <w:tcW w:w="0" w:type="auto"/>
            <w:vMerge w:val="restart"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hideMark/>
          </w:tcPr>
          <w:p w:rsidR="00646D5E" w:rsidRPr="00E6344B" w:rsidRDefault="00646D5E" w:rsidP="00D8141B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E6344B">
              <w:rPr>
                <w:rFonts w:ascii="Times New Roman" w:hAnsi="Times New Roman" w:hint="eastAsia"/>
                <w:sz w:val="21"/>
                <w:szCs w:val="21"/>
              </w:rPr>
              <w:t>本次变</w:t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br/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t>动前</w:t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gridSpan w:val="6"/>
            <w:vMerge w:val="restart"/>
            <w:hideMark/>
          </w:tcPr>
          <w:p w:rsidR="00646D5E" w:rsidRPr="00E6344B" w:rsidRDefault="00646D5E" w:rsidP="00D8141B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E6344B">
              <w:rPr>
                <w:rFonts w:ascii="Times New Roman" w:hAnsi="Times New Roman" w:hint="eastAsia"/>
                <w:sz w:val="21"/>
                <w:szCs w:val="21"/>
              </w:rPr>
              <w:t>本次变动增减（＋，－）</w:t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Merge w:val="restart"/>
            <w:hideMark/>
          </w:tcPr>
          <w:p w:rsidR="00646D5E" w:rsidRPr="00E6344B" w:rsidRDefault="00646D5E" w:rsidP="00D8141B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E6344B">
              <w:rPr>
                <w:rFonts w:ascii="Times New Roman" w:hAnsi="Times New Roman" w:hint="eastAsia"/>
                <w:sz w:val="21"/>
                <w:szCs w:val="21"/>
              </w:rPr>
              <w:t>本次变动</w:t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br/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t>后</w:t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</w:p>
        </w:tc>
      </w:tr>
      <w:tr w:rsidR="00646D5E" w:rsidRPr="00E6344B" w:rsidTr="00E14038">
        <w:trPr>
          <w:trHeight w:val="624"/>
        </w:trPr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46D5E" w:rsidRPr="00E6344B" w:rsidTr="00E14038">
        <w:trPr>
          <w:trHeight w:val="624"/>
        </w:trPr>
        <w:tc>
          <w:tcPr>
            <w:tcW w:w="0" w:type="auto"/>
            <w:vMerge w:val="restart"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hideMark/>
          </w:tcPr>
          <w:p w:rsidR="00646D5E" w:rsidRPr="00E6344B" w:rsidRDefault="00646D5E" w:rsidP="00D8141B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E6344B">
              <w:rPr>
                <w:rFonts w:ascii="Times New Roman" w:hAnsi="Times New Roman" w:hint="eastAsia"/>
                <w:sz w:val="21"/>
                <w:szCs w:val="21"/>
              </w:rPr>
              <w:t>配股</w:t>
            </w:r>
          </w:p>
        </w:tc>
        <w:tc>
          <w:tcPr>
            <w:tcW w:w="0" w:type="auto"/>
            <w:vMerge w:val="restart"/>
            <w:hideMark/>
          </w:tcPr>
          <w:p w:rsidR="00646D5E" w:rsidRPr="00E6344B" w:rsidRDefault="00646D5E" w:rsidP="00D8141B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E6344B">
              <w:rPr>
                <w:rFonts w:ascii="Times New Roman" w:hAnsi="Times New Roman" w:hint="eastAsia"/>
                <w:sz w:val="21"/>
                <w:szCs w:val="21"/>
              </w:rPr>
              <w:t>送股</w:t>
            </w:r>
          </w:p>
        </w:tc>
        <w:tc>
          <w:tcPr>
            <w:tcW w:w="0" w:type="auto"/>
            <w:vMerge w:val="restart"/>
            <w:hideMark/>
          </w:tcPr>
          <w:p w:rsidR="00646D5E" w:rsidRPr="00E6344B" w:rsidRDefault="00646D5E" w:rsidP="00D8141B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E6344B">
              <w:rPr>
                <w:rFonts w:ascii="Times New Roman" w:hAnsi="Times New Roman" w:hint="eastAsia"/>
                <w:sz w:val="21"/>
                <w:szCs w:val="21"/>
              </w:rPr>
              <w:t>公积金转</w:t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br/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t>股</w:t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Merge w:val="restart"/>
            <w:hideMark/>
          </w:tcPr>
          <w:p w:rsidR="00646D5E" w:rsidRPr="00E6344B" w:rsidRDefault="00646D5E" w:rsidP="00D8141B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E6344B">
              <w:rPr>
                <w:rFonts w:ascii="Times New Roman" w:hAnsi="Times New Roman" w:hint="eastAsia"/>
                <w:sz w:val="21"/>
                <w:szCs w:val="21"/>
              </w:rPr>
              <w:t>增发</w:t>
            </w:r>
          </w:p>
        </w:tc>
        <w:tc>
          <w:tcPr>
            <w:tcW w:w="0" w:type="auto"/>
            <w:vMerge w:val="restart"/>
            <w:hideMark/>
          </w:tcPr>
          <w:p w:rsidR="00646D5E" w:rsidRPr="00E6344B" w:rsidRDefault="00646D5E" w:rsidP="00D8141B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E6344B">
              <w:rPr>
                <w:rFonts w:ascii="Times New Roman" w:hAnsi="Times New Roman" w:hint="eastAsia"/>
                <w:sz w:val="21"/>
                <w:szCs w:val="21"/>
              </w:rPr>
              <w:t>其他</w:t>
            </w:r>
          </w:p>
        </w:tc>
        <w:tc>
          <w:tcPr>
            <w:tcW w:w="0" w:type="auto"/>
            <w:vMerge w:val="restart"/>
            <w:hideMark/>
          </w:tcPr>
          <w:p w:rsidR="00646D5E" w:rsidRPr="00E6344B" w:rsidRDefault="00646D5E" w:rsidP="00D8141B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E6344B">
              <w:rPr>
                <w:rFonts w:ascii="Times New Roman" w:hAnsi="Times New Roman" w:hint="eastAsia"/>
                <w:sz w:val="21"/>
                <w:szCs w:val="21"/>
              </w:rPr>
              <w:t>小计</w:t>
            </w:r>
          </w:p>
        </w:tc>
        <w:tc>
          <w:tcPr>
            <w:tcW w:w="0" w:type="auto"/>
            <w:vMerge w:val="restart"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46D5E" w:rsidRPr="00E6344B" w:rsidTr="00E14038">
        <w:trPr>
          <w:trHeight w:val="624"/>
        </w:trPr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46D5E" w:rsidRPr="00E6344B" w:rsidTr="00E14038">
        <w:trPr>
          <w:trHeight w:val="624"/>
        </w:trPr>
        <w:tc>
          <w:tcPr>
            <w:tcW w:w="0" w:type="auto"/>
            <w:vMerge w:val="restart"/>
            <w:hideMark/>
          </w:tcPr>
          <w:p w:rsidR="00646D5E" w:rsidRPr="00E6344B" w:rsidRDefault="00646D5E" w:rsidP="00D8141B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E6344B">
              <w:rPr>
                <w:rFonts w:ascii="Times New Roman" w:hAnsi="Times New Roman" w:hint="eastAsia"/>
                <w:sz w:val="21"/>
                <w:szCs w:val="21"/>
              </w:rPr>
              <w:t>未上市流通股份</w:t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br/>
              <w:t>1</w:t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t>、发起人股份</w:t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br/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t>其中：</w:t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br/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t>国家持有股份</w:t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br/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t>境内法人持有股份</w:t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br/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t>境外法人持有股份</w:t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br/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t>其他</w:t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br/>
              <w:t>2</w:t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t>、募集法人股份</w:t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br/>
              <w:t>3</w:t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t>、内部职工股</w:t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br/>
              <w:t>4</w:t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t>、优先股或其他</w:t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br/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t>未上市流通股份合计</w:t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br/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t>二、已上市流通股份</w:t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br/>
              <w:t>1</w:t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t>、人民币普通股</w:t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br/>
              <w:t>2</w:t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t>、境内上市的外资股</w:t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br/>
              <w:t>1</w:t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t>、境外上市的外资股</w:t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br/>
              <w:t>2</w:t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t>、其他</w:t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br/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t>已上市流通股份合计</w:t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Merge w:val="restart"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46D5E" w:rsidRPr="00E6344B" w:rsidTr="00E14038">
        <w:trPr>
          <w:trHeight w:val="624"/>
        </w:trPr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46D5E" w:rsidRPr="00E6344B" w:rsidTr="00E14038">
        <w:trPr>
          <w:trHeight w:val="624"/>
        </w:trPr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46D5E" w:rsidRPr="00E6344B" w:rsidTr="00E14038">
        <w:trPr>
          <w:trHeight w:val="624"/>
        </w:trPr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46D5E" w:rsidRPr="00E6344B" w:rsidTr="00E14038">
        <w:trPr>
          <w:trHeight w:val="624"/>
        </w:trPr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46D5E" w:rsidRPr="00E6344B" w:rsidTr="00E14038">
        <w:trPr>
          <w:trHeight w:val="624"/>
        </w:trPr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46D5E" w:rsidRPr="00E6344B" w:rsidTr="00E14038">
        <w:trPr>
          <w:trHeight w:val="624"/>
        </w:trPr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46D5E" w:rsidRPr="00E6344B" w:rsidTr="00E14038">
        <w:trPr>
          <w:trHeight w:val="624"/>
        </w:trPr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46D5E" w:rsidRPr="00E6344B" w:rsidTr="00E14038">
        <w:trPr>
          <w:trHeight w:val="624"/>
        </w:trPr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46D5E" w:rsidRPr="00E6344B" w:rsidTr="00E14038">
        <w:trPr>
          <w:trHeight w:val="624"/>
        </w:trPr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46D5E" w:rsidRPr="00E6344B" w:rsidTr="00E14038">
        <w:trPr>
          <w:trHeight w:val="624"/>
        </w:trPr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46D5E" w:rsidRPr="00E6344B" w:rsidTr="00E14038">
        <w:trPr>
          <w:trHeight w:val="624"/>
        </w:trPr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46D5E" w:rsidRPr="00E6344B" w:rsidTr="00E14038">
        <w:trPr>
          <w:trHeight w:val="624"/>
        </w:trPr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46D5E" w:rsidRPr="00E6344B" w:rsidTr="00E14038">
        <w:trPr>
          <w:trHeight w:val="624"/>
        </w:trPr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46D5E" w:rsidRPr="00E6344B" w:rsidTr="00E14038">
        <w:trPr>
          <w:trHeight w:val="624"/>
        </w:trPr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46D5E" w:rsidRPr="00E6344B" w:rsidTr="00E14038">
        <w:trPr>
          <w:trHeight w:val="624"/>
        </w:trPr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46D5E" w:rsidRPr="00E6344B" w:rsidTr="00E14038">
        <w:trPr>
          <w:trHeight w:val="624"/>
        </w:trPr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46D5E" w:rsidRPr="00E6344B" w:rsidTr="00E14038">
        <w:tc>
          <w:tcPr>
            <w:tcW w:w="0" w:type="auto"/>
            <w:hideMark/>
          </w:tcPr>
          <w:p w:rsidR="00646D5E" w:rsidRPr="00E6344B" w:rsidRDefault="00646D5E" w:rsidP="00D8141B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E6344B">
              <w:rPr>
                <w:rFonts w:ascii="Times New Roman" w:hAnsi="Times New Roman" w:hint="eastAsia"/>
                <w:sz w:val="21"/>
                <w:szCs w:val="21"/>
              </w:rPr>
              <w:t>三、股份总数</w:t>
            </w:r>
            <w:r w:rsidRPr="00E6344B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646D5E" w:rsidRPr="00E6344B" w:rsidRDefault="00646D5E" w:rsidP="00D814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2625E2" w:rsidRPr="00E6344B" w:rsidRDefault="00646D5E" w:rsidP="00E14038">
      <w:pPr>
        <w:pStyle w:val="a3"/>
        <w:rPr>
          <w:rFonts w:ascii="Times New Roman" w:hAnsi="Times New Roman"/>
          <w:sz w:val="21"/>
          <w:szCs w:val="21"/>
        </w:rPr>
      </w:pPr>
      <w:r w:rsidRPr="00E6344B">
        <w:rPr>
          <w:rFonts w:ascii="Times New Roman" w:hAnsi="Times New Roman" w:hint="eastAsia"/>
          <w:sz w:val="21"/>
          <w:szCs w:val="21"/>
        </w:rPr>
        <w:t>注：公司如有基金配售股份、柜台交易公司内部职工股份、战略投资者配售股份、一般法人配售股份，应分别披露其股份</w:t>
      </w:r>
      <w:bookmarkStart w:id="0" w:name="_GoBack"/>
      <w:bookmarkEnd w:id="0"/>
      <w:r w:rsidRPr="00E6344B">
        <w:rPr>
          <w:rFonts w:ascii="Times New Roman" w:hAnsi="Times New Roman" w:hint="eastAsia"/>
          <w:sz w:val="21"/>
          <w:szCs w:val="21"/>
        </w:rPr>
        <w:t>数额。</w:t>
      </w:r>
      <w:bookmarkStart w:id="1" w:name="No334_F1"/>
      <w:bookmarkEnd w:id="1"/>
    </w:p>
    <w:sectPr w:rsidR="002625E2" w:rsidRPr="00E63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6C0" w:rsidRDefault="005346C0" w:rsidP="00E14038">
      <w:r>
        <w:separator/>
      </w:r>
    </w:p>
  </w:endnote>
  <w:endnote w:type="continuationSeparator" w:id="0">
    <w:p w:rsidR="005346C0" w:rsidRDefault="005346C0" w:rsidP="00E1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6C0" w:rsidRDefault="005346C0" w:rsidP="00E14038">
      <w:r>
        <w:separator/>
      </w:r>
    </w:p>
  </w:footnote>
  <w:footnote w:type="continuationSeparator" w:id="0">
    <w:p w:rsidR="005346C0" w:rsidRDefault="005346C0" w:rsidP="00E14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5E"/>
    <w:rsid w:val="000D7542"/>
    <w:rsid w:val="002625E2"/>
    <w:rsid w:val="0048033D"/>
    <w:rsid w:val="005346C0"/>
    <w:rsid w:val="00646D5E"/>
    <w:rsid w:val="00E14038"/>
    <w:rsid w:val="00E6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5E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D5E"/>
    <w:pPr>
      <w:spacing w:before="100" w:beforeAutospacing="1" w:after="100" w:afterAutospacing="1"/>
    </w:pPr>
  </w:style>
  <w:style w:type="paragraph" w:customStyle="1" w:styleId="doc-a">
    <w:name w:val="doc-a"/>
    <w:basedOn w:val="a"/>
    <w:rsid w:val="00646D5E"/>
    <w:pPr>
      <w:spacing w:before="100" w:beforeAutospacing="1" w:after="100" w:afterAutospacing="1"/>
      <w:ind w:firstLine="480"/>
    </w:pPr>
    <w:rPr>
      <w:rFonts w:ascii="微软雅黑" w:eastAsia="微软雅黑" w:hAnsi="微软雅黑"/>
      <w:sz w:val="21"/>
      <w:szCs w:val="21"/>
    </w:rPr>
  </w:style>
  <w:style w:type="paragraph" w:styleId="a4">
    <w:name w:val="header"/>
    <w:basedOn w:val="a"/>
    <w:link w:val="Char"/>
    <w:uiPriority w:val="99"/>
    <w:unhideWhenUsed/>
    <w:rsid w:val="00E14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14038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1403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14038"/>
    <w:rPr>
      <w:rFonts w:ascii="宋体" w:eastAsia="宋体" w:hAnsi="宋体" w:cs="宋体"/>
      <w:kern w:val="0"/>
      <w:sz w:val="18"/>
      <w:szCs w:val="18"/>
    </w:rPr>
  </w:style>
  <w:style w:type="table" w:styleId="a6">
    <w:name w:val="Table Grid"/>
    <w:basedOn w:val="a1"/>
    <w:uiPriority w:val="59"/>
    <w:rsid w:val="00E14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5E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D5E"/>
    <w:pPr>
      <w:spacing w:before="100" w:beforeAutospacing="1" w:after="100" w:afterAutospacing="1"/>
    </w:pPr>
  </w:style>
  <w:style w:type="paragraph" w:customStyle="1" w:styleId="doc-a">
    <w:name w:val="doc-a"/>
    <w:basedOn w:val="a"/>
    <w:rsid w:val="00646D5E"/>
    <w:pPr>
      <w:spacing w:before="100" w:beforeAutospacing="1" w:after="100" w:afterAutospacing="1"/>
      <w:ind w:firstLine="480"/>
    </w:pPr>
    <w:rPr>
      <w:rFonts w:ascii="微软雅黑" w:eastAsia="微软雅黑" w:hAnsi="微软雅黑"/>
      <w:sz w:val="21"/>
      <w:szCs w:val="21"/>
    </w:rPr>
  </w:style>
  <w:style w:type="paragraph" w:styleId="a4">
    <w:name w:val="header"/>
    <w:basedOn w:val="a"/>
    <w:link w:val="Char"/>
    <w:uiPriority w:val="99"/>
    <w:unhideWhenUsed/>
    <w:rsid w:val="00E14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14038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1403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14038"/>
    <w:rPr>
      <w:rFonts w:ascii="宋体" w:eastAsia="宋体" w:hAnsi="宋体" w:cs="宋体"/>
      <w:kern w:val="0"/>
      <w:sz w:val="18"/>
      <w:szCs w:val="18"/>
    </w:rPr>
  </w:style>
  <w:style w:type="table" w:styleId="a6">
    <w:name w:val="Table Grid"/>
    <w:basedOn w:val="a1"/>
    <w:uiPriority w:val="59"/>
    <w:rsid w:val="00E14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Wang, Meng</dc:creator>
  <cp:lastModifiedBy>Tang，zejia</cp:lastModifiedBy>
  <cp:revision>3</cp:revision>
  <dcterms:created xsi:type="dcterms:W3CDTF">2017-12-05T06:49:00Z</dcterms:created>
  <dcterms:modified xsi:type="dcterms:W3CDTF">2017-12-05T07:28:00Z</dcterms:modified>
</cp:coreProperties>
</file>