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 w:val="0"/>
          <w:bCs/>
          <w:sz w:val="36"/>
          <w:szCs w:val="36"/>
          <w:lang w:eastAsia="zh-CN"/>
        </w:rPr>
        <w:t>境外</w:t>
      </w:r>
      <w:r>
        <w:rPr>
          <w:rFonts w:hint="default" w:ascii="Times New Roman" w:hAnsi="Times New Roman" w:eastAsia="方正大标宋简体" w:cs="Times New Roman"/>
          <w:b w:val="0"/>
          <w:bCs/>
          <w:sz w:val="36"/>
          <w:szCs w:val="36"/>
          <w:lang w:val="en-US" w:eastAsia="zh-CN"/>
        </w:rPr>
        <w:t>发行</w:t>
      </w:r>
      <w:r>
        <w:rPr>
          <w:rFonts w:hint="default" w:ascii="Times New Roman" w:hAnsi="Times New Roman" w:eastAsia="方正大标宋简体" w:cs="Times New Roman"/>
          <w:b w:val="0"/>
          <w:bCs/>
          <w:sz w:val="36"/>
          <w:szCs w:val="36"/>
          <w:lang w:eastAsia="zh-CN"/>
        </w:rPr>
        <w:t>上市</w:t>
      </w:r>
      <w:r>
        <w:rPr>
          <w:rFonts w:hint="default" w:ascii="Times New Roman" w:hAnsi="Times New Roman" w:eastAsia="方正大标宋简体" w:cs="Times New Roman"/>
          <w:b w:val="0"/>
          <w:bCs/>
          <w:sz w:val="36"/>
          <w:szCs w:val="36"/>
          <w:lang w:val="en-US" w:eastAsia="zh-CN"/>
        </w:rPr>
        <w:t xml:space="preserve">备案补充材料要求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  <w:t>20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  <w:t>20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 w:cs="Times New Roman"/>
          <w:b w:val="0"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default" w:ascii="Times New Roman" w:hAnsi="Times New Roman" w:eastAsia="sysfST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本周国际部共对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家企业出具补充材料要求，具体如下：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宜搜科技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一、关于控制架构：（1）控制架构设立的合规性，包括但不限于境外搭建协议架构和返程并购涉及的外汇管理、境外投资等监管程序情况、税费依法缴纳情况等；（2）控制架构下的相关主体之间的具体交易安排，包括但不限于相关交易的时间、金额、途径、方</w:t>
      </w:r>
      <w:bookmarkStart w:id="0" w:name="_GoBack"/>
      <w:bookmarkEnd w:id="0"/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式和定价公允性，有关资金往来、利润转移安排等情况，并提供相关依据；（3）2023年上市前融资资金用途，归还贷款等有关资金往来情况。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二、关于股权变动及注册资本缴纳情況：（1）发行人股东是否存在境内主体，相关境内股东入股履行的外汇管理、境外投资的监管程序情况；（2）上海盛大入股发行人价格明显偏低的原因及合规性；（3）在境内设立汪氏中国特殊目的公司的原因，相关股权转让是否依法缴纳税款；（4）发行人主要境内运营实体注册资本未实缴或未缴足的原因及合规性，是否对本次发行上市构成实质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三、关于信托持股情况：发行人控股股东 Growth Value LTD.上层信托所涉相关合约及资管安排的主要内容，包括但不限于信托的具体方式、信托管理权限、信托或资产管理费用、合同的期限及变更终止的条件、信托资产处理安排、合同签订的时间及其他特别条款、最终受益人情况、导致实际控制人在发行人中拥有权益的股份变动的时间及方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四、关于个人信息保护、数据安全情况：（1）发行人及参控股公司、主要境内运营实体开发、运营的APP、小程序等产品情况，说明是否涉及向第三方提供信息内容，如提供，说明信息内容的类型，以及信息内容安全保护的措施；（2）收集及储存的用户信息规模、数据收集使用情况，上市前后个人信息保护和数据安全的安排或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ysfST">
    <w:altName w:val="Microsoft YaHei UI"/>
    <w:panose1 w:val="02010604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ZmFiOWIxMjIwNmVmM2RmZWY4MzcxZDhjYTI5NTAifQ=="/>
  </w:docVars>
  <w:rsids>
    <w:rsidRoot w:val="00000000"/>
    <w:rsid w:val="0E44753E"/>
    <w:rsid w:val="1BB37D0C"/>
    <w:rsid w:val="1CF55EC2"/>
    <w:rsid w:val="27FE7EF5"/>
    <w:rsid w:val="2AAE54B0"/>
    <w:rsid w:val="31374878"/>
    <w:rsid w:val="364F1880"/>
    <w:rsid w:val="37CA2FB8"/>
    <w:rsid w:val="415F215E"/>
    <w:rsid w:val="44DB509A"/>
    <w:rsid w:val="45EE19C9"/>
    <w:rsid w:val="4C375388"/>
    <w:rsid w:val="52FB4767"/>
    <w:rsid w:val="5BEB6955"/>
    <w:rsid w:val="5FAA5D12"/>
    <w:rsid w:val="63213148"/>
    <w:rsid w:val="6B427CD6"/>
    <w:rsid w:val="6E65353A"/>
    <w:rsid w:val="70FD0A4B"/>
    <w:rsid w:val="753C1291"/>
    <w:rsid w:val="787976EC"/>
    <w:rsid w:val="7B2256E9"/>
    <w:rsid w:val="7D623D1C"/>
    <w:rsid w:val="7E5A2901"/>
    <w:rsid w:val="7EE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731</Characters>
  <Lines>0</Lines>
  <Paragraphs>0</Paragraphs>
  <TotalTime>2</TotalTime>
  <ScaleCrop>false</ScaleCrop>
  <LinksUpToDate>false</LinksUpToDate>
  <CharactersWithSpaces>735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2023-04-21T08:40:00Z</dcterms:created>
  <dc:creator>randi</dc:creator>
  <cp:lastModifiedBy>Randz</cp:lastModifiedBy>
  <dcterms:modified xsi:type="dcterms:W3CDTF">2023-06-16T11:00:57Z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4459C3D9C936452E895A241F23E4CC5D</vt:lpwstr>
  </property>
</Properties>
</file>