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《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天津市滨海新区烟草专卖局烟草制品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零售点合理布局规定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》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制定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4"/>
        <w:jc w:val="both"/>
        <w:textAlignment w:val="auto"/>
        <w:rPr>
          <w:sz w:val="24"/>
          <w:szCs w:val="24"/>
        </w:rPr>
      </w:pPr>
      <w:r>
        <w:rPr>
          <w:rFonts w:hint="eastAsia" w:ascii="仿宋_GB2312" w:hAnsi="仿宋" w:eastAsia="仿宋_GB2312" w:cs="仿宋"/>
          <w:sz w:val="32"/>
          <w:szCs w:val="32"/>
        </w:rPr>
        <w:t>为维护国家利益和消费者利益，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保护烟草制品经营者</w:t>
      </w:r>
      <w:r>
        <w:rPr>
          <w:rFonts w:hint="eastAsia" w:ascii="仿宋_GB2312" w:hAnsi="仿宋" w:eastAsia="仿宋_GB2312" w:cs="仿宋"/>
          <w:sz w:val="32"/>
          <w:szCs w:val="32"/>
        </w:rPr>
        <w:t>和未成年人的合法权益，加强烟草制品零售点布局管理，合理配置烟草市场资源，更加规范烟草制品零售市场秩序，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天津市</w:t>
      </w:r>
      <w:r>
        <w:rPr>
          <w:rFonts w:hint="eastAsia" w:ascii="仿宋_GB2312" w:eastAsia="仿宋_GB2312"/>
          <w:sz w:val="32"/>
          <w:szCs w:val="32"/>
          <w:lang w:eastAsia="zh-CN"/>
        </w:rPr>
        <w:t>滨海新区烟草专卖局遵循依法行政、科学规划、服务社会、均衡发展的原则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结合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滨海新区实际情况，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研究起草</w:t>
      </w:r>
      <w:r>
        <w:rPr>
          <w:rFonts w:hint="eastAsia" w:ascii="仿宋_GB2312" w:eastAsia="仿宋_GB2312"/>
          <w:sz w:val="32"/>
          <w:szCs w:val="32"/>
        </w:rPr>
        <w:t>《天津市滨海新区烟草专卖局烟草制品零售点合理布局规定》</w:t>
      </w:r>
      <w:r>
        <w:rPr>
          <w:rFonts w:hint="eastAsia" w:ascii="仿宋_GB2312" w:eastAsia="仿宋_GB2312"/>
          <w:sz w:val="32"/>
          <w:szCs w:val="32"/>
          <w:lang w:eastAsia="zh-CN"/>
        </w:rPr>
        <w:t>（以下简称合理布局规定），</w:t>
      </w:r>
      <w:r>
        <w:rPr>
          <w:rFonts w:hint="eastAsia" w:ascii="仿宋_GB2312" w:eastAsia="仿宋_GB2312"/>
          <w:sz w:val="32"/>
          <w:szCs w:val="32"/>
        </w:rPr>
        <w:t>现就相关情况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hint="eastAsia" w:ascii="仿宋_GB2312" w:hAnsi="微软雅黑" w:eastAsia="仿宋_GB2312" w:cs="仿宋_GB2312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为科学合理调控卷烟零售市场，依法履行烟草零售市场准入与退出的监管职责，合理满足社会消费需求，防止无序过度竞争，落实控烟履约要求，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保护烟草制品经营者、消费者</w:t>
      </w:r>
      <w:r>
        <w:rPr>
          <w:rFonts w:hint="eastAsia" w:ascii="仿宋_GB2312" w:hAnsi="仿宋" w:eastAsia="仿宋_GB2312" w:cs="仿宋"/>
          <w:sz w:val="32"/>
          <w:szCs w:val="32"/>
        </w:rPr>
        <w:t>和未成年人的合法权益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，天津市滨海新区烟草专卖局在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2021版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合理布局规定的基础上，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针对零售点设置标准进行了完善，借鉴行业其他单位优秀管理经验，引入“人均持证率”和“消费满足率”，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划分区域网格单元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合理设置零售点规划数量。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许可法》《中华人民共和国烟草专卖法》《中华人民共和国行政许可法》《中华人民共和国烟草专卖法实施条例》《烟草专卖许可证管理办法》《烟草专卖许可证管理办法实施细则》等法律、法规、规章及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《合理布局规定》共计二十条，主要内容有：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明确制定依据、适用范围和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要求，以及烟草制品、烟草制品零售点和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的定义；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确定布局规划标准，设置零售点布局禁入区和准入区，以行政区划为依据，划分区域网格单元，合理设定对应的阈值，动态调整禁入区和准入区；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eastAsia" w:ascii="仿宋_GB2312" w:hAnsi="仿宋" w:eastAsia="仿宋_GB2312" w:cs="仿宋"/>
          <w:sz w:val="32"/>
          <w:szCs w:val="32"/>
        </w:rPr>
        <w:t>零售点布局准入区应符合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数量和间距要求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明确不予设置零售点的情形；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明确办理烟草专卖零售许可证的放宽情形；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明确不受零售点数量及间距限制的情形；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明确了审批发放烟草专卖零售许可证的顺序要求；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阐明相关用语含义、间距测量标准、施行日期。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3CC64"/>
    <w:multiLevelType w:val="singleLevel"/>
    <w:tmpl w:val="A243CC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F2BC8"/>
    <w:rsid w:val="2461358E"/>
    <w:rsid w:val="5B9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2022-12-16T05:27:00Z</dcterms:created>
  <dc:creator>陈岩</dc:creator>
  <cp:lastModifiedBy>陈岩</cp:lastModifiedBy>
  <dcterms:modified xsi:type="dcterms:W3CDTF">2022-12-16T05:27:50Z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