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szCs w:val="32"/>
        </w:rPr>
      </w:pPr>
      <w:r>
        <w:rPr>
          <w:rFonts w:ascii="Times New Roman" w:hAnsi="Times New Roman" w:eastAsia="黑体"/>
          <w:szCs w:val="32"/>
        </w:rPr>
        <w:t>附2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乐企直连服务协议书</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甲方（</w:t>
      </w:r>
      <w:r>
        <w:rPr>
          <w:rFonts w:hint="eastAsia" w:ascii="Times New Roman" w:hAnsi="Times New Roman" w:eastAsia="仿宋_GB2312"/>
          <w:sz w:val="32"/>
          <w:szCs w:val="32"/>
          <w:lang w:eastAsia="zh-Hans"/>
        </w:rPr>
        <w:t>税务机关</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乙方（</w:t>
      </w:r>
      <w:r>
        <w:rPr>
          <w:rFonts w:hint="eastAsia" w:ascii="Times New Roman" w:hAnsi="Times New Roman" w:eastAsia="仿宋_GB2312"/>
          <w:sz w:val="32"/>
          <w:szCs w:val="32"/>
          <w:lang w:eastAsia="zh-Hans"/>
        </w:rPr>
        <w:t>直连单位</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lang w:eastAsia="zh-Hans"/>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lang w:eastAsia="zh-CN"/>
        </w:rPr>
        <w:t>数电票</w:t>
      </w:r>
      <w:r>
        <w:rPr>
          <w:rFonts w:hint="eastAsia" w:ascii="Times New Roman" w:hAnsi="Times New Roman" w:eastAsia="仿宋_GB2312"/>
          <w:sz w:val="32"/>
          <w:szCs w:val="32"/>
          <w:lang w:eastAsia="zh-Hans"/>
        </w:rPr>
        <w:t>等相关涉税服务</w:t>
      </w:r>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1"/>
        </w:numPr>
        <w:spacing w:line="560" w:lineRule="exact"/>
        <w:ind w:left="0" w:leftChars="0"/>
        <w:jc w:val="center"/>
        <w:rPr>
          <w:rFonts w:hint="eastAsia"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甲方依托乐企数字开放平台（以下简称“乐企平台”），通过税务系统与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自有信息系统直连的方式，提供规则开放、标准统一的</w:t>
      </w:r>
      <w:r>
        <w:rPr>
          <w:rFonts w:hint="eastAsia" w:ascii="仿宋_GB2312" w:hAnsi="仿宋_GB2312" w:eastAsia="仿宋_GB2312" w:cs="仿宋_GB2312"/>
          <w:sz w:val="32"/>
          <w:szCs w:val="32"/>
          <w:lang w:eastAsia="zh-CN"/>
        </w:rPr>
        <w:t>数电票</w:t>
      </w:r>
      <w:r>
        <w:rPr>
          <w:rFonts w:hint="eastAsia" w:ascii="仿宋_GB2312" w:hAnsi="仿宋_GB2312" w:eastAsia="仿宋_GB2312" w:cs="仿宋_GB2312"/>
          <w:sz w:val="32"/>
          <w:szCs w:val="32"/>
        </w:rPr>
        <w:t>等涉税服务（以下简称“乐企服务”）。</w:t>
      </w:r>
    </w:p>
    <w:p>
      <w:pPr>
        <w:spacing w:line="560" w:lineRule="exact"/>
        <w:ind w:firstLine="640" w:firstLineChars="200"/>
        <w:rPr>
          <w:rFonts w:hint="eastAsia"/>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在接入乐企平台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w:t>
      </w:r>
      <w:r>
        <w:rPr>
          <w:rFonts w:hint="eastAsia" w:ascii="仿宋_GB2312" w:hAnsi="仿宋_GB2312" w:eastAsia="仿宋_GB2312" w:cs="仿宋_GB2312"/>
          <w:sz w:val="32"/>
          <w:szCs w:val="32"/>
          <w:lang w:val="en-US" w:eastAsia="zh-CN"/>
        </w:rPr>
        <w:t>上海</w:t>
      </w:r>
      <w:r>
        <w:rPr>
          <w:rFonts w:ascii="仿宋_GB2312" w:hAnsi="仿宋_GB2312" w:eastAsia="仿宋_GB2312" w:cs="仿宋_GB2312"/>
          <w:sz w:val="32"/>
          <w:szCs w:val="32"/>
          <w:lang w:eastAsia="zh-Hans"/>
        </w:rPr>
        <w:t>市税务局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以下简称</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规范指引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2.甲方有权对乙方提交的能力订阅请求进行确认，对于乙方所在行业不具备能力适用条件的情形，可退回其能力订阅请求。</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不发起延期请求的，甲方可以进一步降低并发量，直至终止乐企平台接入资格。</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根据其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rPr>
        <w:t>个月内</w:t>
      </w:r>
      <w:r>
        <w:rPr>
          <w:rFonts w:hint="eastAsia" w:ascii="仿宋_GB2312" w:hAnsi="仿宋_GB2312" w:eastAsia="仿宋_GB2312" w:cs="仿宋_GB2312"/>
          <w:sz w:val="32"/>
          <w:szCs w:val="32"/>
        </w:rPr>
        <w:t>经过整改符合要求的，重新恢复接入服务；未达到整改要求的，终止其接入服务。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6.若发现乙方或其使用单位存在对乐企平台直连网络、电子发票服务平台造成攻击或威胁等安全隐患的情况，甲方有权立即限制</w:t>
      </w:r>
      <w:r>
        <w:rPr>
          <w:rFonts w:hint="eastAsia" w:ascii="仿宋_GB2312" w:hAnsi="仿宋_GB2312" w:eastAsia="仿宋_GB2312" w:cs="仿宋_GB2312"/>
          <w:sz w:val="32"/>
          <w:szCs w:val="32"/>
          <w:lang w:val="en-US" w:eastAsia="zh-Hans"/>
        </w:rPr>
        <w:t>其</w:t>
      </w:r>
      <w:r>
        <w:rPr>
          <w:rFonts w:hint="eastAsia" w:ascii="仿宋_GB2312" w:hAnsi="仿宋_GB2312" w:eastAsia="仿宋_GB2312" w:cs="仿宋_GB2312"/>
          <w:sz w:val="32"/>
          <w:szCs w:val="32"/>
        </w:rPr>
        <w:t>业务处理并发量，并进行约谈。</w:t>
      </w:r>
      <w:r>
        <w:rPr>
          <w:rFonts w:hint="default" w:ascii="Times New Roman" w:hAnsi="Times New Roman" w:eastAsia="仿宋_GB2312" w:cs="Times New Roman"/>
          <w:sz w:val="32"/>
          <w:szCs w:val="32"/>
        </w:rPr>
        <w:t>若</w:t>
      </w:r>
      <w:r>
        <w:rPr>
          <w:rFonts w:hint="default" w:ascii="Times New Roman" w:hAnsi="Times New Roman" w:eastAsia="仿宋_GB2312" w:cs="Times New Roman"/>
          <w:b w:val="0"/>
          <w:bCs w:val="0"/>
          <w:sz w:val="32"/>
          <w:szCs w:val="32"/>
          <w:u w:val="none"/>
        </w:rPr>
        <w:t>在</w:t>
      </w:r>
      <w:r>
        <w:rPr>
          <w:rFonts w:hint="default" w:ascii="Times New Roman" w:hAnsi="Times New Roman" w:eastAsia="仿宋_GB2312" w:cs="Times New Roman"/>
          <w:b w:val="0"/>
          <w:bCs w:val="0"/>
          <w:sz w:val="32"/>
          <w:szCs w:val="32"/>
          <w:u w:val="none"/>
          <w:lang w:val="en-US" w:eastAsia="zh-CN"/>
        </w:rPr>
        <w:t>3</w:t>
      </w:r>
      <w:r>
        <w:rPr>
          <w:rFonts w:hint="default" w:ascii="Times New Roman" w:hAnsi="Times New Roman" w:eastAsia="仿宋_GB2312" w:cs="Times New Roman"/>
          <w:sz w:val="32"/>
          <w:szCs w:val="32"/>
          <w:u w:val="none"/>
        </w:rPr>
        <w:t>个</w:t>
      </w:r>
      <w:r>
        <w:rPr>
          <w:rFonts w:hint="default" w:ascii="Times New Roman" w:hAnsi="Times New Roman" w:eastAsia="仿宋_GB2312" w:cs="Times New Roman"/>
          <w:sz w:val="32"/>
          <w:szCs w:val="32"/>
        </w:rPr>
        <w:t>月</w:t>
      </w:r>
      <w:r>
        <w:rPr>
          <w:rFonts w:hint="eastAsia" w:ascii="仿宋_GB2312" w:hAnsi="仿宋_GB2312" w:eastAsia="仿宋_GB2312" w:cs="仿宋_GB2312"/>
          <w:sz w:val="32"/>
          <w:szCs w:val="32"/>
        </w:rPr>
        <w:t>内经过整改不再发生上述行为的，则恢复正常服务；再次发现存在上述行为的，甲方有权终止其接入服务。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7.若乙方不履行本协议“乙方义务”或其使用单位违反乐企平台直连规范相关条款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Hans"/>
        </w:rPr>
        <w:t>者</w:t>
      </w:r>
      <w:r>
        <w:rPr>
          <w:rFonts w:hint="eastAsia" w:ascii="仿宋_GB2312" w:hAnsi="仿宋_GB2312" w:eastAsia="仿宋_GB2312" w:cs="仿宋_GB2312"/>
          <w:sz w:val="32"/>
          <w:szCs w:val="32"/>
        </w:rPr>
        <w:t>存在不按照税务机关要求依法提供相关涉税数据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val="en-US"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w:t>
      </w:r>
      <w:r>
        <w:rPr>
          <w:rFonts w:hint="default" w:ascii="Times New Roman" w:hAnsi="Times New Roman" w:eastAsia="仿宋_GB2312" w:cs="Times New Roman"/>
          <w:sz w:val="32"/>
          <w:szCs w:val="32"/>
          <w:u w:val="none"/>
        </w:rPr>
        <w:t>在</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个</w:t>
      </w:r>
      <w:r>
        <w:rPr>
          <w:rFonts w:hint="eastAsia" w:ascii="仿宋_GB2312" w:hAnsi="仿宋_GB2312" w:eastAsia="仿宋_GB2312" w:cs="仿宋_GB2312"/>
          <w:sz w:val="32"/>
          <w:szCs w:val="32"/>
        </w:rPr>
        <w:t>月内经过整改符合要求的，恢复正常服务；经整改后仍未符合甲方管理要求的，终止其接入服务。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w:t>
      </w:r>
    </w:p>
    <w:p>
      <w:pPr>
        <w:overflowPunct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9.甲方其他权利</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3.对于乙方的资格延续、风险监控等管理事项，甲方应及时向乙方发送提醒。</w:t>
      </w:r>
    </w:p>
    <w:p>
      <w:pPr>
        <w:pStyle w:val="4"/>
        <w:overflowPunct w:val="0"/>
        <w:spacing w:line="560" w:lineRule="exact"/>
        <w:ind w:firstLine="640"/>
        <w:rPr>
          <w:rFonts w:hint="eastAsia" w:cs="仿宋_GB2312"/>
          <w:szCs w:val="32"/>
        </w:rPr>
      </w:pPr>
      <w:r>
        <w:rPr>
          <w:rFonts w:hint="eastAsia" w:cs="仿宋_GB2312"/>
          <w:szCs w:val="32"/>
        </w:rPr>
        <w:t>4.甲方应建立畅通的乐企平台运维沟通渠道，跟进乐企平台运行情况，推送乐企相关指引、变更、通知，及时收集并上报乐企纳税人报送的系统相关问题。</w:t>
      </w:r>
    </w:p>
    <w:p>
      <w:pPr>
        <w:pStyle w:val="4"/>
        <w:overflowPunct w:val="0"/>
        <w:spacing w:line="560" w:lineRule="exact"/>
        <w:ind w:firstLine="640"/>
        <w:rPr>
          <w:rFonts w:hint="default" w:eastAsia="宋体"/>
          <w:lang w:val="en-US" w:eastAsia="zh-CN"/>
        </w:rPr>
      </w:pPr>
      <w:r>
        <w:rPr>
          <w:rFonts w:hint="eastAsia" w:cs="仿宋_GB2312"/>
          <w:szCs w:val="32"/>
          <w:lang w:val="en-US" w:eastAsia="zh-CN"/>
        </w:rPr>
        <w:t>5</w:t>
      </w:r>
      <w:r>
        <w:rPr>
          <w:rFonts w:hint="eastAsia" w:cs="仿宋_GB2312"/>
          <w:szCs w:val="32"/>
        </w:rPr>
        <w:t>.对于</w:t>
      </w:r>
      <w:r>
        <w:rPr>
          <w:rFonts w:hint="eastAsia" w:cs="仿宋_GB2312"/>
          <w:szCs w:val="32"/>
          <w:lang w:val="en-US" w:eastAsia="zh-CN"/>
        </w:rPr>
        <w:t>乙方</w:t>
      </w:r>
      <w:r>
        <w:rPr>
          <w:rFonts w:hint="eastAsia" w:cs="仿宋_GB2312"/>
          <w:szCs w:val="32"/>
        </w:rPr>
        <w:t>的涉税保密信息，</w:t>
      </w:r>
      <w:r>
        <w:rPr>
          <w:rFonts w:hint="eastAsia" w:cs="仿宋_GB2312"/>
          <w:szCs w:val="32"/>
          <w:lang w:val="en-US" w:eastAsia="zh-CN"/>
        </w:rPr>
        <w:t>甲方</w:t>
      </w:r>
      <w:r>
        <w:rPr>
          <w:rFonts w:hint="eastAsia" w:cs="仿宋_GB2312"/>
          <w:szCs w:val="32"/>
        </w:rPr>
        <w:t>应依法为其保密。除按照法律法规的规定应予公布</w:t>
      </w:r>
      <w:r>
        <w:rPr>
          <w:rFonts w:hint="eastAsia" w:cs="仿宋_GB2312"/>
          <w:szCs w:val="32"/>
          <w:lang w:eastAsia="zh-CN"/>
        </w:rPr>
        <w:t>、</w:t>
      </w:r>
      <w:r>
        <w:rPr>
          <w:rFonts w:hint="eastAsia" w:cs="仿宋_GB2312"/>
          <w:szCs w:val="32"/>
        </w:rPr>
        <w:t>法定第三方依法查询</w:t>
      </w:r>
      <w:r>
        <w:rPr>
          <w:rFonts w:hint="eastAsia" w:cs="仿宋_GB2312"/>
          <w:szCs w:val="32"/>
          <w:lang w:eastAsia="zh-CN"/>
        </w:rPr>
        <w:t>、</w:t>
      </w:r>
      <w:r>
        <w:rPr>
          <w:rFonts w:hint="eastAsia" w:cs="仿宋_GB2312"/>
          <w:szCs w:val="32"/>
          <w:lang w:val="en-US" w:eastAsia="zh-CN"/>
        </w:rPr>
        <w:t>乙方自身查询及乙方同意外</w:t>
      </w:r>
      <w:r>
        <w:rPr>
          <w:rFonts w:hint="eastAsia" w:cs="仿宋_GB2312"/>
          <w:szCs w:val="32"/>
        </w:rPr>
        <w:t>，不得向外部门、社会公众或个人提供</w:t>
      </w:r>
      <w:r>
        <w:rPr>
          <w:rFonts w:hint="eastAsia" w:cs="仿宋_GB2312"/>
          <w:szCs w:val="32"/>
          <w:lang w:eastAsia="zh-CN"/>
        </w:rPr>
        <w:t>。</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规范指引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5.对于在使用乐企服务过程中出现的相关问题，乙方有权通过电子税务局征纳互动平台、12366热线。甲方建立的乐企平台运维沟通渠道等方式，报送问题并在规定时间内得到答复。</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1.乙方负责对接乐企平台，对平台相关数据的安全承担责任，邀请或授权使用单位接入乐企平台并及时维护与使用单位的关联关系台账。乙方应确保自身及其使用单位符合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规范指引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做好变更事项报送、版本更新、资格延续、终止管理等相关维护保障工作。</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w:t>
      </w:r>
      <w:r>
        <w:rPr>
          <w:rFonts w:ascii="仿宋_GB2312" w:hAnsi="仿宋_GB2312" w:eastAsia="仿宋_GB2312" w:cs="仿宋_GB2312"/>
          <w:sz w:val="32"/>
          <w:szCs w:val="32"/>
        </w:rPr>
        <w:t>乐企自用</w:t>
      </w:r>
      <w:r>
        <w:rPr>
          <w:rFonts w:hint="eastAsia" w:ascii="仿宋_GB2312" w:hAnsi="仿宋_GB2312" w:eastAsia="仿宋_GB2312" w:cs="仿宋_GB2312"/>
          <w:sz w:val="32"/>
          <w:szCs w:val="32"/>
        </w:rPr>
        <w:t>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4">
            <o:LockedField>false</o:LockedField>
          </o:OLEObject>
        </w:object>
      </w:r>
      <w:r>
        <w:rPr>
          <w:rFonts w:hint="eastAsia" w:ascii="仿宋_GB2312" w:hAnsi="仿宋_GB2312" w:eastAsia="仿宋_GB2312" w:cs="仿宋_GB2312"/>
          <w:sz w:val="32"/>
          <w:szCs w:val="32"/>
          <w:lang w:val="en-US"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采取数据分类、重要数据备份和加密等措施。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按照《中华人民共和国数据安全法》等有关法律法规的规定以及国家标准的强制性要求，履行发票数据安全保护义务，保障发票数据安全：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（2）建立健全发票数据保护责任，明确发票数据安全负责人和管理机构，落实数据安全保护责任。</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val="en-US" w:eastAsia="zh-CN" w:bidi="ar"/>
        </w:rPr>
        <w:t>按季度</w:t>
      </w:r>
      <w:bookmarkStart w:id="0" w:name="_GoBack"/>
      <w:bookmarkEnd w:id="0"/>
      <w:r>
        <w:rPr>
          <w:rFonts w:hint="eastAsia" w:ascii="仿宋_GB2312" w:hAnsi="仿宋_GB2312" w:eastAsia="仿宋_GB2312" w:cs="仿宋_GB2312"/>
          <w:sz w:val="32"/>
          <w:szCs w:val="32"/>
          <w:lang w:bidi="ar"/>
        </w:rPr>
        <w:t>开展发票数据风险监测，发现数据安全缺陷、漏洞等风险时，立即采取补救措施；发生数据安全事件时，立即采取处置措施，按照规定及时告知用户并向试点省税务局报告。</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（4）合理采集数据，在使用乐企服务过程中，未经授权不获取他人隐私数据或其他企业生产经营数据，未经授权不将所储存的发票数据提供给第三方。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在乐企服务使用过程中，确保按照《中华人民共和国税收征收管理法》及其实施细则、《中华人民共和国发票管理办法》及其实施细则、国家税务总局有关规范性文件开具使用发票：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遵循税务机关的管理。按照税务机关发布的标准规范，对本单位自有业务系统进行升级完善，确保发票开具使用原始数据来源可追溯、可审计；向税务机关报送与发票使用相关的生产经营信息。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w:t>
      </w:r>
      <w:r>
        <w:rPr>
          <w:rFonts w:hint="eastAsia" w:ascii="仿宋_GB2312" w:hAnsi="仿宋_GB2312" w:eastAsia="仿宋_GB2312" w:cs="仿宋_GB2312"/>
          <w:sz w:val="32"/>
          <w:szCs w:val="32"/>
          <w:lang w:eastAsia="zh-CN" w:bidi="ar"/>
        </w:rPr>
        <w:t>数电票</w:t>
      </w:r>
      <w:r>
        <w:rPr>
          <w:rFonts w:hint="eastAsia" w:ascii="仿宋_GB2312" w:hAnsi="仿宋_GB2312" w:eastAsia="仿宋_GB2312" w:cs="仿宋_GB2312"/>
          <w:sz w:val="32"/>
          <w:szCs w:val="32"/>
          <w:lang w:bidi="ar"/>
        </w:rPr>
        <w:t>，有效防范通过乐企服务违规开具发票的情形，杜绝虚开虚抵违法行为。</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（3）按照税务机关下发的税收业务规则要求，合规使用已订阅的数字服务能力。当税务业务规则发生更新时，按照税务机关要求及时升级自有业务系统，有效保障各项税收政策及时落实。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（4）杜绝违规收费。在使用乐企服务过程中，不向使用单位收取发票开具、生成、打印等基础服务费用，不倒卖税务机关提供的涉税数据，不变相通过乐企服务能力谋取私利。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hint="default" w:ascii="仿宋_GB2312" w:hAnsi="仿宋_GB2312" w:eastAsia="仿宋_GB2312" w:cs="仿宋_GB2312"/>
          <w:sz w:val="32"/>
          <w:szCs w:val="32"/>
          <w:u w:val="none"/>
          <w:lang w:bidi="ar"/>
        </w:rPr>
        <w:t>7</w:t>
      </w:r>
      <w:r>
        <w:rPr>
          <w:rFonts w:hint="eastAsia" w:ascii="仿宋_GB2312" w:hAnsi="仿宋_GB2312" w:eastAsia="仿宋_GB2312" w:cs="仿宋_GB2312"/>
          <w:sz w:val="32"/>
          <w:szCs w:val="32"/>
          <w:u w:val="none"/>
          <w:lang w:bidi="ar"/>
        </w:rPr>
        <w:t>.乙方其他义务</w:t>
      </w:r>
      <w:r>
        <w:rPr>
          <w:rFonts w:hint="eastAsia" w:ascii="仿宋_GB2312" w:hAnsi="仿宋_GB2312" w:eastAsia="仿宋_GB2312" w:cs="仿宋_GB2312"/>
          <w:sz w:val="32"/>
          <w:szCs w:val="32"/>
          <w:u w:val="none"/>
          <w:lang w:val="en-US" w:eastAsia="zh-CN" w:bidi="ar"/>
        </w:rPr>
        <w:t>:</w:t>
      </w: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firstLine="0" w:firstLineChars="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sz w:val="32"/>
          <w:szCs w:val="32"/>
          <w:lang w:eastAsia="zh-Hans"/>
        </w:rPr>
      </w:pPr>
      <w:r>
        <w:rPr>
          <w:rFonts w:hint="eastAsia" w:ascii="Times New Roman" w:hAnsi="Times New Roman" w:eastAsia="仿宋_GB2312"/>
          <w:sz w:val="32"/>
          <w:szCs w:val="32"/>
          <w:lang w:val="en-US" w:eastAsia="zh-Hans"/>
        </w:rPr>
        <w:t>双方需补充的其他约定内容</w:t>
      </w:r>
      <w:r>
        <w:rPr>
          <w:rFonts w:hint="default" w:ascii="Times New Roman" w:hAnsi="Times New Roman" w:eastAsia="仿宋_GB2312"/>
          <w:sz w:val="32"/>
          <w:szCs w:val="32"/>
          <w:lang w:eastAsia="zh-Hans"/>
        </w:rPr>
        <w:t>：</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日生效，至乐企服务终止之日废止。本协议一式两份，甲乙双方各持一份，具有同等法律效力。协议中未尽事宜，应由双方协商并以书面形式补充协议后方可生效。</w:t>
      </w: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8D1EB0-917C-4C1F-96D4-7F05A03E52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818B7DB-9AD7-4CA7-A7EC-2F07DD5AD3A5}"/>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76C55E44-F846-4E9E-9318-69EEB5EC5625}"/>
  </w:font>
  <w:font w:name="方正小标宋简体">
    <w:panose1 w:val="02000000000000000000"/>
    <w:charset w:val="86"/>
    <w:family w:val="script"/>
    <w:pitch w:val="default"/>
    <w:sig w:usb0="00000001" w:usb1="08000000" w:usb2="00000000" w:usb3="00000000" w:csb0="00040000" w:csb1="00000000"/>
    <w:embedRegular r:id="rId4" w:fontKey="{BA9D783B-CC5C-4ADE-8285-2CE4CB8A6D54}"/>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UI Semilight">
    <w:panose1 w:val="020B0400000000000000"/>
    <w:charset w:val="80"/>
    <w:family w:val="auto"/>
    <w:pitch w:val="default"/>
    <w:sig w:usb0="E00002FF" w:usb1="2AC7FDFF" w:usb2="00000016" w:usb3="00000000" w:csb0="2002009F" w:csb1="00000000"/>
  </w:font>
  <w:font w:name="Arial Rounded MT Bold">
    <w:panose1 w:val="020F0704030504030204"/>
    <w:charset w:val="00"/>
    <w:family w:val="auto"/>
    <w:pitch w:val="default"/>
    <w:sig w:usb0="00000003" w:usb1="00000000" w:usb2="00000000" w:usb3="00000000" w:csb0="20000001" w:csb1="00000000"/>
  </w:font>
  <w:font w:name="Bahnschrift SemiBold 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cadia Code Light">
    <w:panose1 w:val="020B0609020000020004"/>
    <w:charset w:val="00"/>
    <w:family w:val="auto"/>
    <w:pitch w:val="default"/>
    <w:sig w:usb0="A1002AFF" w:usb1="C000F9FB" w:usb2="00040020" w:usb3="00000000" w:csb0="600001FF" w:csb1="FFFF0000"/>
  </w:font>
  <w:font w:name="Cascadia Mono SemiLight">
    <w:panose1 w:val="020B0609020000020004"/>
    <w:charset w:val="00"/>
    <w:family w:val="auto"/>
    <w:pitch w:val="default"/>
    <w:sig w:usb0="A1002AFF" w:usb1="C000F9FB" w:usb2="00040020" w:usb3="00000000" w:csb0="600001FF" w:csb1="FFFF0000"/>
  </w:font>
  <w:font w:name="Chiller">
    <w:panose1 w:val="04020404031007020602"/>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Edwardian Script ITC">
    <w:panose1 w:val="030303020407070D0804"/>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Leelawadee UI">
    <w:panose1 w:val="020B0502040204020203"/>
    <w:charset w:val="00"/>
    <w:family w:val="auto"/>
    <w:pitch w:val="default"/>
    <w:sig w:usb0="83000003" w:usb1="00000000" w:usb2="00010000" w:usb3="00000001" w:csb0="00010101" w:csb1="00000000"/>
  </w:font>
  <w:font w:name="Lucida Sans Unicode">
    <w:panose1 w:val="020B0602030504020204"/>
    <w:charset w:val="00"/>
    <w:family w:val="auto"/>
    <w:pitch w:val="default"/>
    <w:sig w:usb0="80001AFF" w:usb1="0000396B" w:usb2="00000000" w:usb3="00000000" w:csb0="200000BF" w:csb1="D7F70000"/>
  </w:font>
  <w:font w:name="Microsoft Sans Serif">
    <w:panose1 w:val="020B0604020202020204"/>
    <w:charset w:val="00"/>
    <w:family w:val="auto"/>
    <w:pitch w:val="default"/>
    <w:sig w:usb0="E5002EFF" w:usb1="C000605B" w:usb2="00000029" w:usb3="00000000" w:csb0="200101FF" w:csb1="20280000"/>
  </w:font>
  <w:font w:name="Monotype Corsiva">
    <w:panose1 w:val="03010101010201010101"/>
    <w:charset w:val="00"/>
    <w:family w:val="auto"/>
    <w:pitch w:val="default"/>
    <w:sig w:usb0="00000287" w:usb1="00000000" w:usb2="00000000" w:usb3="00000000" w:csb0="2000009F" w:csb1="DFD70000"/>
  </w:font>
  <w:font w:name="Rockwell Extra Bold">
    <w:panose1 w:val="020609030405050204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UI Variable Small Light">
    <w:panose1 w:val="00000000000000000000"/>
    <w:charset w:val="00"/>
    <w:family w:val="auto"/>
    <w:pitch w:val="default"/>
    <w:sig w:usb0="A00002FF" w:usb1="0000000B" w:usb2="00000000" w:usb3="00000000" w:csb0="2000019F" w:csb1="00000000"/>
  </w:font>
  <w:font w:name="Sitka Small">
    <w:panose1 w:val="00000000000000000000"/>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TBlYWE2NDFjYmQzYjNjNTcwZjkwNDM5YjI0ZWUifQ=="/>
  </w:docVars>
  <w:rsids>
    <w:rsidRoot w:val="7CB23321"/>
    <w:rsid w:val="214517F4"/>
    <w:rsid w:val="459825BF"/>
    <w:rsid w:val="499F60FC"/>
    <w:rsid w:val="4AB6594C"/>
    <w:rsid w:val="56414B0E"/>
    <w:rsid w:val="60D333C6"/>
    <w:rsid w:val="6C813C2F"/>
    <w:rsid w:val="7CB2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3159</Words>
  <Characters>3189</Characters>
  <Lines>0</Lines>
  <Paragraphs>0</Paragraphs>
  <TotalTime>90</TotalTime>
  <ScaleCrop>false</ScaleCrop>
  <LinksUpToDate>false</LinksUpToDate>
  <CharactersWithSpaces>4221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2023-04-13T10:27:00Z</dcterms:created>
  <dc:creator>WPS_1649859706</dc:creator>
  <cp:lastModifiedBy>WPS_1649859706</cp:lastModifiedBy>
  <dcterms:modified xsi:type="dcterms:W3CDTF">2023-04-16T12:33:34Z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1379A7D5E1484843969B5D74FFCA4920_11</vt:lpwstr>
  </property>
</Properties>
</file>