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楷体_GB2312" w:eastAsia="楷体_GB2312" w:cs="Times New Roman"/>
          <w:sz w:val="32"/>
          <w:szCs w:val="32"/>
          <w:lang w:eastAsia="zh-CN"/>
        </w:rPr>
      </w:pPr>
      <w:r>
        <w:rPr>
          <w:rFonts w:hint="eastAsia" w:ascii="方正小标宋简体" w:eastAsia="方正小标宋简体"/>
          <w:sz w:val="44"/>
          <w:szCs w:val="44"/>
        </w:rPr>
        <w:t>关于《国家税务总局阳江市税务局关于我市土地增值税预征率等事项的公告》的解读</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hAnsi="宋体" w:eastAsia="仿宋_GB2312" w:cs="Times New Roman"/>
          <w:color w:val="auto"/>
          <w:sz w:val="32"/>
          <w:szCs w:val="32"/>
          <w:shd w:val="clear" w:color="auto" w:fill="FFFFFF"/>
        </w:rPr>
        <w:t>为进一步做好我市土地增值税</w:t>
      </w:r>
      <w:r>
        <w:rPr>
          <w:rFonts w:hint="eastAsia" w:ascii="仿宋_GB2312" w:hAnsi="宋体" w:eastAsia="仿宋_GB2312" w:cs="Times New Roman"/>
          <w:color w:val="auto"/>
          <w:sz w:val="32"/>
          <w:szCs w:val="32"/>
          <w:shd w:val="clear" w:color="auto" w:fill="FFFFFF"/>
          <w:lang w:eastAsia="zh-CN"/>
        </w:rPr>
        <w:t>征收</w:t>
      </w:r>
      <w:r>
        <w:rPr>
          <w:rFonts w:hint="eastAsia" w:ascii="仿宋_GB2312" w:hAnsi="宋体" w:eastAsia="仿宋_GB2312" w:cs="Times New Roman"/>
          <w:color w:val="auto"/>
          <w:sz w:val="32"/>
          <w:szCs w:val="32"/>
          <w:shd w:val="clear" w:color="auto" w:fill="FFFFFF"/>
        </w:rPr>
        <w:t>管理工作</w:t>
      </w:r>
      <w:r>
        <w:rPr>
          <w:rFonts w:ascii="仿宋_GB2312" w:hAnsi="等线" w:eastAsia="仿宋_GB2312" w:cs="Times New Roman"/>
          <w:color w:val="auto"/>
          <w:sz w:val="32"/>
          <w:szCs w:val="32"/>
        </w:rPr>
        <w:t>，</w:t>
      </w:r>
      <w:r>
        <w:rPr>
          <w:rFonts w:hint="eastAsia" w:ascii="仿宋_GB2312" w:eastAsia="仿宋_GB2312"/>
          <w:color w:val="auto"/>
          <w:sz w:val="32"/>
          <w:szCs w:val="32"/>
        </w:rPr>
        <w:t>国家</w:t>
      </w:r>
      <w:r>
        <w:rPr>
          <w:rFonts w:hint="eastAsia" w:ascii="仿宋_GB2312" w:eastAsia="仿宋_GB2312"/>
          <w:sz w:val="32"/>
          <w:szCs w:val="32"/>
        </w:rPr>
        <w:t>税务总局阳江市税务局制发了《国家税务总局阳江市税务局关于我市土地增值税预征率等事项的公告》（以下简称《公告》）。现解读如下：</w:t>
      </w:r>
    </w:p>
    <w:p>
      <w:pPr>
        <w:spacing w:line="600" w:lineRule="exact"/>
        <w:ind w:firstLine="640" w:firstLineChars="200"/>
        <w:rPr>
          <w:rFonts w:hint="eastAsia" w:ascii="黑体" w:eastAsia="黑体"/>
          <w:sz w:val="32"/>
          <w:szCs w:val="32"/>
        </w:rPr>
      </w:pPr>
      <w:r>
        <w:rPr>
          <w:rFonts w:hint="eastAsia" w:ascii="黑体" w:eastAsia="黑体"/>
          <w:sz w:val="32"/>
          <w:szCs w:val="32"/>
        </w:rPr>
        <w:t>一、《公告》出台背景</w:t>
      </w:r>
      <w:bookmarkStart w:id="0" w:name="_GoBack"/>
      <w:bookmarkEnd w:id="0"/>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为贯彻落实党中央、国务院和省委、省政府决策部署，坚持房子是用来住的、不是用来炒的定位，稳地价、稳房价、稳预期</w:t>
      </w:r>
      <w:r>
        <w:rPr>
          <w:rFonts w:hint="eastAsia" w:ascii="仿宋_GB2312" w:eastAsia="仿宋_GB2312"/>
          <w:sz w:val="32"/>
          <w:szCs w:val="32"/>
          <w:lang w:eastAsia="zh-CN"/>
        </w:rPr>
        <w:t>，</w:t>
      </w:r>
      <w:r>
        <w:rPr>
          <w:rFonts w:hint="eastAsia" w:ascii="仿宋_GB2312" w:eastAsia="仿宋_GB2312"/>
          <w:sz w:val="32"/>
          <w:szCs w:val="32"/>
        </w:rPr>
        <w:t>因城施策促进</w:t>
      </w:r>
      <w:r>
        <w:rPr>
          <w:rFonts w:hint="eastAsia" w:ascii="仿宋_GB2312" w:eastAsia="仿宋_GB2312"/>
          <w:sz w:val="32"/>
          <w:szCs w:val="32"/>
          <w:lang w:eastAsia="zh-CN"/>
        </w:rPr>
        <w:t>我市</w:t>
      </w:r>
      <w:r>
        <w:rPr>
          <w:rFonts w:hint="eastAsia" w:ascii="仿宋_GB2312" w:eastAsia="仿宋_GB2312"/>
          <w:sz w:val="32"/>
          <w:szCs w:val="32"/>
        </w:rPr>
        <w:t>房地</w:t>
      </w:r>
      <w:r>
        <w:rPr>
          <w:rFonts w:hint="eastAsia" w:ascii="仿宋_GB2312" w:eastAsia="仿宋_GB2312"/>
          <w:sz w:val="32"/>
          <w:szCs w:val="32"/>
          <w:lang w:eastAsia="zh-CN"/>
        </w:rPr>
        <w:t>产市场</w:t>
      </w:r>
      <w:r>
        <w:rPr>
          <w:rFonts w:hint="eastAsia" w:ascii="仿宋_GB2312" w:eastAsia="仿宋_GB2312"/>
          <w:sz w:val="32"/>
          <w:szCs w:val="32"/>
        </w:rPr>
        <w:t>健康发展</w:t>
      </w:r>
      <w:r>
        <w:rPr>
          <w:rFonts w:hint="eastAsia" w:ascii="仿宋_GB2312" w:eastAsia="仿宋_GB2312"/>
          <w:sz w:val="32"/>
          <w:szCs w:val="32"/>
          <w:lang w:eastAsia="zh-CN"/>
        </w:rPr>
        <w:t>，</w:t>
      </w:r>
      <w:r>
        <w:rPr>
          <w:rFonts w:hint="eastAsia" w:ascii="仿宋_GB2312" w:eastAsia="仿宋_GB2312"/>
          <w:sz w:val="32"/>
          <w:szCs w:val="32"/>
        </w:rPr>
        <w:t>根据《财政部 国家税务总局关于土地增值税若干问题的通知》（财税〔2006〕21号）、《国家税务总局关于加强土地增值税征管工作的通知》（国税发〔2010〕53号）、《国家税务总局关于营改增后土地增值税若干征管规定的公告》（国家税务总局公告2016年第70号）、《转发国家税务总局关于加强土地增值税征管工作的通知》（粤地税发〔2010〕105号）等有关规定</w:t>
      </w:r>
      <w:r>
        <w:rPr>
          <w:rFonts w:hint="eastAsia" w:ascii="仿宋_GB2312" w:eastAsia="仿宋_GB2312"/>
          <w:sz w:val="32"/>
          <w:szCs w:val="32"/>
          <w:lang w:val="zh-CN"/>
        </w:rPr>
        <w:t>，国家税务总局</w:t>
      </w:r>
      <w:r>
        <w:rPr>
          <w:rFonts w:hint="eastAsia" w:ascii="仿宋_GB2312" w:eastAsia="仿宋_GB2312"/>
          <w:sz w:val="32"/>
          <w:szCs w:val="32"/>
        </w:rPr>
        <w:t>阳江市税务局</w:t>
      </w:r>
      <w:r>
        <w:rPr>
          <w:rFonts w:hint="eastAsia" w:ascii="仿宋_GB2312" w:eastAsia="仿宋_GB2312"/>
          <w:sz w:val="32"/>
          <w:szCs w:val="32"/>
          <w:lang w:eastAsia="zh-CN"/>
        </w:rPr>
        <w:t>制定</w:t>
      </w:r>
      <w:r>
        <w:rPr>
          <w:rFonts w:hint="eastAsia" w:ascii="仿宋_GB2312" w:eastAsia="仿宋_GB2312"/>
          <w:sz w:val="32"/>
          <w:szCs w:val="32"/>
        </w:rPr>
        <w:t>了《公告》</w:t>
      </w:r>
      <w:r>
        <w:rPr>
          <w:rFonts w:hint="eastAsia" w:ascii="仿宋_GB2312" w:eastAsia="仿宋_GB2312"/>
          <w:sz w:val="32"/>
          <w:szCs w:val="32"/>
          <w:lang w:eastAsia="zh-CN"/>
        </w:rPr>
        <w:t>，对土地增值税预征率进行调整以及对土地增值税预征税款的计税依据、申报期限等事项进行明确。</w:t>
      </w:r>
    </w:p>
    <w:p>
      <w:pPr>
        <w:spacing w:line="600" w:lineRule="exact"/>
        <w:ind w:firstLine="640" w:firstLineChars="200"/>
        <w:rPr>
          <w:rFonts w:hint="eastAsia" w:ascii="黑体" w:eastAsia="黑体"/>
          <w:sz w:val="32"/>
          <w:szCs w:val="32"/>
        </w:rPr>
      </w:pPr>
      <w:r>
        <w:rPr>
          <w:rFonts w:hint="eastAsia" w:ascii="黑体" w:eastAsia="黑体"/>
          <w:sz w:val="32"/>
          <w:szCs w:val="32"/>
        </w:rPr>
        <w:t>二、《公告》的主要内容</w:t>
      </w:r>
    </w:p>
    <w:p>
      <w:p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（一）土地增值税预征率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1.根据《财政部 国家税务总局关于土地增值税若干问题的通知》（财税〔2006〕21号</w:t>
      </w:r>
      <w:r>
        <w:rPr>
          <w:rFonts w:hint="eastAsia" w:ascii="仿宋_GB2312" w:eastAsia="仿宋_GB2312"/>
          <w:color w:val="auto"/>
          <w:sz w:val="32"/>
          <w:szCs w:val="32"/>
        </w:rPr>
        <w:t>）第一条</w:t>
      </w:r>
      <w:r>
        <w:rPr>
          <w:rFonts w:hint="eastAsia" w:ascii="仿宋_GB2312" w:eastAsia="仿宋_GB2312"/>
          <w:color w:val="auto"/>
          <w:sz w:val="32"/>
          <w:szCs w:val="32"/>
          <w:lang w:eastAsia="zh-CN"/>
        </w:rPr>
        <w:t>、第三条</w:t>
      </w:r>
      <w:r>
        <w:rPr>
          <w:rFonts w:hint="eastAsia" w:ascii="仿宋_GB2312" w:eastAsia="仿宋_GB2312"/>
          <w:sz w:val="32"/>
          <w:szCs w:val="32"/>
        </w:rPr>
        <w:t>规定，纳税人既建造普通住宅，又建造其他商品房的，应分别核算土地增值税</w:t>
      </w:r>
      <w:r>
        <w:rPr>
          <w:rFonts w:hint="eastAsia" w:ascii="仿宋_GB2312" w:eastAsia="仿宋_GB2312"/>
          <w:sz w:val="32"/>
          <w:szCs w:val="32"/>
          <w:lang w:eastAsia="zh-CN"/>
        </w:rPr>
        <w:t>；</w:t>
      </w:r>
      <w:r>
        <w:rPr>
          <w:rFonts w:hint="eastAsia" w:ascii="仿宋_GB2312" w:eastAsia="仿宋_GB2312"/>
          <w:sz w:val="32"/>
          <w:szCs w:val="32"/>
        </w:rPr>
        <w:t>根据本地区房地产业增值水平和市场发展情况，区别普通住房、非普通住房和商用房等不同类型，科学合理地确定预征率，并适时调整，</w:t>
      </w:r>
      <w:r>
        <w:rPr>
          <w:rFonts w:hint="eastAsia" w:ascii="仿宋_GB2312" w:eastAsia="仿宋_GB2312"/>
          <w:sz w:val="32"/>
          <w:szCs w:val="32"/>
          <w:lang w:eastAsia="zh-CN"/>
        </w:rPr>
        <w:t>我局</w:t>
      </w:r>
      <w:r>
        <w:rPr>
          <w:rFonts w:hint="eastAsia" w:ascii="仿宋_GB2312" w:eastAsia="仿宋_GB2312"/>
          <w:sz w:val="32"/>
          <w:szCs w:val="32"/>
        </w:rPr>
        <w:t>结合</w:t>
      </w:r>
      <w:r>
        <w:rPr>
          <w:rFonts w:hint="eastAsia" w:ascii="仿宋_GB2312" w:eastAsia="仿宋_GB2312"/>
          <w:sz w:val="32"/>
          <w:szCs w:val="32"/>
          <w:lang w:eastAsia="zh-CN"/>
        </w:rPr>
        <w:t>本地</w:t>
      </w:r>
      <w:r>
        <w:rPr>
          <w:rFonts w:hint="eastAsia" w:ascii="仿宋_GB2312" w:eastAsia="仿宋_GB2312"/>
          <w:sz w:val="32"/>
          <w:szCs w:val="32"/>
        </w:rPr>
        <w:t>房地产业整体增值水平及清算时不同类型房地产的实际税负水平，将房地产开发项目进一步划分为普通住宅和其他类型房地产</w:t>
      </w:r>
      <w:r>
        <w:rPr>
          <w:rFonts w:hint="eastAsia" w:ascii="仿宋_GB2312" w:eastAsia="仿宋_GB2312"/>
          <w:color w:val="auto"/>
          <w:sz w:val="32"/>
          <w:szCs w:val="32"/>
        </w:rPr>
        <w:t>，普通住宅按</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w:t>
      </w:r>
      <w:r>
        <w:rPr>
          <w:rFonts w:hint="eastAsia" w:ascii="仿宋_GB2312" w:eastAsia="仿宋_GB2312"/>
          <w:color w:val="auto"/>
          <w:sz w:val="32"/>
          <w:szCs w:val="32"/>
          <w:lang w:eastAsia="zh-CN"/>
        </w:rPr>
        <w:t>预征</w:t>
      </w:r>
      <w:r>
        <w:rPr>
          <w:rFonts w:hint="eastAsia" w:ascii="仿宋_GB2312" w:eastAsia="仿宋_GB2312"/>
          <w:color w:val="auto"/>
          <w:sz w:val="32"/>
          <w:szCs w:val="32"/>
        </w:rPr>
        <w:t>，其他类型房地产按3%</w:t>
      </w:r>
      <w:r>
        <w:rPr>
          <w:rFonts w:hint="eastAsia" w:ascii="仿宋_GB2312" w:eastAsia="仿宋_GB2312"/>
          <w:color w:val="auto"/>
          <w:sz w:val="32"/>
          <w:szCs w:val="32"/>
          <w:lang w:eastAsia="zh-CN"/>
        </w:rPr>
        <w:t>预征</w:t>
      </w:r>
      <w:r>
        <w:rPr>
          <w:rFonts w:hint="eastAsia" w:ascii="仿宋_GB2312" w:eastAsia="仿宋_GB2312"/>
          <w:color w:val="auto"/>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2.为积极支持保障性住房建设，根据《国家税务总局关于加强土地增值税征管工作的通知》（国税发〔2010〕53号）</w:t>
      </w:r>
      <w:r>
        <w:rPr>
          <w:rFonts w:hint="eastAsia" w:ascii="仿宋_GB2312" w:eastAsia="仿宋_GB2312"/>
          <w:sz w:val="32"/>
          <w:szCs w:val="32"/>
          <w:lang w:eastAsia="zh-CN"/>
        </w:rPr>
        <w:t>有关</w:t>
      </w:r>
      <w:r>
        <w:rPr>
          <w:rFonts w:hint="eastAsia" w:ascii="仿宋_GB2312" w:eastAsia="仿宋_GB2312"/>
          <w:sz w:val="32"/>
          <w:szCs w:val="32"/>
        </w:rPr>
        <w:t>规定，对</w:t>
      </w:r>
      <w:r>
        <w:rPr>
          <w:rFonts w:hint="eastAsia" w:ascii="仿宋_GB2312" w:eastAsia="仿宋_GB2312"/>
          <w:sz w:val="32"/>
          <w:szCs w:val="32"/>
          <w:lang w:eastAsia="zh-CN"/>
        </w:rPr>
        <w:t>我市</w:t>
      </w:r>
      <w:r>
        <w:rPr>
          <w:rFonts w:hint="eastAsia" w:ascii="仿宋_GB2312" w:eastAsia="仿宋_GB2312"/>
          <w:sz w:val="32"/>
          <w:szCs w:val="32"/>
        </w:rPr>
        <w:t>房地产开发企业按照政策规定销售各类保障性住房取得的收入，暂不预征土地增值税，待其项目符合清算条件时按规定进行清算。</w:t>
      </w:r>
    </w:p>
    <w:p>
      <w:p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（二）土地增值税预征税款的计税依据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根据《国家税务总局关于营改增后土地增值税若干征管规定的公告》（国家税务总局公告2016年第70号）第一条规定</w:t>
      </w:r>
      <w:r>
        <w:rPr>
          <w:rFonts w:hint="eastAsia" w:ascii="仿宋_GB2312" w:eastAsia="仿宋_GB2312"/>
          <w:sz w:val="32"/>
          <w:szCs w:val="32"/>
          <w:lang w:eastAsia="zh-CN"/>
        </w:rPr>
        <w:t>，</w:t>
      </w:r>
      <w:r>
        <w:rPr>
          <w:rFonts w:hint="eastAsia" w:ascii="仿宋_GB2312" w:eastAsia="仿宋_GB2312"/>
          <w:sz w:val="32"/>
          <w:szCs w:val="32"/>
        </w:rPr>
        <w:t>为方便纳税人，简化土地增值税预征税款计算，房地产开发企业采取预收款方式销售自行开发的房地产项目的，可按照以下方法计算土地增值税预征计征依据：土地增值税预征的计征依据=预收款</w:t>
      </w:r>
      <w:r>
        <w:rPr>
          <w:rFonts w:hint="eastAsia" w:ascii="仿宋_GB2312" w:eastAsia="仿宋_GB2312"/>
          <w:sz w:val="32"/>
          <w:szCs w:val="32"/>
          <w:lang w:val="en-US" w:eastAsia="zh-CN"/>
        </w:rPr>
        <w:t>-</w:t>
      </w:r>
      <w:r>
        <w:rPr>
          <w:rFonts w:hint="eastAsia" w:ascii="仿宋_GB2312" w:eastAsia="仿宋_GB2312"/>
          <w:sz w:val="32"/>
          <w:szCs w:val="32"/>
        </w:rPr>
        <w:t>应预缴增值税税款。</w:t>
      </w:r>
    </w:p>
    <w:p>
      <w:p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（三）土地增值税预征税款的申报期限</w:t>
      </w:r>
    </w:p>
    <w:p>
      <w:pPr>
        <w:pStyle w:val="4"/>
        <w:keepNext w:val="0"/>
        <w:keepLines w:val="0"/>
        <w:widowControl/>
        <w:suppressLineNumbers w:val="0"/>
        <w:spacing w:before="0" w:beforeAutospacing="0" w:after="0" w:afterAutospacing="0" w:line="600" w:lineRule="exact"/>
        <w:ind w:right="0" w:firstLine="640" w:firstLineChars="200"/>
        <w:jc w:val="both"/>
        <w:rPr>
          <w:rFonts w:hint="eastAsia" w:ascii="仿宋_GB2312" w:eastAsia="仿宋_GB2312"/>
          <w:sz w:val="32"/>
          <w:szCs w:val="32"/>
        </w:rPr>
      </w:pPr>
      <w:r>
        <w:rPr>
          <w:rFonts w:hint="eastAsia" w:ascii="仿宋_GB2312" w:eastAsia="仿宋_GB2312"/>
          <w:sz w:val="32"/>
          <w:szCs w:val="32"/>
        </w:rPr>
        <w:t>符合土地增值税预征规定的纳税人应按月申报预缴土地增值税，申报期为次月15日前。另外，根据《财政部 国家税务总局关于土地增值税若干问题的通知》（财税〔2006〕21号）第三条规定</w:t>
      </w:r>
      <w:r>
        <w:rPr>
          <w:rFonts w:hint="eastAsia" w:ascii="仿宋_GB2312" w:eastAsia="仿宋_GB2312"/>
          <w:sz w:val="32"/>
          <w:szCs w:val="32"/>
          <w:lang w:eastAsia="zh-CN"/>
        </w:rPr>
        <w:t>，</w:t>
      </w:r>
      <w:r>
        <w:rPr>
          <w:rFonts w:hint="eastAsia" w:ascii="仿宋_GB2312" w:eastAsia="仿宋_GB2312"/>
          <w:sz w:val="32"/>
          <w:szCs w:val="32"/>
        </w:rPr>
        <w:t>对未按预征规定期限预缴税款的，应根据《中华人民共和国税收征收管理法》及其实施细则的有关规定，从限定的缴纳税款期限届满的次日起，加收滞纳金。</w:t>
      </w:r>
    </w:p>
    <w:p>
      <w:pPr>
        <w:spacing w:line="600" w:lineRule="exact"/>
        <w:ind w:firstLine="640" w:firstLineChars="200"/>
        <w:rPr>
          <w:rFonts w:hint="eastAsia" w:ascii="黑体" w:eastAsia="黑体"/>
          <w:sz w:val="32"/>
          <w:szCs w:val="32"/>
        </w:rPr>
      </w:pPr>
      <w:r>
        <w:rPr>
          <w:rFonts w:hint="eastAsia" w:ascii="黑体" w:eastAsia="黑体"/>
          <w:sz w:val="32"/>
          <w:szCs w:val="32"/>
        </w:rPr>
        <w:t>三、《公告》生效时间</w:t>
      </w:r>
    </w:p>
    <w:p>
      <w:pPr>
        <w:pStyle w:val="4"/>
        <w:keepNext w:val="0"/>
        <w:keepLines w:val="0"/>
        <w:widowControl/>
        <w:suppressLineNumbers w:val="0"/>
        <w:spacing w:before="0" w:beforeAutospacing="0" w:after="0" w:afterAutospacing="0" w:line="600" w:lineRule="exact"/>
        <w:ind w:right="0" w:firstLine="640" w:firstLineChars="200"/>
        <w:jc w:val="both"/>
        <w:rPr>
          <w:rFonts w:hint="eastAsia" w:ascii="仿宋_GB2312" w:eastAsia="仿宋_GB2312"/>
          <w:sz w:val="32"/>
          <w:szCs w:val="32"/>
        </w:rPr>
      </w:pPr>
      <w:r>
        <w:rPr>
          <w:rFonts w:hint="eastAsia" w:ascii="仿宋_GB2312" w:eastAsia="仿宋_GB2312"/>
          <w:sz w:val="32"/>
          <w:szCs w:val="32"/>
        </w:rPr>
        <w:t>本公告自</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日起施行，自施行之日起有效期为5年。《国家税务总局阳江市税务局关于我市土地增值税预征率等事项的公告》（国家税务总局阳江市税务局公告</w:t>
      </w:r>
      <w:r>
        <w:rPr>
          <w:rFonts w:hint="eastAsia" w:ascii="仿宋_GB2312" w:eastAsia="仿宋_GB2312"/>
          <w:sz w:val="32"/>
          <w:szCs w:val="32"/>
          <w:lang w:val="en-US" w:eastAsia="zh-CN"/>
        </w:rPr>
        <w:t>2021</w:t>
      </w:r>
      <w:r>
        <w:rPr>
          <w:rFonts w:hint="eastAsia" w:ascii="仿宋_GB2312" w:eastAsia="仿宋_GB2312"/>
          <w:sz w:val="32"/>
          <w:szCs w:val="32"/>
        </w:rPr>
        <w:t>年第</w:t>
      </w:r>
      <w:r>
        <w:rPr>
          <w:rFonts w:hint="eastAsia" w:ascii="仿宋_GB2312" w:eastAsia="仿宋_GB2312"/>
          <w:sz w:val="32"/>
          <w:szCs w:val="32"/>
          <w:lang w:val="en-US" w:eastAsia="zh-CN"/>
        </w:rPr>
        <w:t>8</w:t>
      </w:r>
      <w:r>
        <w:rPr>
          <w:rFonts w:hint="eastAsia" w:ascii="仿宋_GB2312" w:eastAsia="仿宋_GB2312"/>
          <w:sz w:val="32"/>
          <w:szCs w:val="32"/>
        </w:rPr>
        <w:t>号）同时废止。</w:t>
      </w:r>
    </w:p>
    <w:p>
      <w:pPr>
        <w:rPr>
          <w:sz w:val="30"/>
          <w:szCs w:val="30"/>
        </w:rPr>
      </w:pPr>
    </w:p>
    <w:p/>
    <w:p>
      <w:pPr>
        <w:pStyle w:val="4"/>
        <w:keepNext w:val="0"/>
        <w:keepLines w:val="0"/>
        <w:widowControl/>
        <w:suppressLineNumbers w:val="0"/>
        <w:spacing w:before="0" w:beforeAutospacing="0" w:after="226" w:afterAutospacing="0" w:line="30" w:lineRule="atLeast"/>
        <w:ind w:right="0" w:firstLine="640" w:firstLineChars="200"/>
        <w:jc w:val="both"/>
        <w:rPr>
          <w:rFonts w:hint="eastAsia"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8"/>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0B93"/>
    <w:rsid w:val="01577517"/>
    <w:rsid w:val="01AF3B3E"/>
    <w:rsid w:val="03110450"/>
    <w:rsid w:val="049E21E9"/>
    <w:rsid w:val="04EA50B9"/>
    <w:rsid w:val="05460F76"/>
    <w:rsid w:val="056430C1"/>
    <w:rsid w:val="05903640"/>
    <w:rsid w:val="06FD1BFE"/>
    <w:rsid w:val="07B130BC"/>
    <w:rsid w:val="09322557"/>
    <w:rsid w:val="09920BE8"/>
    <w:rsid w:val="0A101697"/>
    <w:rsid w:val="0A3B6E0D"/>
    <w:rsid w:val="11107F83"/>
    <w:rsid w:val="13BC3C7B"/>
    <w:rsid w:val="13D271B3"/>
    <w:rsid w:val="14CC64DA"/>
    <w:rsid w:val="156649C3"/>
    <w:rsid w:val="17DA5E1A"/>
    <w:rsid w:val="19422358"/>
    <w:rsid w:val="1BD248C7"/>
    <w:rsid w:val="1C6C71FB"/>
    <w:rsid w:val="1CCF4107"/>
    <w:rsid w:val="1DBC7EA8"/>
    <w:rsid w:val="1DDE7BD7"/>
    <w:rsid w:val="20C838D0"/>
    <w:rsid w:val="20CA57BE"/>
    <w:rsid w:val="210330BD"/>
    <w:rsid w:val="21825416"/>
    <w:rsid w:val="22BE59F2"/>
    <w:rsid w:val="23FF06F0"/>
    <w:rsid w:val="243655FD"/>
    <w:rsid w:val="25D979FA"/>
    <w:rsid w:val="268000CF"/>
    <w:rsid w:val="29D76985"/>
    <w:rsid w:val="2A5D4D2B"/>
    <w:rsid w:val="2A895249"/>
    <w:rsid w:val="2AD61025"/>
    <w:rsid w:val="2BAA2971"/>
    <w:rsid w:val="2DD55632"/>
    <w:rsid w:val="2E147064"/>
    <w:rsid w:val="2E8C7BF6"/>
    <w:rsid w:val="30225E68"/>
    <w:rsid w:val="311B5837"/>
    <w:rsid w:val="32485109"/>
    <w:rsid w:val="328554FE"/>
    <w:rsid w:val="32CC712C"/>
    <w:rsid w:val="330D550C"/>
    <w:rsid w:val="36494975"/>
    <w:rsid w:val="36F91182"/>
    <w:rsid w:val="376A7558"/>
    <w:rsid w:val="3A1D00DB"/>
    <w:rsid w:val="3A6843F6"/>
    <w:rsid w:val="3BE32EA7"/>
    <w:rsid w:val="3D264C81"/>
    <w:rsid w:val="3E15560C"/>
    <w:rsid w:val="3E2C03B1"/>
    <w:rsid w:val="3FD95354"/>
    <w:rsid w:val="40A96457"/>
    <w:rsid w:val="4188638A"/>
    <w:rsid w:val="41B16495"/>
    <w:rsid w:val="42257FDE"/>
    <w:rsid w:val="428D451A"/>
    <w:rsid w:val="42FF0D95"/>
    <w:rsid w:val="44353D29"/>
    <w:rsid w:val="44C760A7"/>
    <w:rsid w:val="45662C86"/>
    <w:rsid w:val="469614F2"/>
    <w:rsid w:val="485C04BF"/>
    <w:rsid w:val="4A736337"/>
    <w:rsid w:val="4B262B3A"/>
    <w:rsid w:val="4B4D0D89"/>
    <w:rsid w:val="4DBB7221"/>
    <w:rsid w:val="4FA51462"/>
    <w:rsid w:val="51031814"/>
    <w:rsid w:val="517B6657"/>
    <w:rsid w:val="51D37C44"/>
    <w:rsid w:val="529A2851"/>
    <w:rsid w:val="5499728B"/>
    <w:rsid w:val="54D62475"/>
    <w:rsid w:val="54DC18B5"/>
    <w:rsid w:val="5AEB3B67"/>
    <w:rsid w:val="5CA07CFA"/>
    <w:rsid w:val="5E6C0782"/>
    <w:rsid w:val="5EBA163B"/>
    <w:rsid w:val="5FF05217"/>
    <w:rsid w:val="5FF5553D"/>
    <w:rsid w:val="60525D8A"/>
    <w:rsid w:val="61382907"/>
    <w:rsid w:val="61707D67"/>
    <w:rsid w:val="61E66FED"/>
    <w:rsid w:val="626077EA"/>
    <w:rsid w:val="634F3F15"/>
    <w:rsid w:val="64C65451"/>
    <w:rsid w:val="65860E5B"/>
    <w:rsid w:val="66886E64"/>
    <w:rsid w:val="6760236D"/>
    <w:rsid w:val="67E04FA4"/>
    <w:rsid w:val="68865830"/>
    <w:rsid w:val="6BE46A79"/>
    <w:rsid w:val="6ED31672"/>
    <w:rsid w:val="6F0A04D5"/>
    <w:rsid w:val="6F551C3F"/>
    <w:rsid w:val="6F654298"/>
    <w:rsid w:val="70454764"/>
    <w:rsid w:val="747C1CF8"/>
    <w:rsid w:val="74835010"/>
    <w:rsid w:val="75286267"/>
    <w:rsid w:val="77057ED4"/>
    <w:rsid w:val="78790524"/>
    <w:rsid w:val="7B0E3648"/>
    <w:rsid w:val="7C21326E"/>
    <w:rsid w:val="7D70193B"/>
    <w:rsid w:val="7E3A7364"/>
    <w:rsid w:val="7F5D043D"/>
    <w:rsid w:val="7FA060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Normal (Web)"/>
    <w:basedOn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uiPriority w:val="0"/>
  </w:style>
  <w:style w:type="character" w:styleId="8">
    <w:name w:val="FollowedHyperlink"/>
    <w:basedOn w:val="6"/>
    <w:semiHidden/>
    <w:unhideWhenUsed/>
    <w:qFormat/>
    <w:uiPriority w:val="0"/>
    <w:rPr>
      <w:color w:val="333333"/>
      <w:u w:val="none"/>
    </w:rPr>
  </w:style>
  <w:style w:type="character" w:styleId="9">
    <w:name w:val="HTML Definition"/>
    <w:basedOn w:val="6"/>
    <w:semiHidden/>
    <w:unhideWhenUsed/>
    <w:qFormat/>
    <w:uiPriority w:val="0"/>
  </w:style>
  <w:style w:type="character" w:styleId="10">
    <w:name w:val="HTML Variable"/>
    <w:basedOn w:val="6"/>
    <w:semiHidden/>
    <w:unhideWhenUsed/>
    <w:qFormat/>
    <w:uiPriority w:val="0"/>
  </w:style>
  <w:style w:type="character" w:styleId="11">
    <w:name w:val="Hyperlink"/>
    <w:basedOn w:val="6"/>
    <w:semiHidden/>
    <w:unhideWhenUsed/>
    <w:qFormat/>
    <w:uiPriority w:val="0"/>
    <w:rPr>
      <w:color w:val="333333"/>
      <w:u w:val="none"/>
    </w:rPr>
  </w:style>
  <w:style w:type="character" w:styleId="12">
    <w:name w:val="HTML Code"/>
    <w:basedOn w:val="6"/>
    <w:semiHidden/>
    <w:unhideWhenUsed/>
    <w:qFormat/>
    <w:uiPriority w:val="0"/>
    <w:rPr>
      <w:rFonts w:ascii="Courier New" w:hAnsi="Courier New"/>
      <w:sz w:val="20"/>
    </w:rPr>
  </w:style>
  <w:style w:type="character" w:styleId="13">
    <w:name w:val="HTML Cite"/>
    <w:basedOn w:val="6"/>
    <w:semiHidden/>
    <w:unhideWhenUsed/>
    <w:qFormat/>
    <w:uiPriority w:val="0"/>
  </w:style>
  <w:style w:type="character" w:customStyle="1" w:styleId="14">
    <w:name w:val="txt"/>
    <w:basedOn w:val="6"/>
    <w:qFormat/>
    <w:uiPriority w:val="0"/>
    <w:rPr>
      <w:color w:val="F1F1F1"/>
    </w:rPr>
  </w:style>
  <w:style w:type="character" w:customStyle="1" w:styleId="15">
    <w:name w:val="txt1"/>
    <w:basedOn w:val="6"/>
    <w:qFormat/>
    <w:uiPriority w:val="0"/>
    <w:rPr>
      <w:color w:val="F1F1F1"/>
    </w:rPr>
  </w:style>
  <w:style w:type="character" w:customStyle="1" w:styleId="16">
    <w:name w:val="llcs_lm"/>
    <w:basedOn w:val="6"/>
    <w:qFormat/>
    <w:uiPriority w:val="0"/>
    <w:rPr>
      <w:vanish/>
    </w:rPr>
  </w:style>
  <w:style w:type="character" w:customStyle="1" w:styleId="17">
    <w:name w:val="txtbg"/>
    <w:basedOn w:val="6"/>
    <w:qFormat/>
    <w:uiPriority w:val="0"/>
    <w:rPr>
      <w:shd w:val="clear" w:fill="000000"/>
    </w:rPr>
  </w:style>
  <w:style w:type="character" w:customStyle="1" w:styleId="18">
    <w:name w:val="txtbg1"/>
    <w:basedOn w:val="6"/>
    <w:qFormat/>
    <w:uiPriority w:val="0"/>
    <w:rPr>
      <w:shd w:val="clear" w:fill="000000"/>
    </w:rPr>
  </w:style>
  <w:style w:type="character" w:customStyle="1" w:styleId="19">
    <w:name w:val="sharebtn_m"/>
    <w:basedOn w:val="6"/>
    <w:qFormat/>
    <w:uiPriority w:val="0"/>
    <w:rPr>
      <w:vanish/>
    </w:rPr>
  </w:style>
  <w:style w:type="character" w:customStyle="1" w:styleId="20">
    <w:name w:val="llcs4"/>
    <w:basedOn w:val="6"/>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205</Words>
  <Characters>1169</Characters>
  <Lines>9</Lines>
  <Paragraphs>2</Paragraphs>
  <TotalTime>30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2021-08-11T03:56:00Z</dcterms:created>
  <dc:creator>陈晓琳</dc:creator>
  <cp:lastModifiedBy>石津铭</cp:lastModifiedBy>
  <cp:lastPrinted>2023-04-21T07:02:00Z</cp:lastPrinted>
  <dcterms:modified xsi:type="dcterms:W3CDTF">2023-04-26T08:03:44Z</dcterms:modified>
  <dc:title>关于《国家税务总局阳江市税务局关于我市土地增值税预征率等事项的公告》的解读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