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firstLine="720" w:firstLineChars="200"/>
        <w:jc w:val="center"/>
        <w:textAlignment w:val="auto"/>
        <w:rPr>
          <w:rFonts w:hint="default" w:ascii="Times New Roman" w:hAnsi="Times New Roman" w:eastAsia="方正大标宋简体" w:cs="Times New Roman"/>
          <w:b w:val="0"/>
          <w:bCs/>
          <w:sz w:val="36"/>
          <w:szCs w:val="36"/>
          <w:lang w:val="en-US" w:eastAsia="zh-CN"/>
        </w:rPr>
      </w:pPr>
      <w:r>
        <w:rPr>
          <w:rFonts w:hint="default" w:ascii="Times New Roman" w:hAnsi="Times New Roman" w:eastAsia="方正大标宋简体" w:cs="Times New Roman"/>
          <w:b w:val="0"/>
          <w:bCs/>
          <w:sz w:val="36"/>
          <w:szCs w:val="36"/>
          <w:lang w:eastAsia="zh-CN"/>
        </w:rPr>
        <w:t>境外</w:t>
      </w:r>
      <w:r>
        <w:rPr>
          <w:rFonts w:hint="eastAsia" w:ascii="Times New Roman" w:hAnsi="Times New Roman" w:eastAsia="方正大标宋简体" w:cs="Times New Roman"/>
          <w:b w:val="0"/>
          <w:bCs/>
          <w:sz w:val="36"/>
          <w:szCs w:val="36"/>
          <w:lang w:val="en-US" w:eastAsia="zh-CN"/>
        </w:rPr>
        <w:t>发行</w:t>
      </w:r>
      <w:r>
        <w:rPr>
          <w:rFonts w:hint="default" w:ascii="Times New Roman" w:hAnsi="Times New Roman" w:eastAsia="方正大标宋简体" w:cs="Times New Roman"/>
          <w:b w:val="0"/>
          <w:bCs/>
          <w:sz w:val="36"/>
          <w:szCs w:val="36"/>
          <w:lang w:eastAsia="zh-CN"/>
        </w:rPr>
        <w:t>上市</w:t>
      </w:r>
      <w:r>
        <w:rPr>
          <w:rFonts w:hint="eastAsia" w:ascii="Times New Roman" w:hAnsi="Times New Roman" w:eastAsia="方正大标宋简体" w:cs="Times New Roman"/>
          <w:b w:val="0"/>
          <w:bCs/>
          <w:sz w:val="36"/>
          <w:szCs w:val="36"/>
          <w:lang w:val="en-US" w:eastAsia="zh-CN"/>
        </w:rPr>
        <w:t>备案补充材料要求</w:t>
      </w:r>
      <w:r>
        <w:rPr>
          <w:rFonts w:hint="default" w:ascii="Times New Roman" w:hAnsi="Times New Roman" w:eastAsia="方正大标宋简体" w:cs="Times New Roman"/>
          <w:b w:val="0"/>
          <w:bCs/>
          <w:sz w:val="36"/>
          <w:szCs w:val="36"/>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center"/>
        <w:textAlignment w:val="auto"/>
        <w:rPr>
          <w:rFonts w:hint="default" w:ascii="Times New Roman" w:hAnsi="Times New Roman" w:eastAsia="方正大标宋简体" w:cs="Times New Roman"/>
          <w:b w:val="0"/>
          <w:bCs/>
          <w:sz w:val="32"/>
          <w:szCs w:val="32"/>
          <w:lang w:eastAsia="zh-CN"/>
        </w:rPr>
      </w:pPr>
      <w:r>
        <w:rPr>
          <w:rFonts w:hint="default" w:ascii="Times New Roman" w:hAnsi="Times New Roman" w:eastAsia="方正大标宋简体" w:cs="Times New Roman"/>
          <w:b w:val="0"/>
          <w:bCs/>
          <w:sz w:val="32"/>
          <w:szCs w:val="32"/>
          <w:lang w:eastAsia="zh-CN"/>
        </w:rPr>
        <w:t>（</w:t>
      </w:r>
      <w:r>
        <w:rPr>
          <w:rFonts w:hint="default" w:ascii="Times New Roman" w:hAnsi="Times New Roman" w:eastAsia="方正大标宋简体" w:cs="Times New Roman"/>
          <w:b w:val="0"/>
          <w:bCs/>
          <w:sz w:val="32"/>
          <w:szCs w:val="32"/>
        </w:rPr>
        <w:t>20</w:t>
      </w:r>
      <w:r>
        <w:rPr>
          <w:rFonts w:hint="default" w:ascii="Times New Roman" w:hAnsi="Times New Roman" w:eastAsia="方正大标宋简体" w:cs="Times New Roman"/>
          <w:b w:val="0"/>
          <w:bCs/>
          <w:sz w:val="32"/>
          <w:szCs w:val="32"/>
          <w:lang w:val="en-US" w:eastAsia="zh-CN"/>
        </w:rPr>
        <w:t>23</w:t>
      </w:r>
      <w:r>
        <w:rPr>
          <w:rFonts w:hint="default" w:ascii="Times New Roman" w:hAnsi="Times New Roman" w:eastAsia="方正大标宋简体" w:cs="Times New Roman"/>
          <w:b w:val="0"/>
          <w:bCs/>
          <w:sz w:val="32"/>
          <w:szCs w:val="32"/>
        </w:rPr>
        <w:t>年</w:t>
      </w:r>
      <w:r>
        <w:rPr>
          <w:rFonts w:hint="eastAsia" w:ascii="Times New Roman" w:hAnsi="Times New Roman" w:eastAsia="方正大标宋简体" w:cs="Times New Roman"/>
          <w:b w:val="0"/>
          <w:bCs/>
          <w:sz w:val="32"/>
          <w:szCs w:val="32"/>
          <w:lang w:val="en-US" w:eastAsia="zh-CN"/>
        </w:rPr>
        <w:t>4</w:t>
      </w:r>
      <w:r>
        <w:rPr>
          <w:rFonts w:hint="default" w:ascii="Times New Roman" w:hAnsi="Times New Roman" w:eastAsia="方正大标宋简体" w:cs="Times New Roman"/>
          <w:b w:val="0"/>
          <w:bCs/>
          <w:sz w:val="32"/>
          <w:szCs w:val="32"/>
        </w:rPr>
        <w:t>月</w:t>
      </w:r>
      <w:r>
        <w:rPr>
          <w:rFonts w:hint="eastAsia" w:ascii="Times New Roman" w:hAnsi="Times New Roman" w:eastAsia="方正大标宋简体" w:cs="Times New Roman"/>
          <w:b w:val="0"/>
          <w:bCs/>
          <w:sz w:val="32"/>
          <w:szCs w:val="32"/>
          <w:lang w:val="en-US" w:eastAsia="zh-CN"/>
        </w:rPr>
        <w:t>21</w:t>
      </w:r>
      <w:r>
        <w:rPr>
          <w:rFonts w:hint="default" w:ascii="Times New Roman" w:hAnsi="Times New Roman" w:eastAsia="方正大标宋简体" w:cs="Times New Roman"/>
          <w:b w:val="0"/>
          <w:bCs/>
          <w:sz w:val="32"/>
          <w:szCs w:val="32"/>
        </w:rPr>
        <w:t>日</w:t>
      </w:r>
      <w:r>
        <w:rPr>
          <w:rFonts w:hint="default" w:ascii="Times New Roman" w:hAnsi="Times New Roman" w:eastAsia="方正大标宋简体" w:cs="Times New Roman"/>
          <w:b w:val="0"/>
          <w:bCs/>
          <w:sz w:val="32"/>
          <w:szCs w:val="32"/>
          <w:lang w:eastAsia="zh-CN"/>
        </w:rPr>
        <w:t>—</w:t>
      </w:r>
      <w:r>
        <w:rPr>
          <w:rFonts w:hint="default" w:ascii="Times New Roman" w:hAnsi="Times New Roman" w:eastAsia="方正大标宋简体" w:cs="Times New Roman"/>
          <w:b w:val="0"/>
          <w:bCs/>
          <w:sz w:val="32"/>
          <w:szCs w:val="32"/>
        </w:rPr>
        <w:t>20</w:t>
      </w:r>
      <w:r>
        <w:rPr>
          <w:rFonts w:hint="default" w:ascii="Times New Roman" w:hAnsi="Times New Roman" w:eastAsia="方正大标宋简体" w:cs="Times New Roman"/>
          <w:b w:val="0"/>
          <w:bCs/>
          <w:sz w:val="32"/>
          <w:szCs w:val="32"/>
          <w:lang w:val="en-US" w:eastAsia="zh-CN"/>
        </w:rPr>
        <w:t>23</w:t>
      </w:r>
      <w:r>
        <w:rPr>
          <w:rFonts w:hint="default" w:ascii="Times New Roman" w:hAnsi="Times New Roman" w:eastAsia="方正大标宋简体" w:cs="Times New Roman"/>
          <w:b w:val="0"/>
          <w:bCs/>
          <w:sz w:val="32"/>
          <w:szCs w:val="32"/>
        </w:rPr>
        <w:t>年</w:t>
      </w:r>
      <w:r>
        <w:rPr>
          <w:rFonts w:hint="eastAsia" w:ascii="Times New Roman" w:hAnsi="Times New Roman" w:eastAsia="方正大标宋简体" w:cs="Times New Roman"/>
          <w:b w:val="0"/>
          <w:bCs/>
          <w:sz w:val="32"/>
          <w:szCs w:val="32"/>
          <w:lang w:val="en-US" w:eastAsia="zh-CN"/>
        </w:rPr>
        <w:t>4</w:t>
      </w:r>
      <w:r>
        <w:rPr>
          <w:rFonts w:hint="default" w:ascii="Times New Roman" w:hAnsi="Times New Roman" w:eastAsia="方正大标宋简体" w:cs="Times New Roman"/>
          <w:b w:val="0"/>
          <w:bCs/>
          <w:sz w:val="32"/>
          <w:szCs w:val="32"/>
        </w:rPr>
        <w:t>月</w:t>
      </w:r>
      <w:r>
        <w:rPr>
          <w:rFonts w:hint="eastAsia" w:ascii="Times New Roman" w:hAnsi="Times New Roman" w:eastAsia="方正大标宋简体" w:cs="Times New Roman"/>
          <w:b w:val="0"/>
          <w:bCs/>
          <w:sz w:val="32"/>
          <w:szCs w:val="32"/>
          <w:lang w:val="en-US" w:eastAsia="zh-CN"/>
        </w:rPr>
        <w:t>27</w:t>
      </w:r>
      <w:r>
        <w:rPr>
          <w:rFonts w:hint="default" w:ascii="Times New Roman" w:hAnsi="Times New Roman" w:eastAsia="方正大标宋简体" w:cs="Times New Roman"/>
          <w:b w:val="0"/>
          <w:bCs/>
          <w:sz w:val="32"/>
          <w:szCs w:val="32"/>
        </w:rPr>
        <w:t>日</w:t>
      </w:r>
      <w:r>
        <w:rPr>
          <w:rFonts w:hint="default" w:ascii="Times New Roman" w:hAnsi="Times New Roman" w:eastAsia="方正大标宋简体" w:cs="Times New Roman"/>
          <w:b w:val="0"/>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center"/>
        <w:textAlignment w:val="auto"/>
        <w:rPr>
          <w:rFonts w:hint="default" w:ascii="Times New Roman" w:hAnsi="Times New Roman" w:eastAsia="sysfST" w:cs="Times New Roman"/>
          <w:b/>
          <w:sz w:val="28"/>
          <w:szCs w:val="28"/>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本周国际部共对</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家企业出具</w:t>
      </w:r>
      <w:r>
        <w:rPr>
          <w:rFonts w:hint="eastAsia" w:ascii="Times New Roman" w:hAnsi="Times New Roman" w:eastAsia="仿宋_GB2312" w:cs="Times New Roman"/>
          <w:sz w:val="32"/>
          <w:szCs w:val="32"/>
          <w:lang w:val="en-US" w:eastAsia="zh-CN"/>
        </w:rPr>
        <w:t>补充材料要求</w:t>
      </w:r>
      <w:r>
        <w:rPr>
          <w:rFonts w:hint="default" w:ascii="Times New Roman" w:hAnsi="Times New Roman" w:eastAsia="仿宋_GB2312" w:cs="Times New Roman"/>
          <w:sz w:val="32"/>
          <w:szCs w:val="32"/>
          <w:lang w:val="en-US" w:eastAsia="zh-CN"/>
        </w:rPr>
        <w:t>，具体如下：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Dida.Inc（嘀嗒出行）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关于协议控制架构：(1）协议控制架构设立的合规性，包括但不限于搭建及返程并购涉及的外汇管理、境外投资等监管程序情况、税费依法缴纳情况等;（2)协议控制架构下的相关主体之问的具体交易安排，包括但不限于对境</w:t>
      </w:r>
      <w:r>
        <w:rPr>
          <w:rFonts w:hint="eastAsia" w:ascii="CESI仿宋-GB2312" w:hAnsi="CESI仿宋-GB2312" w:eastAsia="CESI仿宋-GB2312" w:cs="CESI仿宋-GB2312"/>
          <w:sz w:val="32"/>
          <w:szCs w:val="32"/>
          <w:lang w:val="en-US" w:eastAsia="zh-CN"/>
        </w:rPr>
        <w:t>内</w:t>
      </w:r>
      <w:r>
        <w:rPr>
          <w:rFonts w:hint="eastAsia" w:ascii="CESI仿宋-GB2312" w:hAnsi="CESI仿宋-GB2312" w:eastAsia="CESI仿宋-GB2312" w:cs="CESI仿宋-GB2312"/>
          <w:sz w:val="32"/>
          <w:szCs w:val="32"/>
        </w:rPr>
        <w:t>主体资金支持的时间、金额、途径和方式，有关资金往来、利润转移安排等情况。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二、关于股权变动情况：(1）各类优先股的异同，后续轮融资价格低于前轮融资价格的原因，价款支付情况及税费缴纳情况，所履行的外汇管理、境外投资等境</w:t>
      </w:r>
      <w:r>
        <w:rPr>
          <w:rFonts w:hint="eastAsia" w:ascii="CESI仿宋-GB2312" w:hAnsi="CESI仿宋-GB2312" w:eastAsia="CESI仿宋-GB2312" w:cs="CESI仿宋-GB2312"/>
          <w:sz w:val="32"/>
          <w:szCs w:val="32"/>
          <w:lang w:val="en-US" w:eastAsia="zh-CN"/>
        </w:rPr>
        <w:t>内</w:t>
      </w:r>
      <w:r>
        <w:rPr>
          <w:rFonts w:hint="eastAsia" w:ascii="CESI仿宋-GB2312" w:hAnsi="CESI仿宋-GB2312" w:eastAsia="CESI仿宋-GB2312" w:cs="CESI仿宋-GB2312"/>
          <w:sz w:val="32"/>
          <w:szCs w:val="32"/>
        </w:rPr>
        <w:t>监管程序情况;(2）股东无偿放弃持有股份的原因;（3）员工股杈激励计划履行外汇管理等境</w:t>
      </w:r>
      <w:r>
        <w:rPr>
          <w:rFonts w:hint="eastAsia" w:ascii="CESI仿宋-GB2312" w:hAnsi="CESI仿宋-GB2312" w:eastAsia="CESI仿宋-GB2312" w:cs="CESI仿宋-GB2312"/>
          <w:sz w:val="32"/>
          <w:szCs w:val="32"/>
          <w:lang w:val="en-US" w:eastAsia="zh-CN"/>
        </w:rPr>
        <w:t>内</w:t>
      </w:r>
      <w:r>
        <w:rPr>
          <w:rFonts w:hint="eastAsia" w:ascii="CESI仿宋-GB2312" w:hAnsi="CESI仿宋-GB2312" w:eastAsia="CESI仿宋-GB2312" w:cs="CESI仿宋-GB2312"/>
          <w:sz w:val="32"/>
          <w:szCs w:val="32"/>
        </w:rPr>
        <w:t>监管程序的最新进展情況。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三、关于主要股东基本情况：主要股东穿透至自然人、公众公司、国有控股或管理的主体、集体组织等主体的情況。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四、关于个人信息保护、数据安全情况：你公司开发、运营的APP、小程序等产品情況，说明是否涉及向第三方提供信息内容，如提供，说明信息内容的类型,以及信息内容安全保护的措施；你公司收集及储存的用户信息规模、数据收集使用情况，上市前后个人信息保护和数据安全的安排或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Luyuan Group Holding（Cayman）Limited（绿源）</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一、发行人存在上市后实施的股份激励计划，预计用于股份激励计划的股份比例占本次发行上市前发行人已发行股本的5.23%，来源于Best Expand</w:t>
      </w:r>
      <w:bookmarkStart w:id="0" w:name="_GoBack"/>
      <w:bookmarkEnd w:id="0"/>
      <w:r>
        <w:rPr>
          <w:rFonts w:hint="eastAsia" w:ascii="CESI仿宋-GB2312" w:hAnsi="CESI仿宋-GB2312" w:eastAsia="CESI仿宋-GB2312" w:cs="CESI仿宋-GB2312"/>
          <w:sz w:val="32"/>
          <w:szCs w:val="32"/>
        </w:rPr>
        <w:t>所持发行人股份的出让。请说明该股份激励计划的基本内容、制定计划履行的决策程序、行权价格的确定原则、激励对象基本情况、是否设置预留权益，以及该激励计划是否合法合规。</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报告期内发行人向合计31名经销商及子经销商提供了贷款，请补充说明上述经销商与发行人是否存在关联关系、雇员关系，对上述经销商的收入占发行人当期收入的比重，不再提供贷款对其收入的影响。请补充说明发行人委托雇员通过持有尚未还清贷款的经销商股权的持股工具方式进行财务状况监督的必要性及合理性，以及是否存在公司雇员作为经销商的情形。</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三、请补充说明发行人与经销商林平仔是否存在关联关系、雇员关系，林平仔经销产品实现最终销售情况；福建一洲因业绩不佳停产当年成为发行人第五大供应商的合理性；发行人持股福建一洲期间，与福建一洲的交易定价是否公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2010601030101010101"/>
    <w:charset w:val="86"/>
    <w:family w:val="auto"/>
    <w:pitch w:val="default"/>
    <w:sig w:usb0="00000000" w:usb1="00000000" w:usb2="00000000" w:usb3="00000000" w:csb0="00040000" w:csb1="00000000"/>
  </w:font>
  <w:font w:name="sysfST">
    <w:altName w:val="Microsoft YaHei UI"/>
    <w:panose1 w:val="02010604000000000000"/>
    <w:charset w:val="00"/>
    <w:family w:val="auto"/>
    <w:pitch w:val="default"/>
    <w:sig w:usb0="00000000" w:usb1="00000000" w:usb2="00000000"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 w:name="sans-serif">
    <w:altName w:val="微软雅黑"/>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2ZmFiOWIxMjIwNmVmM2RmZWY4MzcxZDhjYTI5NTAifQ=="/>
  </w:docVars>
  <w:rsids>
    <w:rsidRoot w:val="00000000"/>
    <w:rsid w:val="1BB37D0C"/>
    <w:rsid w:val="2AAE54B0"/>
    <w:rsid w:val="4C375388"/>
    <w:rsid w:val="7D623D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2355</Words>
  <Characters>2431</Characters>
  <Lines>0</Lines>
  <Paragraphs>0</Paragraphs>
  <TotalTime>1</TotalTime>
  <ScaleCrop>false</ScaleCrop>
  <LinksUpToDate>false</LinksUpToDate>
  <CharactersWithSpaces>2436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2023-04-21T08:40:00Z</dcterms:created>
  <dc:creator>randi</dc:creator>
  <cp:lastModifiedBy>Randz</cp:lastModifiedBy>
  <dcterms:modified xsi:type="dcterms:W3CDTF">2023-04-28T07:29:02Z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4459C3D9C936452E895A241F23E4CC5D</vt:lpwstr>
  </property>
</Properties>
</file>