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left="108" w:right="0" w:firstLine="0"/>
        <w:jc w:val="left"/>
        <w:rPr>
          <w:rFonts w:ascii="宋体"/>
          <w:sz w:val="24"/>
        </w:rPr>
      </w:pPr>
      <w:r>
        <w:rPr>
          <w:rFonts w:ascii="宋体"/>
          <w:sz w:val="24"/>
        </w:rPr>
        <w:t>HNPR-2022-11037</w:t>
      </w: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spacing w:before="8"/>
        <w:rPr>
          <w:rFonts w:ascii="宋体"/>
          <w:sz w:val="21"/>
        </w:rPr>
      </w:pPr>
    </w:p>
    <w:p>
      <w:pPr>
        <w:pStyle w:val="2"/>
        <w:spacing w:before="65"/>
        <w:ind w:left="973" w:right="889"/>
        <w:jc w:val="center"/>
      </w:pPr>
      <w:r>
        <w:t>湘人社规</w:t>
      </w:r>
      <w:r>
        <w:rPr>
          <w:rFonts w:hint="eastAsia" w:ascii="仿宋_GB2312" w:hAnsi="仿宋_GB2312" w:eastAsia="仿宋_GB2312" w:cs="仿宋_GB2312"/>
          <w:spacing w:val="-6"/>
        </w:rPr>
        <w:t>〔</w:t>
      </w:r>
      <w:r>
        <w:rPr>
          <w:rFonts w:ascii="Times New Roman" w:hAnsi="Times New Roman" w:eastAsia="Times New Roman"/>
          <w:spacing w:val="-5"/>
        </w:rPr>
        <w:t>2022</w:t>
      </w:r>
      <w:r>
        <w:rPr>
          <w:rFonts w:hint="eastAsia" w:ascii="仿宋_GB2312" w:hAnsi="仿宋_GB2312" w:eastAsia="仿宋_GB2312" w:cs="仿宋_GB2312"/>
          <w:spacing w:val="-5"/>
        </w:rPr>
        <w:t>〕</w:t>
      </w:r>
      <w:r>
        <w:rPr>
          <w:rFonts w:ascii="Times New Roman" w:hAnsi="Times New Roman" w:eastAsia="Times New Roman"/>
        </w:rPr>
        <w:t xml:space="preserve">37 </w:t>
      </w:r>
      <w:r>
        <w:t>号</w:t>
      </w:r>
    </w:p>
    <w:p>
      <w:pPr>
        <w:pStyle w:val="2"/>
        <w:rPr>
          <w:sz w:val="34"/>
        </w:rPr>
      </w:pPr>
    </w:p>
    <w:p>
      <w:pPr>
        <w:pStyle w:val="2"/>
        <w:rPr>
          <w:sz w:val="34"/>
        </w:rPr>
      </w:pPr>
    </w:p>
    <w:p>
      <w:pPr>
        <w:pStyle w:val="2"/>
        <w:spacing w:before="12"/>
        <w:rPr>
          <w:sz w:val="33"/>
        </w:rPr>
      </w:pPr>
    </w:p>
    <w:p>
      <w:pPr>
        <w:spacing w:before="0" w:line="216" w:lineRule="auto"/>
        <w:ind w:left="973" w:right="889" w:firstLine="0"/>
        <w:jc w:val="center"/>
        <w:rPr>
          <w:rFonts w:hint="eastAsia" w:ascii="方正小标宋简体" w:eastAsia="方正小标宋简体"/>
          <w:sz w:val="44"/>
        </w:rPr>
      </w:pPr>
      <w:r>
        <w:rPr>
          <w:rFonts w:hint="eastAsia" w:ascii="方正小标宋简体" w:eastAsia="方正小标宋简体"/>
          <w:sz w:val="44"/>
        </w:rPr>
        <w:t>关于进一步做好阶</w:t>
      </w:r>
      <w:bookmarkStart w:id="0" w:name="_GoBack"/>
      <w:bookmarkEnd w:id="0"/>
      <w:r>
        <w:rPr>
          <w:rFonts w:hint="eastAsia" w:ascii="方正小标宋简体" w:eastAsia="方正小标宋简体"/>
          <w:sz w:val="44"/>
        </w:rPr>
        <w:t>段性缓缴社会保险费政策实施工作的通知</w:t>
      </w:r>
    </w:p>
    <w:p>
      <w:pPr>
        <w:pStyle w:val="2"/>
        <w:rPr>
          <w:rFonts w:ascii="方正小标宋简体"/>
          <w:sz w:val="38"/>
        </w:rPr>
      </w:pPr>
    </w:p>
    <w:p>
      <w:pPr>
        <w:pStyle w:val="2"/>
        <w:spacing w:line="350" w:lineRule="auto"/>
        <w:ind w:left="990" w:right="31" w:hanging="641"/>
      </w:pPr>
      <w:r>
        <w:t>各市州人力资源和社会保障局、发展改革委、财政局、税务局： 根据《人力资源社会保障部办公厅、国家发展改革委办公</w:t>
      </w:r>
    </w:p>
    <w:p>
      <w:pPr>
        <w:pStyle w:val="2"/>
        <w:spacing w:before="3" w:line="350" w:lineRule="auto"/>
        <w:ind w:left="349" w:right="262"/>
        <w:jc w:val="both"/>
      </w:pPr>
      <w:r>
        <w:t>厅、财政部办公厅、国家税务总局办公厅关于进一步做好阶段性缓缴社会保险费政策实施工作的通知</w:t>
      </w:r>
      <w:r>
        <w:rPr>
          <w:spacing w:val="-185"/>
        </w:rPr>
        <w:t>》</w:t>
      </w:r>
      <w:r>
        <w:rPr>
          <w:spacing w:val="4"/>
        </w:rPr>
        <w:t>（</w:t>
      </w:r>
      <w:r>
        <w:rPr>
          <w:spacing w:val="-6"/>
        </w:rPr>
        <w:t>人社厅发</w:t>
      </w:r>
      <w:r>
        <w:rPr>
          <w:rFonts w:hint="eastAsia" w:ascii="仿宋_GB2312" w:hAnsi="仿宋_GB2312" w:eastAsia="仿宋_GB2312" w:cs="仿宋_GB2312"/>
          <w:spacing w:val="-6"/>
        </w:rPr>
        <w:t>〔</w:t>
      </w:r>
      <w:r>
        <w:rPr>
          <w:rFonts w:ascii="Times New Roman" w:hAnsi="Times New Roman" w:eastAsia="Times New Roman"/>
          <w:spacing w:val="-5"/>
        </w:rPr>
        <w:t>2022</w:t>
      </w:r>
      <w:r>
        <w:rPr>
          <w:rFonts w:hint="eastAsia" w:ascii="仿宋_GB2312" w:hAnsi="仿宋_GB2312" w:eastAsia="仿宋_GB2312" w:cs="仿宋_GB2312"/>
          <w:spacing w:val="-5"/>
        </w:rPr>
        <w:t>〕</w:t>
      </w:r>
      <w:r>
        <w:rPr>
          <w:rFonts w:ascii="Times New Roman" w:hAnsi="Times New Roman" w:eastAsia="Times New Roman"/>
          <w:spacing w:val="-5"/>
        </w:rPr>
        <w:t xml:space="preserve">50 </w:t>
      </w:r>
      <w:r>
        <w:rPr>
          <w:spacing w:val="4"/>
        </w:rPr>
        <w:t>号）</w:t>
      </w:r>
      <w:r>
        <w:t>精神，为切实发挥阶段性缓缴社会保险费政策效果，现就有关事项通知如下：</w:t>
      </w:r>
    </w:p>
    <w:p>
      <w:pPr>
        <w:spacing w:after="0" w:line="350" w:lineRule="auto"/>
        <w:jc w:val="both"/>
        <w:sectPr>
          <w:type w:val="continuous"/>
          <w:pgSz w:w="11910" w:h="16840"/>
          <w:pgMar w:top="920" w:right="1320" w:bottom="280" w:left="1240" w:header="720" w:footer="720" w:gutter="0"/>
          <w:cols w:space="720" w:num="1"/>
        </w:sectPr>
      </w:pPr>
    </w:p>
    <w:p>
      <w:pPr>
        <w:pStyle w:val="2"/>
        <w:rPr>
          <w:sz w:val="20"/>
        </w:rPr>
      </w:pPr>
    </w:p>
    <w:p>
      <w:pPr>
        <w:pStyle w:val="2"/>
        <w:spacing w:before="8"/>
        <w:rPr>
          <w:sz w:val="17"/>
        </w:rPr>
      </w:pPr>
    </w:p>
    <w:p>
      <w:pPr>
        <w:pStyle w:val="2"/>
        <w:spacing w:before="64" w:line="350" w:lineRule="auto"/>
        <w:ind w:left="349" w:right="105" w:firstLine="640"/>
      </w:pPr>
      <w:r>
        <w:rPr>
          <w:rFonts w:hint="eastAsia" w:ascii="黑体" w:hAnsi="黑体" w:eastAsia="黑体"/>
        </w:rPr>
        <w:t>一、延长缓缴费款清缴期限。</w:t>
      </w:r>
      <w:r>
        <w:t>按照湘人社规</w:t>
      </w:r>
      <w:r>
        <w:rPr>
          <w:rFonts w:hint="eastAsia" w:ascii="仿宋_GB2312" w:hAnsi="仿宋_GB2312" w:eastAsia="仿宋_GB2312" w:cs="仿宋_GB2312"/>
          <w:spacing w:val="-6"/>
        </w:rPr>
        <w:t>〔</w:t>
      </w:r>
      <w:r>
        <w:rPr>
          <w:rFonts w:ascii="Times New Roman" w:hAnsi="Times New Roman" w:eastAsia="Times New Roman"/>
          <w:spacing w:val="-5"/>
        </w:rPr>
        <w:t>2022</w:t>
      </w:r>
      <w:r>
        <w:rPr>
          <w:rFonts w:hint="eastAsia" w:ascii="仿宋_GB2312" w:hAnsi="仿宋_GB2312" w:eastAsia="仿宋_GB2312" w:cs="仿宋_GB2312"/>
          <w:spacing w:val="-5"/>
        </w:rPr>
        <w:t>〕</w:t>
      </w:r>
      <w:r>
        <w:rPr>
          <w:rFonts w:ascii="Times New Roman" w:hAnsi="Times New Roman" w:eastAsia="Times New Roman"/>
        </w:rPr>
        <w:t xml:space="preserve">21 </w:t>
      </w:r>
      <w:r>
        <w:t>号</w:t>
      </w:r>
      <w:r>
        <w:rPr>
          <w:spacing w:val="-6"/>
        </w:rPr>
        <w:t>文件实施阶段性缓缴的企业</w:t>
      </w:r>
      <w:r>
        <w:t>（</w:t>
      </w:r>
      <w:r>
        <w:rPr>
          <w:spacing w:val="-1"/>
        </w:rPr>
        <w:t>含以单位方式参保的个体工商户、</w:t>
      </w:r>
      <w:r>
        <w:t>参加企业职工基本养老保险的事业单位及各类社会组织</w:t>
      </w:r>
      <w:r>
        <w:rPr>
          <w:spacing w:val="-116"/>
        </w:rPr>
        <w:t>）</w:t>
      </w:r>
      <w:r>
        <w:rPr>
          <w:spacing w:val="-39"/>
        </w:rPr>
        <w:t xml:space="preserve">，缓缴期限届满后，原规定的 </w:t>
      </w:r>
      <w:r>
        <w:rPr>
          <w:rFonts w:ascii="Times New Roman" w:hAnsi="Times New Roman" w:eastAsia="Times New Roman"/>
        </w:rPr>
        <w:t xml:space="preserve">6 </w:t>
      </w:r>
      <w:r>
        <w:t>个月内缴清缓缴的社会保险费，延长</w:t>
      </w:r>
      <w:r>
        <w:rPr>
          <w:spacing w:val="-46"/>
        </w:rPr>
        <w:t xml:space="preserve">至 </w:t>
      </w:r>
      <w:r>
        <w:rPr>
          <w:rFonts w:ascii="Times New Roman" w:eastAsia="Times New Roman"/>
        </w:rPr>
        <w:t xml:space="preserve">2023 </w:t>
      </w:r>
      <w:r>
        <w:rPr>
          <w:spacing w:val="-47"/>
        </w:rPr>
        <w:t xml:space="preserve">年 </w:t>
      </w:r>
      <w:r>
        <w:rPr>
          <w:rFonts w:ascii="Times New Roman" w:eastAsia="Times New Roman"/>
        </w:rPr>
        <w:t xml:space="preserve">12 </w:t>
      </w:r>
      <w:r>
        <w:rPr>
          <w:spacing w:val="-46"/>
        </w:rPr>
        <w:t xml:space="preserve">月 </w:t>
      </w:r>
      <w:r>
        <w:rPr>
          <w:rFonts w:ascii="Times New Roman" w:eastAsia="Times New Roman"/>
        </w:rPr>
        <w:t xml:space="preserve">31 </w:t>
      </w:r>
      <w:r>
        <w:rPr>
          <w:spacing w:val="-14"/>
        </w:rPr>
        <w:t>日前予以缴清。企业可以根据自身经营状况，</w:t>
      </w:r>
      <w:r>
        <w:t>采取一次性、分期或者逐月等方式补缴缓缴的社会保险费。补缴期间免收滞纳金。</w:t>
      </w:r>
    </w:p>
    <w:p>
      <w:pPr>
        <w:pStyle w:val="2"/>
        <w:spacing w:before="5" w:line="350" w:lineRule="auto"/>
        <w:ind w:left="349" w:right="104" w:firstLine="640"/>
      </w:pPr>
      <w:r>
        <w:rPr>
          <w:rFonts w:hint="eastAsia" w:ascii="黑体" w:eastAsia="黑体"/>
          <w:spacing w:val="3"/>
        </w:rPr>
        <w:t>二、切实维护单位职工权益。</w:t>
      </w:r>
      <w:r>
        <w:t>各地社会保险经办机构在提</w:t>
      </w:r>
      <w:r>
        <w:rPr>
          <w:spacing w:val="-8"/>
        </w:rPr>
        <w:t>供社保缴费查询、出具缴费证明时，对企业按照政策规定缓缴、</w:t>
      </w:r>
      <w:r>
        <w:t>补缴期间认定为正常缴费状态，不得做欠费处理。企业缓缴期间已依法代缴代扣职工个人缴费的，职工个人缴费状态认定为正常缴费。各地社保部门要主动配合当地相关部门，妥善处理</w:t>
      </w:r>
      <w:r>
        <w:rPr>
          <w:spacing w:val="-10"/>
        </w:rPr>
        <w:t>与职工落户、购房、购车以及子女入学资格等政策的衔接问题。</w:t>
      </w:r>
      <w:r>
        <w:t>对需要办理关系转移、待遇申领、参保终止的职工，企业应先为其补齐缓缴的社会保险费。</w:t>
      </w:r>
    </w:p>
    <w:p>
      <w:pPr>
        <w:pStyle w:val="2"/>
        <w:spacing w:before="11" w:line="350" w:lineRule="auto"/>
        <w:ind w:left="349" w:right="264" w:firstLine="640"/>
        <w:jc w:val="both"/>
      </w:pPr>
      <w:r>
        <w:rPr>
          <w:rFonts w:hint="eastAsia" w:ascii="黑体" w:hAnsi="黑体" w:eastAsia="黑体"/>
          <w:spacing w:val="3"/>
          <w:w w:val="95"/>
        </w:rPr>
        <w:t>三、加大缓缴政策宣传力度。</w:t>
      </w:r>
      <w:r>
        <w:rPr>
          <w:w w:val="95"/>
        </w:rPr>
        <w:t>为确保企业对缓缴政策“应</w:t>
      </w:r>
      <w:r>
        <w:rPr>
          <w:spacing w:val="4"/>
          <w:w w:val="99"/>
        </w:rPr>
        <w:t>知</w:t>
      </w:r>
      <w:r>
        <w:rPr>
          <w:spacing w:val="-16"/>
          <w:w w:val="99"/>
        </w:rPr>
        <w:t>尽知”“能享尽享”，各地要进一步加大政策宣传力度，要针</w:t>
      </w:r>
      <w:r>
        <w:rPr>
          <w:spacing w:val="4"/>
        </w:rPr>
        <w:t>对</w:t>
      </w:r>
      <w:r>
        <w:t>不同行业、不同企业以及灵活就业人员特点，提高宣传的针对性和精准度。通过适时发布缓缴数据信息、采访报道企业典型案例等方式，加强政策实施效果宣传。</w:t>
      </w:r>
    </w:p>
    <w:p>
      <w:pPr>
        <w:pStyle w:val="2"/>
        <w:spacing w:before="8"/>
        <w:ind w:left="990"/>
      </w:pPr>
      <w:r>
        <w:t>各级人力资源社会保障、发展改革、财政、税务部门要进</w:t>
      </w:r>
    </w:p>
    <w:p>
      <w:pPr>
        <w:pStyle w:val="2"/>
        <w:rPr>
          <w:sz w:val="20"/>
        </w:rPr>
      </w:pPr>
    </w:p>
    <w:p>
      <w:pPr>
        <w:pStyle w:val="2"/>
        <w:rPr>
          <w:sz w:val="20"/>
        </w:rPr>
      </w:pPr>
    </w:p>
    <w:p>
      <w:pPr>
        <w:pStyle w:val="2"/>
        <w:spacing w:before="8"/>
        <w:rPr>
          <w:sz w:val="16"/>
        </w:rPr>
      </w:pPr>
    </w:p>
    <w:p>
      <w:pPr>
        <w:spacing w:before="61"/>
        <w:ind w:left="349" w:right="0" w:firstLine="0"/>
        <w:jc w:val="left"/>
        <w:rPr>
          <w:rFonts w:ascii="宋体"/>
          <w:sz w:val="28"/>
        </w:rPr>
      </w:pPr>
      <w:r>
        <w:rPr>
          <w:rFonts w:ascii="宋体"/>
          <w:sz w:val="28"/>
        </w:rPr>
        <w:t>- 2 -</w:t>
      </w:r>
    </w:p>
    <w:p>
      <w:pPr>
        <w:spacing w:after="0"/>
        <w:jc w:val="left"/>
        <w:rPr>
          <w:rFonts w:ascii="宋体"/>
          <w:sz w:val="28"/>
        </w:rPr>
        <w:sectPr>
          <w:pgSz w:w="11910" w:h="16840"/>
          <w:pgMar w:top="1580" w:right="1320" w:bottom="280" w:left="1240" w:header="720" w:footer="720" w:gutter="0"/>
          <w:cols w:space="720" w:num="1"/>
        </w:sectPr>
      </w:pPr>
    </w:p>
    <w:p>
      <w:pPr>
        <w:pStyle w:val="2"/>
        <w:rPr>
          <w:rFonts w:ascii="宋体"/>
          <w:sz w:val="20"/>
        </w:rPr>
      </w:pPr>
    </w:p>
    <w:p>
      <w:pPr>
        <w:pStyle w:val="2"/>
        <w:spacing w:before="5"/>
        <w:rPr>
          <w:rFonts w:ascii="宋体"/>
          <w:sz w:val="18"/>
        </w:rPr>
      </w:pPr>
    </w:p>
    <w:p>
      <w:pPr>
        <w:pStyle w:val="2"/>
        <w:spacing w:before="55" w:line="350" w:lineRule="auto"/>
        <w:ind w:left="349" w:right="264"/>
        <w:jc w:val="both"/>
      </w:pPr>
      <w:r>
        <w:t>一步加强配合，健全协作机制，简化办事流程，减轻企业事务</w:t>
      </w:r>
      <w:r>
        <w:rPr>
          <w:spacing w:val="-16"/>
          <w:w w:val="99"/>
        </w:rPr>
        <w:t>性负担，实现企业“即申即享”，促进阶段性缓缴社会保险费政</w:t>
      </w:r>
      <w:r>
        <w:t>策取得实效。</w:t>
      </w:r>
    </w:p>
    <w:p>
      <w:pPr>
        <w:pStyle w:val="2"/>
      </w:pPr>
    </w:p>
    <w:p>
      <w:pPr>
        <w:pStyle w:val="2"/>
      </w:pPr>
    </w:p>
    <w:p>
      <w:pPr>
        <w:pStyle w:val="2"/>
      </w:pPr>
    </w:p>
    <w:p>
      <w:pPr>
        <w:pStyle w:val="2"/>
        <w:spacing w:before="10"/>
        <w:rPr>
          <w:sz w:val="44"/>
        </w:rPr>
      </w:pPr>
    </w:p>
    <w:p>
      <w:pPr>
        <w:pStyle w:val="2"/>
        <w:tabs>
          <w:tab w:val="left" w:pos="4798"/>
        </w:tabs>
        <w:spacing w:before="1"/>
        <w:ind w:right="470"/>
        <w:jc w:val="right"/>
      </w:pPr>
      <w:r>
        <w:t>湖南省人力资源和社会保障厅</w:t>
      </w:r>
      <w:r>
        <w:tab/>
      </w:r>
      <w:r>
        <w:rPr>
          <w:w w:val="95"/>
        </w:rPr>
        <w:t>湖南省发展和改革委员会</w:t>
      </w:r>
    </w:p>
    <w:p>
      <w:pPr>
        <w:pStyle w:val="2"/>
      </w:pPr>
    </w:p>
    <w:p>
      <w:pPr>
        <w:pStyle w:val="2"/>
      </w:pPr>
    </w:p>
    <w:p>
      <w:pPr>
        <w:pStyle w:val="2"/>
      </w:pPr>
    </w:p>
    <w:p>
      <w:pPr>
        <w:pStyle w:val="2"/>
      </w:pPr>
    </w:p>
    <w:p>
      <w:pPr>
        <w:pStyle w:val="2"/>
      </w:pPr>
    </w:p>
    <w:p>
      <w:pPr>
        <w:pStyle w:val="2"/>
        <w:spacing w:before="1"/>
        <w:rPr>
          <w:sz w:val="42"/>
        </w:rPr>
      </w:pPr>
    </w:p>
    <w:p>
      <w:pPr>
        <w:pStyle w:val="2"/>
        <w:tabs>
          <w:tab w:val="left" w:pos="3682"/>
        </w:tabs>
        <w:spacing w:before="1"/>
        <w:ind w:right="391"/>
        <w:jc w:val="right"/>
      </w:pPr>
      <w:r>
        <w:t>湖 南 省 财</w:t>
      </w:r>
      <w:r>
        <w:rPr>
          <w:spacing w:val="-1"/>
        </w:rPr>
        <w:t xml:space="preserve"> </w:t>
      </w:r>
      <w:r>
        <w:t>政 厅</w:t>
      </w:r>
      <w:r>
        <w:tab/>
      </w:r>
      <w:r>
        <w:rPr>
          <w:w w:val="95"/>
        </w:rPr>
        <w:t>国家税务总局湖南省税务局</w:t>
      </w:r>
    </w:p>
    <w:p>
      <w:pPr>
        <w:pStyle w:val="2"/>
        <w:spacing w:before="190"/>
        <w:ind w:left="973" w:right="582"/>
        <w:jc w:val="center"/>
      </w:pPr>
      <w:r>
        <w:rPr>
          <w:rFonts w:ascii="Times New Roman" w:eastAsia="Times New Roman"/>
        </w:rPr>
        <w:t xml:space="preserve">2022 </w:t>
      </w:r>
      <w:r>
        <w:t xml:space="preserve">年 </w:t>
      </w:r>
      <w:r>
        <w:rPr>
          <w:rFonts w:ascii="Times New Roman" w:eastAsia="Times New Roman"/>
        </w:rPr>
        <w:t xml:space="preserve">10 </w:t>
      </w:r>
      <w:r>
        <w:t xml:space="preserve">月 </w:t>
      </w:r>
      <w:r>
        <w:rPr>
          <w:rFonts w:ascii="Times New Roman" w:eastAsia="Times New Roman"/>
        </w:rPr>
        <w:t xml:space="preserve">18 </w:t>
      </w:r>
      <w:r>
        <w:t>日</w:t>
      </w:r>
    </w:p>
    <w:p>
      <w:pPr>
        <w:pStyle w:val="2"/>
        <w:rPr>
          <w:sz w:val="34"/>
        </w:rPr>
      </w:pPr>
    </w:p>
    <w:p>
      <w:pPr>
        <w:pStyle w:val="2"/>
        <w:rPr>
          <w:sz w:val="34"/>
        </w:rPr>
      </w:pPr>
    </w:p>
    <w:p>
      <w:pPr>
        <w:pStyle w:val="2"/>
        <w:spacing w:before="6"/>
        <w:rPr>
          <w:sz w:val="40"/>
        </w:rPr>
      </w:pPr>
    </w:p>
    <w:p>
      <w:pPr>
        <w:pStyle w:val="2"/>
        <w:ind w:left="990"/>
      </w:pPr>
      <w:r>
        <w:t>（此件主动公开）</w:t>
      </w:r>
    </w:p>
    <w:p>
      <w:pPr>
        <w:pStyle w:val="2"/>
        <w:spacing w:before="190"/>
        <w:ind w:left="989"/>
      </w:pPr>
      <w:r>
        <w:t>（联系单位：人社厅职工养老保险处）</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4"/>
        </w:rPr>
      </w:pPr>
    </w:p>
    <w:p>
      <w:pPr>
        <w:spacing w:before="61"/>
        <w:ind w:left="0" w:right="261" w:firstLine="0"/>
        <w:jc w:val="right"/>
        <w:rPr>
          <w:rFonts w:ascii="宋体"/>
          <w:sz w:val="28"/>
        </w:rPr>
      </w:pPr>
      <w:r>
        <w:rPr>
          <w:rFonts w:ascii="宋体"/>
          <w:sz w:val="28"/>
        </w:rPr>
        <w:t>- 3 -</w:t>
      </w:r>
    </w:p>
    <w:p>
      <w:pPr>
        <w:spacing w:after="0"/>
        <w:jc w:val="right"/>
        <w:rPr>
          <w:rFonts w:ascii="宋体"/>
          <w:sz w:val="28"/>
        </w:rPr>
        <w:sectPr>
          <w:pgSz w:w="11910" w:h="16840"/>
          <w:pgMar w:top="1580" w:right="1320" w:bottom="280" w:left="1240" w:header="720" w:footer="720" w:gutter="0"/>
          <w:cols w:space="720" w:num="1"/>
        </w:sect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spacing w:before="7" w:after="1"/>
        <w:rPr>
          <w:rFonts w:ascii="宋体"/>
          <w:sz w:val="10"/>
        </w:rPr>
      </w:pPr>
    </w:p>
    <w:p>
      <w:pPr>
        <w:pStyle w:val="2"/>
        <w:spacing w:line="20" w:lineRule="exact"/>
        <w:ind w:left="286"/>
        <w:rPr>
          <w:rFonts w:ascii="宋体"/>
          <w:sz w:val="2"/>
        </w:rPr>
      </w:pPr>
      <w:r>
        <w:rPr>
          <w:rFonts w:ascii="宋体"/>
          <w:sz w:val="2"/>
        </w:rPr>
        <w:pict>
          <v:group id="_x0000_s1026" o:spid="_x0000_s1026" o:spt="203" style="height:0.5pt;width:442.3pt;" coordsize="8846,10">
            <o:lock v:ext="edit"/>
            <v:line id="_x0000_s1027" o:spid="_x0000_s1027" o:spt="20" style="position:absolute;left:0;top:5;height:0;width:8845;" stroked="t" coordsize="21600,21600">
              <v:path arrowok="t"/>
              <v:fill focussize="0,0"/>
              <v:stroke weight="0.48pt" color="#000000"/>
              <v:imagedata o:title=""/>
              <o:lock v:ext="edit"/>
            </v:line>
            <w10:wrap type="none"/>
            <w10:anchorlock/>
          </v:group>
        </w:pict>
      </w:r>
    </w:p>
    <w:p>
      <w:pPr>
        <w:tabs>
          <w:tab w:val="left" w:pos="6136"/>
        </w:tabs>
        <w:spacing w:before="122"/>
        <w:ind w:left="397" w:right="0" w:firstLine="0"/>
        <w:jc w:val="left"/>
        <w:rPr>
          <w:sz w:val="28"/>
        </w:rPr>
      </w:pPr>
      <w:r>
        <w:pict>
          <v:line id="_x0000_s1028" o:spid="_x0000_s1028" o:spt="20" style="position:absolute;left:0pt;margin-left:75.85pt;margin-top:30.9pt;height:0pt;width:442.95pt;mso-position-horizontal-relative:page;mso-wrap-distance-bottom:0pt;mso-wrap-distance-top:0pt;z-index:-251656192;mso-width-relative:page;mso-height-relative:page;" stroked="t" coordsize="21600,21600">
            <v:path arrowok="t"/>
            <v:fill focussize="0,0"/>
            <v:stroke weight="0.48pt" color="#000000"/>
            <v:imagedata o:title=""/>
            <o:lock v:ext="edit"/>
            <w10:wrap type="topAndBottom"/>
          </v:line>
        </w:pict>
      </w:r>
      <w:r>
        <w:rPr>
          <w:sz w:val="28"/>
        </w:rPr>
        <w:t>湖南省</w:t>
      </w:r>
      <w:r>
        <w:rPr>
          <w:spacing w:val="-3"/>
          <w:sz w:val="28"/>
        </w:rPr>
        <w:t>人</w:t>
      </w:r>
      <w:r>
        <w:rPr>
          <w:sz w:val="28"/>
        </w:rPr>
        <w:t>力资</w:t>
      </w:r>
      <w:r>
        <w:rPr>
          <w:spacing w:val="-3"/>
          <w:sz w:val="28"/>
        </w:rPr>
        <w:t>源和</w:t>
      </w:r>
      <w:r>
        <w:rPr>
          <w:sz w:val="28"/>
        </w:rPr>
        <w:t>社会保</w:t>
      </w:r>
      <w:r>
        <w:rPr>
          <w:spacing w:val="-3"/>
          <w:sz w:val="28"/>
        </w:rPr>
        <w:t>障</w:t>
      </w:r>
      <w:r>
        <w:rPr>
          <w:sz w:val="28"/>
        </w:rPr>
        <w:t>厅办</w:t>
      </w:r>
      <w:r>
        <w:rPr>
          <w:spacing w:val="-3"/>
          <w:sz w:val="28"/>
        </w:rPr>
        <w:t>公</w:t>
      </w:r>
      <w:r>
        <w:rPr>
          <w:sz w:val="28"/>
        </w:rPr>
        <w:t>室</w:t>
      </w:r>
      <w:r>
        <w:rPr>
          <w:sz w:val="28"/>
        </w:rPr>
        <w:tab/>
      </w:r>
      <w:r>
        <w:rPr>
          <w:rFonts w:ascii="Times New Roman" w:eastAsia="Times New Roman"/>
          <w:sz w:val="28"/>
        </w:rPr>
        <w:t>2022</w:t>
      </w:r>
      <w:r>
        <w:rPr>
          <w:rFonts w:ascii="Times New Roman" w:eastAsia="Times New Roman"/>
          <w:spacing w:val="-1"/>
          <w:sz w:val="28"/>
        </w:rPr>
        <w:t xml:space="preserve"> </w:t>
      </w:r>
      <w:r>
        <w:rPr>
          <w:sz w:val="28"/>
        </w:rPr>
        <w:t>年</w:t>
      </w:r>
      <w:r>
        <w:rPr>
          <w:spacing w:val="-70"/>
          <w:sz w:val="28"/>
        </w:rPr>
        <w:t xml:space="preserve"> </w:t>
      </w:r>
      <w:r>
        <w:rPr>
          <w:rFonts w:ascii="Times New Roman" w:eastAsia="Times New Roman"/>
          <w:sz w:val="28"/>
        </w:rPr>
        <w:t>10</w:t>
      </w:r>
      <w:r>
        <w:rPr>
          <w:rFonts w:ascii="Times New Roman" w:eastAsia="Times New Roman"/>
          <w:spacing w:val="-1"/>
          <w:sz w:val="28"/>
        </w:rPr>
        <w:t xml:space="preserve"> </w:t>
      </w:r>
      <w:r>
        <w:rPr>
          <w:sz w:val="28"/>
        </w:rPr>
        <w:t>月</w:t>
      </w:r>
      <w:r>
        <w:rPr>
          <w:spacing w:val="-71"/>
          <w:sz w:val="28"/>
        </w:rPr>
        <w:t xml:space="preserve"> </w:t>
      </w:r>
      <w:r>
        <w:rPr>
          <w:rFonts w:ascii="Times New Roman" w:eastAsia="Times New Roman"/>
          <w:sz w:val="28"/>
        </w:rPr>
        <w:t xml:space="preserve">21 </w:t>
      </w:r>
      <w:r>
        <w:rPr>
          <w:sz w:val="28"/>
        </w:rPr>
        <w:t>日印发</w:t>
      </w:r>
    </w:p>
    <w:sectPr>
      <w:pgSz w:w="11910" w:h="16840"/>
      <w:pgMar w:top="1580" w:right="1320" w:bottom="280" w:left="12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U2ZDY1ODk4MzQ1YTM0MDg0NDFlNjFiMDkzMGJiZDgifQ=="/>
  </w:docVars>
  <w:rsids>
    <w:rsidRoot w:val="00000000"/>
    <w:rsid w:val="788D3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855</Words>
  <Characters>905</Characters>
  <TotalTime>0</TotalTime>
  <ScaleCrop>false</ScaleCrop>
  <LinksUpToDate>false</LinksUpToDate>
  <CharactersWithSpaces>940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2022-11-08T08:10:00Z</dcterms:created>
  <dc:creator>DBY-W09</dc:creator>
  <cp:lastModifiedBy>今天天气不错</cp:lastModifiedBy>
  <dcterms:modified xsi:type="dcterms:W3CDTF">2022-11-08T08:12:28Z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Office Word 2007</vt:lpwstr>
  </property>
  <property fmtid="{D5CDD505-2E9C-101B-9397-08002B2CF9AE}" pid="4" name="LastSaved">
    <vt:filetime>2022-11-08T00:00:00Z</vt:filetime>
  </property>
  <property fmtid="{D5CDD505-2E9C-101B-9397-08002B2CF9AE}" pid="5" name="KSOProductBuildVer">
    <vt:lpwstr>2052-11.1.0.12763</vt:lpwstr>
  </property>
  <property fmtid="{D5CDD505-2E9C-101B-9397-08002B2CF9AE}" pid="6" name="ICV">
    <vt:lpwstr>4348171DC12945D8BE67C96C4C757211</vt:lpwstr>
  </property>
</Properties>
</file>