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shd w:val="clear" w:color="auto" w:fill="auto"/>
        <w:kinsoku/>
        <w:wordWrap/>
        <w:overflowPunct/>
        <w:topLinePunct w:val="0"/>
        <w:autoSpaceDE/>
        <w:bidi w:val="0"/>
        <w:snapToGrid/>
        <w:spacing w:before="0" w:beforeLines="0" w:beforeAutospacing="0" w:after="0" w:afterLines="0" w:afterAutospacing="0" w:line="240" w:lineRule="auto"/>
        <w:ind w:rightChars="0"/>
        <w:jc w:val="center"/>
        <w:textAlignment w:val="auto"/>
        <w:rPr>
          <w:rFonts w:hint="eastAsia" w:ascii="宋体" w:hAnsi="宋体" w:eastAsia="宋体" w:cs="宋体"/>
          <w:b/>
          <w:bCs w:val="0"/>
          <w:color w:val="auto"/>
          <w:sz w:val="36"/>
          <w:szCs w:val="36"/>
          <w:highlight w:val="none"/>
        </w:rPr>
      </w:pPr>
    </w:p>
    <w:p>
      <w:pPr>
        <w:keepNext w:val="0"/>
        <w:keepLines w:val="0"/>
        <w:pageBreakBefore w:val="0"/>
        <w:shd w:val="clear" w:color="auto" w:fill="auto"/>
        <w:kinsoku/>
        <w:wordWrap/>
        <w:overflowPunct/>
        <w:topLinePunct w:val="0"/>
        <w:autoSpaceDE/>
        <w:bidi w:val="0"/>
        <w:snapToGrid/>
        <w:spacing w:before="0" w:beforeLines="0" w:beforeAutospacing="0" w:after="0" w:afterLines="0" w:afterAutospacing="0" w:line="240" w:lineRule="auto"/>
        <w:ind w:rightChars="0"/>
        <w:jc w:val="center"/>
        <w:textAlignment w:val="auto"/>
        <w:outlineLvl w:val="0"/>
        <w:rPr>
          <w:rFonts w:hint="eastAsia" w:ascii="宋体" w:hAnsi="宋体" w:eastAsia="宋体" w:cs="宋体"/>
          <w:b/>
          <w:bCs w:val="0"/>
          <w:color w:val="auto"/>
          <w:sz w:val="36"/>
          <w:szCs w:val="36"/>
          <w:highlight w:val="none"/>
          <w:lang w:eastAsia="zh-CN"/>
        </w:rPr>
      </w:pPr>
      <w:r>
        <w:rPr>
          <w:rFonts w:hint="eastAsia" w:ascii="宋体" w:hAnsi="宋体" w:eastAsia="宋体" w:cs="宋体"/>
          <w:b/>
          <w:bCs w:val="0"/>
          <w:color w:val="auto"/>
          <w:sz w:val="36"/>
          <w:szCs w:val="36"/>
          <w:highlight w:val="none"/>
        </w:rPr>
        <w:t>关于</w:t>
      </w:r>
      <w:r>
        <w:rPr>
          <w:rFonts w:hint="default" w:ascii="宋体" w:hAnsi="宋体" w:cs="宋体"/>
          <w:b/>
          <w:bCs w:val="0"/>
          <w:color w:val="auto"/>
          <w:sz w:val="36"/>
          <w:szCs w:val="36"/>
          <w:highlight w:val="none"/>
        </w:rPr>
        <w:t>南昌农商银行股份有限公司</w:t>
      </w:r>
      <w:r>
        <w:rPr>
          <w:rFonts w:hint="eastAsia" w:ascii="宋体" w:hAnsi="宋体" w:eastAsia="宋体" w:cs="宋体"/>
          <w:b/>
          <w:bCs w:val="0"/>
          <w:color w:val="auto"/>
          <w:sz w:val="36"/>
          <w:szCs w:val="36"/>
          <w:highlight w:val="none"/>
          <w:lang w:eastAsia="zh-CN"/>
        </w:rPr>
        <w:t>申请向特定对象发行股票</w:t>
      </w:r>
      <w:r>
        <w:rPr>
          <w:rFonts w:hint="eastAsia" w:ascii="宋体" w:hAnsi="宋体" w:eastAsia="宋体" w:cs="宋体"/>
          <w:b/>
          <w:bCs w:val="0"/>
          <w:color w:val="auto"/>
          <w:sz w:val="36"/>
          <w:szCs w:val="36"/>
          <w:highlight w:val="none"/>
        </w:rPr>
        <w:t>的</w:t>
      </w:r>
      <w:r>
        <w:rPr>
          <w:rFonts w:hint="eastAsia" w:ascii="宋体" w:hAnsi="宋体" w:eastAsia="宋体" w:cs="宋体"/>
          <w:b/>
          <w:bCs w:val="0"/>
          <w:color w:val="auto"/>
          <w:sz w:val="36"/>
          <w:szCs w:val="36"/>
          <w:highlight w:val="none"/>
          <w:lang w:eastAsia="zh-CN"/>
        </w:rPr>
        <w:t>审核意见</w:t>
      </w:r>
    </w:p>
    <w:p>
      <w:pPr>
        <w:keepNext w:val="0"/>
        <w:keepLines w:val="0"/>
        <w:pageBreakBefore w:val="0"/>
        <w:numPr>
          <w:ilvl w:val="0"/>
          <w:numId w:val="0"/>
        </w:numPr>
        <w:shd w:val="clear" w:color="auto" w:fill="auto"/>
        <w:kinsoku/>
        <w:wordWrap/>
        <w:overflowPunct/>
        <w:topLinePunct w:val="0"/>
        <w:autoSpaceDE/>
        <w:bidi w:val="0"/>
        <w:snapToGrid/>
        <w:spacing w:before="0" w:beforeLines="0" w:beforeAutospacing="0" w:after="0" w:afterLines="0" w:afterAutospacing="0" w:line="240" w:lineRule="auto"/>
        <w:ind w:right="0" w:rightChars="0"/>
        <w:jc w:val="left"/>
        <w:textAlignment w:val="auto"/>
        <w:rPr>
          <w:rFonts w:hint="eastAsia" w:ascii="宋体" w:hAnsi="宋体" w:eastAsia="宋体" w:cs="宋体"/>
          <w:b/>
          <w:bCs w:val="0"/>
          <w:color w:val="auto"/>
          <w:sz w:val="32"/>
          <w:szCs w:val="32"/>
          <w:highlight w:val="none"/>
          <w:lang w:eastAsia="zh-CN"/>
        </w:rPr>
      </w:pP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eastAsia" w:ascii="黑体" w:hAnsi="黑体" w:eastAsia="黑体" w:cs="黑体"/>
          <w:b w:val="0"/>
          <w:bCs/>
          <w:color w:val="auto"/>
          <w:sz w:val="30"/>
          <w:szCs w:val="30"/>
          <w:highlight w:val="none"/>
          <w:lang w:eastAsia="zh-CN"/>
        </w:rPr>
      </w:pPr>
      <w:r>
        <w:rPr>
          <w:rFonts w:hint="eastAsia" w:ascii="黑体" w:hAnsi="黑体" w:eastAsia="黑体" w:cs="黑体"/>
          <w:b w:val="0"/>
          <w:bCs/>
          <w:color w:val="auto"/>
          <w:sz w:val="30"/>
          <w:szCs w:val="30"/>
          <w:highlight w:val="none"/>
          <w:lang w:eastAsia="zh-CN"/>
        </w:rPr>
        <w:t>一、审核情况</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eastAsia" w:ascii="楷体_GB2312" w:hAnsi="楷体_GB2312" w:eastAsia="楷体_GB2312" w:cs="楷体_GB2312"/>
          <w:b/>
          <w:bCs w:val="0"/>
          <w:color w:val="auto"/>
          <w:sz w:val="30"/>
          <w:szCs w:val="30"/>
          <w:highlight w:val="none"/>
          <w:lang w:eastAsia="zh-CN"/>
        </w:rPr>
      </w:pPr>
      <w:r>
        <w:rPr>
          <w:rFonts w:hint="eastAsia" w:ascii="楷体_GB2312" w:hAnsi="楷体_GB2312" w:eastAsia="楷体_GB2312" w:cs="楷体_GB2312"/>
          <w:b/>
          <w:bCs w:val="0"/>
          <w:color w:val="auto"/>
          <w:sz w:val="30"/>
          <w:szCs w:val="30"/>
          <w:highlight w:val="none"/>
          <w:lang w:eastAsia="zh-CN"/>
        </w:rPr>
        <w:t>（一）申请人基本情况</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both"/>
        <w:textAlignment w:val="auto"/>
        <w:rPr>
          <w:rFonts w:hint="default" w:ascii="Times New Roman" w:hAnsi="Times New Roman" w:eastAsia="仿宋_GB2312" w:cs="Times New Roman"/>
          <w:color w:val="auto"/>
          <w:sz w:val="30"/>
          <w:highlight w:val="none"/>
          <w:lang w:eastAsia="zh-CN"/>
        </w:rPr>
      </w:pPr>
      <w:r>
        <w:rPr>
          <w:rFonts w:hint="default" w:ascii="Times New Roman" w:hAnsi="Times New Roman" w:eastAsia="仿宋_GB2312" w:cs="Times New Roman"/>
          <w:snapToGrid/>
          <w:sz w:val="30"/>
          <w:highlight w:val="none"/>
          <w:shd w:val="clear" w:color="auto" w:fill="auto"/>
          <w:lang w:val="en-US" w:eastAsia="zh-CN"/>
        </w:rPr>
        <w:t>申请人全称为“</w:t>
      </w:r>
      <w:r>
        <w:rPr>
          <w:rFonts w:hint="default" w:ascii="Times New Roman" w:hAnsi="Times New Roman" w:eastAsia="仿宋_GB2312" w:cs="Times New Roman"/>
          <w:color w:val="auto"/>
          <w:sz w:val="30"/>
          <w:highlight w:val="none"/>
          <w:lang w:eastAsia="zh-CN"/>
        </w:rPr>
        <w:t>南昌农村商业银行股份有限公司</w:t>
      </w:r>
      <w:r>
        <w:rPr>
          <w:rFonts w:hint="default" w:ascii="Times New Roman" w:hAnsi="Times New Roman" w:eastAsia="仿宋_GB2312" w:cs="Times New Roman"/>
          <w:snapToGrid/>
          <w:sz w:val="30"/>
          <w:highlight w:val="none"/>
          <w:shd w:val="clear" w:color="auto" w:fill="auto"/>
          <w:lang w:val="en-US" w:eastAsia="zh-CN"/>
        </w:rPr>
        <w:t>”，住所</w:t>
      </w:r>
      <w:r>
        <w:rPr>
          <w:rFonts w:hint="default" w:ascii="Times New Roman" w:hAnsi="Times New Roman" w:eastAsia="仿宋_GB2312" w:cs="Times New Roman"/>
          <w:color w:val="auto"/>
          <w:sz w:val="30"/>
          <w:highlight w:val="none"/>
          <w:lang w:val="en-US" w:eastAsia="zh-CN"/>
        </w:rPr>
        <w:t>地</w:t>
      </w:r>
      <w:r>
        <w:rPr>
          <w:rFonts w:hint="default" w:ascii="Times New Roman" w:hAnsi="Times New Roman" w:eastAsia="仿宋_GB2312" w:cs="Times New Roman"/>
          <w:color w:val="auto"/>
          <w:sz w:val="30"/>
          <w:highlight w:val="none"/>
          <w:lang w:eastAsia="zh-CN"/>
        </w:rPr>
        <w:t>为江西省南昌市</w:t>
      </w:r>
      <w:r>
        <w:rPr>
          <w:rFonts w:hint="default" w:ascii="Times New Roman" w:hAnsi="Times New Roman" w:eastAsia="仿宋_GB2312" w:cs="Times New Roman"/>
          <w:color w:val="auto"/>
          <w:sz w:val="30"/>
          <w:highlight w:val="none"/>
          <w:lang w:val="en-US" w:eastAsia="zh-CN"/>
        </w:rPr>
        <w:t>。公司成立于</w:t>
      </w:r>
      <w:r>
        <w:rPr>
          <w:rFonts w:hint="default" w:ascii="Times New Roman" w:hAnsi="Times New Roman" w:eastAsia="仿宋_GB2312" w:cs="Times New Roman"/>
          <w:color w:val="auto"/>
          <w:sz w:val="30"/>
          <w:highlight w:val="none"/>
          <w:lang w:eastAsia="zh-CN"/>
        </w:rPr>
        <w:t>2009年3月</w:t>
      </w:r>
      <w:r>
        <w:rPr>
          <w:rFonts w:hint="default" w:ascii="Times New Roman" w:hAnsi="Times New Roman" w:eastAsia="仿宋_GB2312" w:cs="Times New Roman"/>
          <w:color w:val="auto"/>
          <w:sz w:val="30"/>
          <w:highlight w:val="none"/>
          <w:lang w:val="en-US" w:eastAsia="zh-CN"/>
        </w:rPr>
        <w:t>，注册资本</w:t>
      </w:r>
      <w:bookmarkStart w:id="0" w:name="_Toc25590277"/>
      <w:r>
        <w:rPr>
          <w:rFonts w:hint="default" w:ascii="Times New Roman" w:hAnsi="Times New Roman" w:eastAsia="仿宋_GB2312" w:cs="Times New Roman"/>
          <w:color w:val="auto"/>
          <w:sz w:val="30"/>
          <w:highlight w:val="none"/>
          <w:lang w:eastAsia="zh-CN"/>
        </w:rPr>
        <w:t>257,235.63万元</w:t>
      </w:r>
      <w:r>
        <w:rPr>
          <w:rFonts w:hint="default" w:ascii="Times New Roman" w:hAnsi="Times New Roman" w:eastAsia="仿宋_GB2312" w:cs="Times New Roman"/>
          <w:color w:val="auto"/>
          <w:sz w:val="30"/>
          <w:highlight w:val="none"/>
          <w:lang w:val="en-US" w:eastAsia="zh-CN"/>
        </w:rPr>
        <w:t>。</w:t>
      </w:r>
      <w:bookmarkEnd w:id="0"/>
      <w:r>
        <w:rPr>
          <w:rFonts w:hint="default" w:ascii="Times New Roman" w:hAnsi="Times New Roman" w:eastAsia="仿宋_GB2312" w:cs="Times New Roman"/>
          <w:color w:val="auto"/>
          <w:sz w:val="30"/>
          <w:highlight w:val="none"/>
          <w:lang w:val="en-US" w:eastAsia="zh-CN"/>
        </w:rPr>
        <w:t>申请人无控股股东及实际控制人</w:t>
      </w:r>
      <w:r>
        <w:rPr>
          <w:rFonts w:hint="default" w:ascii="Times New Roman" w:hAnsi="Times New Roman" w:eastAsia="仿宋_GB2312" w:cs="Times New Roman"/>
          <w:color w:val="auto"/>
          <w:sz w:val="30"/>
          <w:highlight w:val="none"/>
          <w:lang w:eastAsia="zh-CN"/>
        </w:rPr>
        <w:t>。</w:t>
      </w:r>
      <w:r>
        <w:rPr>
          <w:rFonts w:hint="default" w:ascii="Times New Roman" w:hAnsi="Times New Roman" w:eastAsia="仿宋_GB2312" w:cs="Times New Roman"/>
          <w:color w:val="auto"/>
          <w:sz w:val="30"/>
          <w:highlight w:val="none"/>
          <w:lang w:val="en-US" w:eastAsia="zh-CN"/>
        </w:rPr>
        <w:t>截至</w:t>
      </w:r>
      <w:r>
        <w:rPr>
          <w:rFonts w:hint="default" w:ascii="Times New Roman" w:hAnsi="Times New Roman" w:eastAsia="仿宋_GB2312" w:cs="Times New Roman"/>
          <w:color w:val="auto"/>
          <w:sz w:val="30"/>
          <w:highlight w:val="none"/>
          <w:lang w:eastAsia="zh-CN"/>
        </w:rPr>
        <w:t>定向发行说明书签署之日（2022年12月17日），在册股东总数为1508户。</w:t>
      </w:r>
    </w:p>
    <w:p>
      <w:pPr>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right="0" w:rightChars="0" w:firstLine="602" w:firstLineChars="200"/>
        <w:jc w:val="both"/>
        <w:textAlignment w:val="auto"/>
        <w:outlineLvl w:val="1"/>
        <w:rPr>
          <w:rFonts w:hint="eastAsia" w:ascii="楷体_GB2312" w:hAnsi="楷体_GB2312" w:eastAsia="楷体_GB2312" w:cs="楷体_GB2312"/>
          <w:b/>
          <w:bCs/>
          <w:color w:val="auto"/>
          <w:sz w:val="30"/>
          <w:lang w:val="en-US" w:eastAsia="zh-CN"/>
        </w:rPr>
      </w:pPr>
      <w:r>
        <w:rPr>
          <w:rFonts w:hint="eastAsia" w:ascii="楷体_GB2312" w:hAnsi="楷体_GB2312" w:eastAsia="楷体_GB2312" w:cs="楷体_GB2312"/>
          <w:b/>
          <w:bCs/>
          <w:color w:val="auto"/>
          <w:sz w:val="30"/>
          <w:lang w:val="en-US" w:eastAsia="zh-CN"/>
        </w:rPr>
        <w:t>（二）审核过程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600" w:firstLineChars="200"/>
        <w:jc w:val="both"/>
        <w:textAlignment w:val="auto"/>
        <w:rPr>
          <w:rFonts w:hint="default" w:ascii="Times New Roman" w:hAnsi="Times New Roman" w:eastAsia="仿宋_GB2312" w:cs="Times New Roman"/>
          <w:color w:val="auto"/>
          <w:sz w:val="30"/>
          <w:lang w:val="en-US" w:eastAsia="zh-CN"/>
        </w:rPr>
      </w:pPr>
      <w:r>
        <w:rPr>
          <w:rFonts w:hint="default" w:ascii="Times New Roman" w:hAnsi="Times New Roman" w:eastAsia="仿宋_GB2312" w:cs="Times New Roman"/>
          <w:color w:val="auto"/>
          <w:sz w:val="30"/>
          <w:lang w:val="en-US" w:eastAsia="zh-CN"/>
        </w:rPr>
        <w:t>申请人向特定</w:t>
      </w:r>
      <w:bookmarkStart w:id="1" w:name="_GoBack"/>
      <w:r>
        <w:rPr>
          <w:rFonts w:hint="default" w:ascii="Times New Roman" w:hAnsi="Times New Roman" w:eastAsia="仿宋_GB2312" w:cs="Times New Roman"/>
          <w:color w:val="auto"/>
          <w:sz w:val="30"/>
          <w:lang w:val="en-US" w:eastAsia="zh-CN"/>
        </w:rPr>
        <w:t>对象发行股票的行政许可申请于202</w:t>
      </w:r>
      <w:r>
        <w:rPr>
          <w:rFonts w:hint="default" w:eastAsia="仿宋_GB2312" w:cs="Times New Roman"/>
          <w:color w:val="auto"/>
          <w:sz w:val="30"/>
          <w:lang w:eastAsia="zh-CN"/>
        </w:rPr>
        <w:t>2</w:t>
      </w:r>
      <w:r>
        <w:rPr>
          <w:rFonts w:hint="default" w:ascii="Times New Roman" w:hAnsi="Times New Roman" w:eastAsia="仿宋_GB2312" w:cs="Times New Roman"/>
          <w:color w:val="auto"/>
          <w:sz w:val="30"/>
          <w:lang w:val="en-US" w:eastAsia="zh-CN"/>
        </w:rPr>
        <w:t>年</w:t>
      </w:r>
      <w:r>
        <w:rPr>
          <w:rFonts w:hint="default" w:eastAsia="仿宋_GB2312" w:cs="Times New Roman"/>
          <w:color w:val="auto"/>
          <w:sz w:val="30"/>
          <w:lang w:eastAsia="zh-CN"/>
        </w:rPr>
        <w:t>12</w:t>
      </w:r>
      <w:r>
        <w:rPr>
          <w:rFonts w:hint="default" w:ascii="Times New Roman" w:hAnsi="Times New Roman" w:eastAsia="仿宋_GB2312" w:cs="Times New Roman"/>
          <w:color w:val="auto"/>
          <w:sz w:val="30"/>
          <w:lang w:val="en-US" w:eastAsia="zh-CN"/>
        </w:rPr>
        <w:t>月</w:t>
      </w:r>
      <w:r>
        <w:rPr>
          <w:rFonts w:hint="default" w:eastAsia="仿宋_GB2312" w:cs="Times New Roman"/>
          <w:color w:val="auto"/>
          <w:sz w:val="30"/>
          <w:lang w:eastAsia="zh-CN"/>
        </w:rPr>
        <w:t>26</w:t>
      </w:r>
      <w:r>
        <w:rPr>
          <w:rFonts w:hint="default" w:ascii="Times New Roman" w:hAnsi="Times New Roman" w:eastAsia="仿宋_GB2312" w:cs="Times New Roman"/>
          <w:color w:val="auto"/>
          <w:sz w:val="30"/>
          <w:lang w:val="en-US" w:eastAsia="zh-CN"/>
        </w:rPr>
        <w:t>日正式受理。依据《公司法》《证券法》《非上市公众公司监督管理办法》（以下简称《公众公司办法》）《非上市公众公司信息披露内容与格式准则第3号——定向发行说明书和发行情况报告书》《非上市公众公司信息披露内容与格式准则第4号——定向发行申请文件》和《关于股东人数超过200人的未上市商业银行增发股份有关问题的通知》（证监发〔2018〕24号）等相关规定，我们对申请人提交的申请文件进行了合规性审核。</w:t>
      </w:r>
    </w:p>
    <w:bookmarkEnd w:id="1"/>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default" w:ascii="黑体" w:hAnsi="黑体" w:eastAsia="黑体" w:cs="黑体"/>
          <w:b w:val="0"/>
          <w:bCs/>
          <w:color w:val="auto"/>
          <w:sz w:val="30"/>
          <w:szCs w:val="30"/>
          <w:highlight w:val="none"/>
          <w:lang w:eastAsia="zh-CN"/>
        </w:rPr>
      </w:pPr>
      <w:r>
        <w:rPr>
          <w:rFonts w:hint="default" w:ascii="黑体" w:hAnsi="黑体" w:eastAsia="黑体" w:cs="黑体"/>
          <w:b w:val="0"/>
          <w:bCs/>
          <w:color w:val="auto"/>
          <w:sz w:val="30"/>
          <w:szCs w:val="30"/>
          <w:highlight w:val="none"/>
          <w:lang w:eastAsia="zh-CN"/>
        </w:rPr>
        <w:t>二、审核中关注的问题</w:t>
      </w:r>
    </w:p>
    <w:p>
      <w:pPr>
        <w:pStyle w:val="4"/>
        <w:spacing w:line="240" w:lineRule="auto"/>
        <w:ind w:firstLine="602" w:firstLineChars="200"/>
        <w:outlineLvl w:val="1"/>
        <w:rPr>
          <w:rFonts w:hint="default" w:ascii="Times New Roman" w:hAnsi="Times New Roman" w:eastAsia="楷体_GB2312" w:cs="Times New Roman"/>
          <w:b/>
          <w:bCs w:val="0"/>
          <w:color w:val="auto"/>
          <w:sz w:val="30"/>
          <w:szCs w:val="22"/>
          <w:highlight w:val="none"/>
        </w:rPr>
      </w:pPr>
      <w:r>
        <w:rPr>
          <w:rFonts w:hint="default" w:ascii="Times New Roman" w:hAnsi="Times New Roman" w:eastAsia="楷体_GB2312" w:cs="Times New Roman"/>
          <w:b/>
          <w:bCs w:val="0"/>
          <w:color w:val="auto"/>
          <w:sz w:val="30"/>
          <w:szCs w:val="22"/>
          <w:highlight w:val="none"/>
        </w:rPr>
        <w:t>（一）</w:t>
      </w:r>
      <w:r>
        <w:rPr>
          <w:rFonts w:hint="default" w:ascii="Times New Roman" w:hAnsi="Times New Roman" w:eastAsia="楷体_GB2312" w:cs="Times New Roman"/>
          <w:b/>
          <w:bCs w:val="0"/>
          <w:color w:val="auto"/>
          <w:sz w:val="30"/>
          <w:szCs w:val="22"/>
          <w:highlight w:val="none"/>
        </w:rPr>
        <w:t>关于监管指标不达标或披露不充分</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default" w:ascii="Times New Roman" w:hAnsi="Times New Roman" w:eastAsia="仿宋_GB2312" w:cs="Times New Roman"/>
          <w:b w:val="0"/>
          <w:bCs w:val="0"/>
          <w:color w:val="auto"/>
          <w:sz w:val="30"/>
          <w:szCs w:val="30"/>
          <w:highlight w:val="none"/>
        </w:rPr>
      </w:pPr>
      <w:r>
        <w:rPr>
          <w:rFonts w:hint="default" w:ascii="Times New Roman" w:hAnsi="Times New Roman" w:eastAsia="仿宋_GB2312" w:cs="Times New Roman"/>
          <w:b w:val="0"/>
          <w:bCs w:val="0"/>
          <w:color w:val="auto"/>
          <w:sz w:val="30"/>
          <w:szCs w:val="30"/>
          <w:highlight w:val="none"/>
        </w:rPr>
        <w:t>根据申请材料，申请人成本收入比、资产利润率、资本利润率、拨备覆盖率等监管指标存在未达到监管标准的情况。请申请人补充披露：监管指标不达标原因及对申请人持续经营能力的影响，是否存在被监管机构采取监管措施或者行政处罚的风险，并就可能存在的风险进行充分揭示。请申报会计师、申请人律师核查并发表明确意见。</w:t>
      </w:r>
    </w:p>
    <w:p>
      <w:pPr>
        <w:keepNext w:val="0"/>
        <w:keepLines w:val="0"/>
        <w:pageBreakBefore w:val="0"/>
        <w:widowControl/>
        <w:kinsoku/>
        <w:wordWrap/>
        <w:overflowPunct/>
        <w:topLinePunct w:val="0"/>
        <w:autoSpaceDE/>
        <w:autoSpaceDN/>
        <w:bidi w:val="0"/>
        <w:adjustRightInd w:val="0"/>
        <w:snapToGrid/>
        <w:spacing w:line="240" w:lineRule="auto"/>
        <w:ind w:left="0" w:leftChars="0" w:firstLine="602" w:firstLineChars="200"/>
        <w:jc w:val="left"/>
        <w:textAlignment w:val="center"/>
        <w:outlineLvl w:val="9"/>
        <w:rPr>
          <w:rFonts w:hint="default" w:ascii="Times New Roman" w:hAnsi="Times New Roman" w:eastAsia="仿宋_GB2312" w:cs="Times New Roman"/>
          <w:b/>
          <w:bCs/>
          <w:color w:val="auto"/>
          <w:sz w:val="30"/>
          <w:szCs w:val="30"/>
          <w:lang w:eastAsia="zh-CN"/>
        </w:rPr>
      </w:pPr>
      <w:r>
        <w:rPr>
          <w:rFonts w:hint="default" w:ascii="Times New Roman" w:hAnsi="Times New Roman" w:eastAsia="仿宋_GB2312" w:cs="Times New Roman"/>
          <w:b/>
          <w:bCs/>
          <w:color w:val="auto"/>
          <w:sz w:val="30"/>
          <w:szCs w:val="30"/>
          <w:lang w:eastAsia="zh-CN"/>
        </w:rPr>
        <w:t>申请人回复称：</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rPr>
        <w:t>（</w:t>
      </w:r>
      <w:r>
        <w:rPr>
          <w:rFonts w:hint="eastAsia" w:ascii="Times New Roman" w:hAnsi="Times New Roman" w:eastAsia="仿宋_GB2312" w:cs="Times New Roman"/>
          <w:b w:val="0"/>
          <w:bCs w:val="0"/>
          <w:color w:val="auto"/>
          <w:sz w:val="30"/>
          <w:szCs w:val="30"/>
          <w:highlight w:val="none"/>
          <w:lang w:val="en-US" w:eastAsia="zh-CN"/>
        </w:rPr>
        <w:t>1</w:t>
      </w:r>
      <w:r>
        <w:rPr>
          <w:rFonts w:hint="eastAsia" w:ascii="Times New Roman" w:hAnsi="Times New Roman" w:eastAsia="仿宋_GB2312" w:cs="Times New Roman"/>
          <w:b w:val="0"/>
          <w:bCs w:val="0"/>
          <w:color w:val="auto"/>
          <w:sz w:val="30"/>
          <w:szCs w:val="30"/>
          <w:highlight w:val="none"/>
        </w:rPr>
        <w:t>）成本收入比</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rPr>
        <w:t>2020年12月31日、2021年12月31日和2022年9月30日，公司收入成本比分别为32.05%、33.39%和37.45%，2022年9月末不符合监管指标。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rPr>
        <w:t>公司已经在《定向发行说明书》之“一、本公司基本信息/（五）公司最近两年及一期主要财务数据、监管指标及变动分析/2、主要监管指标及分析/（4）成本收入比”中补充披露如下：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default" w:ascii="Times New Roman" w:hAnsi="Times New Roman" w:eastAsia="仿宋_GB2312" w:cs="Times New Roman"/>
          <w:b w:val="0"/>
          <w:bCs w:val="0"/>
          <w:color w:val="auto"/>
          <w:sz w:val="30"/>
          <w:szCs w:val="30"/>
          <w:highlight w:val="none"/>
          <w:lang w:val="en-US" w:eastAsia="zh-CN"/>
        </w:rPr>
        <w:t>“</w:t>
      </w:r>
      <w:r>
        <w:rPr>
          <w:rFonts w:hint="eastAsia" w:ascii="Times New Roman" w:hAnsi="Times New Roman" w:eastAsia="仿宋_GB2312" w:cs="Times New Roman"/>
          <w:b w:val="0"/>
          <w:bCs w:val="0"/>
          <w:color w:val="auto"/>
          <w:sz w:val="30"/>
          <w:szCs w:val="30"/>
          <w:highlight w:val="none"/>
          <w:lang w:val="en-US" w:eastAsia="zh-CN"/>
        </w:rPr>
        <w:t>该指标出现不达标的主要原因有：</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lang w:val="en-US" w:eastAsia="zh-CN"/>
        </w:rPr>
        <w:t>1.息差收窄导致利息净收入下降。</w:t>
      </w:r>
      <w:r>
        <w:rPr>
          <w:rFonts w:hint="eastAsia" w:ascii="Times New Roman" w:hAnsi="Times New Roman" w:eastAsia="仿宋_GB2312" w:cs="Times New Roman"/>
          <w:b w:val="0"/>
          <w:bCs w:val="0"/>
          <w:color w:val="auto"/>
          <w:sz w:val="30"/>
          <w:szCs w:val="30"/>
          <w:highlight w:val="none"/>
          <w:lang w:val="zh-TW" w:eastAsia="zh-CN"/>
        </w:rPr>
        <w:t>一是受</w:t>
      </w:r>
      <w:r>
        <w:rPr>
          <w:rFonts w:hint="eastAsia" w:ascii="Times New Roman" w:hAnsi="Times New Roman" w:eastAsia="仿宋_GB2312" w:cs="Times New Roman"/>
          <w:b w:val="0"/>
          <w:bCs w:val="0"/>
          <w:color w:val="auto"/>
          <w:sz w:val="30"/>
          <w:szCs w:val="30"/>
          <w:highlight w:val="none"/>
          <w:lang w:val="zh-TW" w:eastAsia="zh-TW"/>
        </w:rPr>
        <w:t>贷款减费让利</w:t>
      </w:r>
      <w:r>
        <w:rPr>
          <w:rFonts w:hint="eastAsia" w:ascii="Times New Roman" w:hAnsi="Times New Roman" w:eastAsia="仿宋_GB2312" w:cs="Times New Roman"/>
          <w:b w:val="0"/>
          <w:bCs w:val="0"/>
          <w:color w:val="auto"/>
          <w:sz w:val="30"/>
          <w:szCs w:val="30"/>
          <w:highlight w:val="none"/>
          <w:lang w:val="zh-TW" w:eastAsia="zh-CN"/>
        </w:rPr>
        <w:t>政策及</w:t>
      </w:r>
      <w:r>
        <w:rPr>
          <w:rFonts w:hint="eastAsia" w:ascii="Times New Roman" w:hAnsi="Times New Roman" w:eastAsia="仿宋_GB2312" w:cs="Times New Roman"/>
          <w:b w:val="0"/>
          <w:bCs w:val="0"/>
          <w:color w:val="auto"/>
          <w:sz w:val="30"/>
          <w:szCs w:val="30"/>
          <w:highlight w:val="none"/>
        </w:rPr>
        <w:t>LPR定价机制实施</w:t>
      </w:r>
      <w:r>
        <w:rPr>
          <w:rFonts w:hint="eastAsia" w:ascii="Times New Roman" w:hAnsi="Times New Roman" w:eastAsia="仿宋_GB2312" w:cs="Times New Roman"/>
          <w:b w:val="0"/>
          <w:bCs w:val="0"/>
          <w:color w:val="auto"/>
          <w:sz w:val="30"/>
          <w:szCs w:val="30"/>
          <w:highlight w:val="none"/>
          <w:lang w:eastAsia="zh-CN"/>
        </w:rPr>
        <w:t>的</w:t>
      </w:r>
      <w:r>
        <w:rPr>
          <w:rFonts w:hint="eastAsia" w:ascii="Times New Roman" w:hAnsi="Times New Roman" w:eastAsia="仿宋_GB2312" w:cs="Times New Roman"/>
          <w:b w:val="0"/>
          <w:bCs w:val="0"/>
          <w:color w:val="auto"/>
          <w:sz w:val="30"/>
          <w:szCs w:val="30"/>
          <w:highlight w:val="none"/>
          <w:lang w:val="zh-TW" w:eastAsia="zh-CN"/>
        </w:rPr>
        <w:t>影响</w:t>
      </w:r>
      <w:r>
        <w:rPr>
          <w:rFonts w:hint="eastAsia" w:ascii="Times New Roman" w:hAnsi="Times New Roman" w:eastAsia="仿宋_GB2312" w:cs="Times New Roman"/>
          <w:b w:val="0"/>
          <w:bCs w:val="0"/>
          <w:color w:val="auto"/>
          <w:sz w:val="30"/>
          <w:szCs w:val="30"/>
          <w:highlight w:val="none"/>
          <w:lang w:val="zh-TW" w:eastAsia="zh-TW"/>
        </w:rPr>
        <w:t>，</w:t>
      </w:r>
      <w:r>
        <w:rPr>
          <w:rFonts w:hint="eastAsia" w:ascii="Times New Roman" w:hAnsi="Times New Roman" w:eastAsia="仿宋_GB2312" w:cs="Times New Roman"/>
          <w:b w:val="0"/>
          <w:bCs w:val="0"/>
          <w:color w:val="auto"/>
          <w:sz w:val="30"/>
          <w:szCs w:val="30"/>
          <w:highlight w:val="none"/>
          <w:lang w:val="zh-TW" w:eastAsia="zh-CN"/>
        </w:rPr>
        <w:t>公司</w:t>
      </w:r>
      <w:r>
        <w:rPr>
          <w:rFonts w:hint="eastAsia" w:ascii="Times New Roman" w:hAnsi="Times New Roman" w:eastAsia="仿宋_GB2312" w:cs="Times New Roman"/>
          <w:b w:val="0"/>
          <w:bCs w:val="0"/>
          <w:color w:val="auto"/>
          <w:sz w:val="30"/>
          <w:szCs w:val="30"/>
          <w:highlight w:val="none"/>
          <w:lang w:val="zh-TW" w:eastAsia="zh-TW"/>
        </w:rPr>
        <w:t>贷款利率</w:t>
      </w:r>
      <w:r>
        <w:rPr>
          <w:rFonts w:hint="eastAsia" w:ascii="Times New Roman" w:hAnsi="Times New Roman" w:eastAsia="仿宋_GB2312" w:cs="Times New Roman"/>
          <w:b w:val="0"/>
          <w:bCs w:val="0"/>
          <w:color w:val="auto"/>
          <w:sz w:val="30"/>
          <w:szCs w:val="30"/>
          <w:highlight w:val="none"/>
          <w:lang w:val="zh-TW" w:eastAsia="zh-CN"/>
        </w:rPr>
        <w:t>逐步下调，</w:t>
      </w:r>
      <w:r>
        <w:rPr>
          <w:rFonts w:hint="eastAsia" w:ascii="Times New Roman" w:hAnsi="Times New Roman" w:eastAsia="仿宋_GB2312" w:cs="Times New Roman"/>
          <w:b w:val="0"/>
          <w:bCs w:val="0"/>
          <w:color w:val="auto"/>
          <w:sz w:val="30"/>
          <w:szCs w:val="30"/>
          <w:highlight w:val="none"/>
          <w:lang w:val="en-US" w:eastAsia="zh-CN"/>
        </w:rPr>
        <w:t>2020年度、2021年度、2022年1-9月百元贷款收息率分别为5.59%、5.29%、4.72%</w:t>
      </w:r>
      <w:r>
        <w:rPr>
          <w:rFonts w:hint="eastAsia" w:ascii="Times New Roman" w:hAnsi="Times New Roman" w:eastAsia="仿宋_GB2312" w:cs="Times New Roman"/>
          <w:b w:val="0"/>
          <w:bCs w:val="0"/>
          <w:color w:val="auto"/>
          <w:sz w:val="30"/>
          <w:szCs w:val="30"/>
          <w:highlight w:val="none"/>
          <w:lang w:val="zh-TW" w:eastAsia="zh-CN"/>
        </w:rPr>
        <w:t>；二是公司立足于省会，全市共30余家银行机构，行业市场竞争尤为激烈，为争夺客户，公司</w:t>
      </w:r>
      <w:r>
        <w:rPr>
          <w:rFonts w:hint="eastAsia" w:ascii="Times New Roman" w:hAnsi="Times New Roman" w:eastAsia="仿宋_GB2312" w:cs="Times New Roman"/>
          <w:b w:val="0"/>
          <w:bCs w:val="0"/>
          <w:color w:val="auto"/>
          <w:sz w:val="30"/>
          <w:szCs w:val="30"/>
          <w:highlight w:val="none"/>
          <w:lang w:val="zh-TW" w:eastAsia="zh-TW"/>
        </w:rPr>
        <w:t>存款利率</w:t>
      </w:r>
      <w:r>
        <w:rPr>
          <w:rFonts w:hint="eastAsia" w:ascii="Times New Roman" w:hAnsi="Times New Roman" w:eastAsia="仿宋_GB2312" w:cs="Times New Roman"/>
          <w:b w:val="0"/>
          <w:bCs w:val="0"/>
          <w:color w:val="auto"/>
          <w:sz w:val="30"/>
          <w:szCs w:val="30"/>
          <w:highlight w:val="none"/>
          <w:lang w:val="zh-TW" w:eastAsia="zh-CN"/>
        </w:rPr>
        <w:t>不断</w:t>
      </w:r>
      <w:r>
        <w:rPr>
          <w:rFonts w:hint="eastAsia" w:ascii="Times New Roman" w:hAnsi="Times New Roman" w:eastAsia="仿宋_GB2312" w:cs="Times New Roman"/>
          <w:b w:val="0"/>
          <w:bCs w:val="0"/>
          <w:color w:val="auto"/>
          <w:sz w:val="30"/>
          <w:szCs w:val="30"/>
          <w:highlight w:val="none"/>
          <w:lang w:val="zh-TW" w:eastAsia="zh-TW"/>
        </w:rPr>
        <w:t>上扬</w:t>
      </w:r>
      <w:r>
        <w:rPr>
          <w:rFonts w:hint="eastAsia" w:ascii="Times New Roman" w:hAnsi="Times New Roman" w:eastAsia="仿宋_GB2312" w:cs="Times New Roman"/>
          <w:b w:val="0"/>
          <w:bCs w:val="0"/>
          <w:color w:val="auto"/>
          <w:sz w:val="30"/>
          <w:szCs w:val="30"/>
          <w:highlight w:val="none"/>
          <w:lang w:val="zh-TW" w:eastAsia="zh-CN"/>
        </w:rPr>
        <w:t>，</w:t>
      </w:r>
      <w:r>
        <w:rPr>
          <w:rFonts w:hint="eastAsia" w:ascii="Times New Roman" w:hAnsi="Times New Roman" w:eastAsia="仿宋_GB2312" w:cs="Times New Roman"/>
          <w:b w:val="0"/>
          <w:bCs w:val="0"/>
          <w:color w:val="auto"/>
          <w:sz w:val="30"/>
          <w:szCs w:val="30"/>
          <w:highlight w:val="none"/>
          <w:lang w:val="en-US" w:eastAsia="zh-CN"/>
        </w:rPr>
        <w:t>2020年度、2021年度、2022年1-9月百元存款付息率分别为2.10%、 2.10%、2.15%，由此</w:t>
      </w:r>
      <w:r>
        <w:rPr>
          <w:rFonts w:hint="eastAsia" w:ascii="Times New Roman" w:hAnsi="Times New Roman" w:eastAsia="仿宋_GB2312" w:cs="Times New Roman"/>
          <w:b w:val="0"/>
          <w:bCs w:val="0"/>
          <w:color w:val="auto"/>
          <w:sz w:val="30"/>
          <w:szCs w:val="30"/>
          <w:highlight w:val="none"/>
          <w:lang w:val="zh-TW" w:eastAsia="zh-CN"/>
        </w:rPr>
        <w:t>导致公司</w:t>
      </w:r>
      <w:r>
        <w:rPr>
          <w:rFonts w:hint="eastAsia" w:ascii="Times New Roman" w:hAnsi="Times New Roman" w:eastAsia="仿宋_GB2312" w:cs="Times New Roman"/>
          <w:b w:val="0"/>
          <w:bCs w:val="0"/>
          <w:color w:val="auto"/>
          <w:sz w:val="30"/>
          <w:szCs w:val="30"/>
          <w:highlight w:val="none"/>
        </w:rPr>
        <w:t>净息差水平</w:t>
      </w:r>
      <w:r>
        <w:rPr>
          <w:rFonts w:hint="eastAsia" w:ascii="Times New Roman" w:hAnsi="Times New Roman" w:eastAsia="仿宋_GB2312" w:cs="Times New Roman"/>
          <w:b w:val="0"/>
          <w:bCs w:val="0"/>
          <w:color w:val="auto"/>
          <w:sz w:val="30"/>
          <w:szCs w:val="30"/>
          <w:highlight w:val="none"/>
          <w:lang w:eastAsia="zh-CN"/>
        </w:rPr>
        <w:t>持续</w:t>
      </w:r>
      <w:r>
        <w:rPr>
          <w:rFonts w:hint="eastAsia" w:ascii="Times New Roman" w:hAnsi="Times New Roman" w:eastAsia="仿宋_GB2312" w:cs="Times New Roman"/>
          <w:b w:val="0"/>
          <w:bCs w:val="0"/>
          <w:color w:val="auto"/>
          <w:sz w:val="30"/>
          <w:szCs w:val="30"/>
          <w:highlight w:val="none"/>
        </w:rPr>
        <w:t>收窄</w:t>
      </w: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lang w:val="en-US" w:eastAsia="zh-CN"/>
        </w:rPr>
        <w:t>2020年度、2021年度、2022年1-9月净息差分别为2.55%、2.52%、2.08%，</w:t>
      </w:r>
      <w:r>
        <w:rPr>
          <w:rFonts w:hint="eastAsia" w:ascii="Times New Roman" w:hAnsi="Times New Roman" w:eastAsia="仿宋_GB2312" w:cs="Times New Roman"/>
          <w:b w:val="0"/>
          <w:bCs w:val="0"/>
          <w:color w:val="auto"/>
          <w:sz w:val="30"/>
          <w:szCs w:val="30"/>
          <w:highlight w:val="none"/>
          <w:lang w:eastAsia="zh-CN"/>
        </w:rPr>
        <w:t>利息净收入呈下降趋势。</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2.业务规模增加及</w:t>
      </w:r>
      <w:r>
        <w:rPr>
          <w:rFonts w:hint="eastAsia" w:ascii="Times New Roman" w:hAnsi="Times New Roman" w:eastAsia="仿宋_GB2312" w:cs="Times New Roman"/>
          <w:b w:val="0"/>
          <w:bCs w:val="0"/>
          <w:color w:val="auto"/>
          <w:sz w:val="30"/>
          <w:szCs w:val="30"/>
          <w:highlight w:val="none"/>
        </w:rPr>
        <w:t>保险基数调整</w:t>
      </w:r>
      <w:r>
        <w:rPr>
          <w:rFonts w:hint="eastAsia" w:ascii="Times New Roman" w:hAnsi="Times New Roman" w:eastAsia="仿宋_GB2312" w:cs="Times New Roman"/>
          <w:b w:val="0"/>
          <w:bCs w:val="0"/>
          <w:color w:val="auto"/>
          <w:sz w:val="30"/>
          <w:szCs w:val="30"/>
          <w:highlight w:val="none"/>
          <w:lang w:eastAsia="zh-CN"/>
        </w:rPr>
        <w:t>导致成本</w:t>
      </w:r>
      <w:r>
        <w:rPr>
          <w:rFonts w:hint="eastAsia" w:ascii="Times New Roman" w:hAnsi="Times New Roman" w:eastAsia="仿宋_GB2312" w:cs="Times New Roman"/>
          <w:b w:val="0"/>
          <w:bCs w:val="0"/>
          <w:color w:val="auto"/>
          <w:sz w:val="30"/>
          <w:szCs w:val="30"/>
          <w:highlight w:val="none"/>
        </w:rPr>
        <w:t>增加</w:t>
      </w:r>
      <w:r>
        <w:rPr>
          <w:rFonts w:hint="eastAsia" w:ascii="Times New Roman" w:hAnsi="Times New Roman" w:eastAsia="仿宋_GB2312" w:cs="Times New Roman"/>
          <w:b w:val="0"/>
          <w:bCs w:val="0"/>
          <w:color w:val="auto"/>
          <w:sz w:val="30"/>
          <w:szCs w:val="30"/>
          <w:highlight w:val="none"/>
          <w:lang w:eastAsia="zh-CN"/>
        </w:rPr>
        <w:t>。公司存贷规模由</w:t>
      </w:r>
      <w:r>
        <w:rPr>
          <w:rFonts w:hint="eastAsia" w:ascii="Times New Roman" w:hAnsi="Times New Roman" w:eastAsia="仿宋_GB2312" w:cs="Times New Roman"/>
          <w:b w:val="0"/>
          <w:bCs w:val="0"/>
          <w:color w:val="auto"/>
          <w:sz w:val="30"/>
          <w:szCs w:val="30"/>
          <w:highlight w:val="none"/>
          <w:lang w:val="en-US" w:eastAsia="zh-CN"/>
        </w:rPr>
        <w:t>2021年9月末的993.59亿元增加到2022年9月末的1071.55亿元，导致2022年1-9月业务费用同口径</w:t>
      </w:r>
      <w:r>
        <w:rPr>
          <w:rFonts w:hint="eastAsia" w:ascii="Times New Roman" w:hAnsi="Times New Roman" w:eastAsia="仿宋_GB2312" w:cs="Times New Roman"/>
          <w:b w:val="0"/>
          <w:bCs w:val="0"/>
          <w:color w:val="auto"/>
          <w:sz w:val="30"/>
          <w:szCs w:val="30"/>
          <w:highlight w:val="none"/>
          <w:lang w:eastAsia="zh-CN"/>
        </w:rPr>
        <w:t>较</w:t>
      </w:r>
      <w:r>
        <w:rPr>
          <w:rFonts w:hint="eastAsia" w:ascii="Times New Roman" w:hAnsi="Times New Roman" w:eastAsia="仿宋_GB2312" w:cs="Times New Roman"/>
          <w:b w:val="0"/>
          <w:bCs w:val="0"/>
          <w:color w:val="auto"/>
          <w:sz w:val="30"/>
          <w:szCs w:val="30"/>
          <w:highlight w:val="none"/>
          <w:lang w:val="en-US" w:eastAsia="zh-CN"/>
        </w:rPr>
        <w:t>2021年1-9月增加0.15亿元，其中，由于评级影响，公司存款保险费率上调，2022年1-9月存款保险费同口径较2021年1-9月增加0.13亿元；公司考核办法调整、基本工资正常调档，社会保险基数相应上调，导致公司2022年1-9月员工费用同口径较2021年1-9月增加0.23亿元；</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下一步公司将通过压降成本、提高收益，控制成本收入比指标达到监管要求，使公司保持可持续发展的态势：一是深入推进精细化管理，</w:t>
      </w:r>
      <w:r>
        <w:rPr>
          <w:rFonts w:hint="eastAsia" w:ascii="Times New Roman" w:hAnsi="Times New Roman" w:eastAsia="仿宋_GB2312" w:cs="Times New Roman"/>
          <w:b w:val="0"/>
          <w:bCs w:val="0"/>
          <w:color w:val="auto"/>
          <w:sz w:val="30"/>
          <w:szCs w:val="30"/>
          <w:highlight w:val="none"/>
        </w:rPr>
        <w:t>严控非刚性、非重点项目支出，</w:t>
      </w:r>
      <w:r>
        <w:rPr>
          <w:rFonts w:hint="eastAsia" w:ascii="Times New Roman" w:hAnsi="Times New Roman" w:eastAsia="仿宋_GB2312" w:cs="Times New Roman"/>
          <w:b w:val="0"/>
          <w:bCs w:val="0"/>
          <w:color w:val="auto"/>
          <w:sz w:val="30"/>
          <w:szCs w:val="30"/>
          <w:highlight w:val="none"/>
          <w:lang w:val="en-US" w:eastAsia="zh-CN"/>
        </w:rPr>
        <w:t>坚持刀刃向内，在产品设计、定价策略、绩效考核、费用管理等方面上推进改革调整，有效激活内生动力，实现降本增效，推动高质量发展；二是深度融入南昌城市发展战略规划，把握产业升级过程中的发展机遇，加大重点项目信贷投放，提高信贷资产收益水平；同时逐步压缩期限较长利率较高的存款额度、压降单户议价能力较高的对公存款，通过社保卡、手机银行、聚合支付等低成本资金载体，用好用足“支农”、“支小”再贷款等政策性金融工具，拓宽低成本资金来源，以提高利差息差水平。</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default"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根据人行及银保监会相关文件规定，成本收入比不达标不会使公司面临处罚的风险，但会影响公司银保监监管评级及央行评级结果。</w:t>
      </w:r>
      <w:r>
        <w:rPr>
          <w:rFonts w:hint="default" w:ascii="Times New Roman" w:hAnsi="Times New Roman" w:eastAsia="仿宋_GB2312" w:cs="Times New Roman"/>
          <w:b w:val="0"/>
          <w:bCs w:val="0"/>
          <w:color w:val="auto"/>
          <w:sz w:val="30"/>
          <w:szCs w:val="30"/>
          <w:highlight w:val="none"/>
          <w:lang w:val="en-US"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lang w:val="en-US" w:eastAsia="zh-CN"/>
        </w:rPr>
        <w:t>2）</w:t>
      </w:r>
      <w:r>
        <w:rPr>
          <w:rFonts w:hint="eastAsia" w:ascii="Times New Roman" w:hAnsi="Times New Roman" w:eastAsia="仿宋_GB2312" w:cs="Times New Roman"/>
          <w:b w:val="0"/>
          <w:bCs w:val="0"/>
          <w:color w:val="auto"/>
          <w:sz w:val="30"/>
          <w:szCs w:val="30"/>
          <w:highlight w:val="none"/>
          <w:lang w:eastAsia="zh-CN"/>
        </w:rPr>
        <w:t>资产利润率和资本利润率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rPr>
        <w:t>2020年12月31日、2021年12月31日和2022年9月30日，公司资产利润率分别为0.73%、0%和0%，2021年12月末和2022年9月末资产利润率低于监管红线0.6%；公司资本利润率分别为8.06%、0.03%和0.04%，2020年12月末、2021年12月末和2022年9月30日，资本利润率低于监管红线11%</w:t>
      </w:r>
      <w:r>
        <w:rPr>
          <w:rFonts w:hint="eastAsia" w:ascii="Times New Roman" w:hAnsi="Times New Roman" w:eastAsia="仿宋_GB2312" w:cs="Times New Roman"/>
          <w:b w:val="0"/>
          <w:bCs w:val="0"/>
          <w:color w:val="auto"/>
          <w:sz w:val="30"/>
          <w:szCs w:val="30"/>
          <w:highlight w:val="none"/>
          <w:lang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rPr>
        <w:t>公司已经在《定向发行说明书》之“一、本公司基本信息/（五）公司最近两年及一期主要财务数据、监管指标及变动分析/2、主要监管指标及分析/（</w:t>
      </w:r>
      <w:r>
        <w:rPr>
          <w:rFonts w:hint="eastAsia" w:ascii="Times New Roman" w:hAnsi="Times New Roman" w:eastAsia="仿宋_GB2312" w:cs="Times New Roman"/>
          <w:b w:val="0"/>
          <w:bCs w:val="0"/>
          <w:color w:val="auto"/>
          <w:sz w:val="30"/>
          <w:szCs w:val="30"/>
          <w:highlight w:val="none"/>
          <w:lang w:val="en-US" w:eastAsia="zh-CN"/>
        </w:rPr>
        <w:t>5</w:t>
      </w:r>
      <w:r>
        <w:rPr>
          <w:rFonts w:hint="eastAsia" w:ascii="Times New Roman" w:hAnsi="Times New Roman" w:eastAsia="仿宋_GB2312" w:cs="Times New Roman"/>
          <w:b w:val="0"/>
          <w:bCs w:val="0"/>
          <w:color w:val="auto"/>
          <w:sz w:val="30"/>
          <w:szCs w:val="30"/>
          <w:highlight w:val="none"/>
        </w:rPr>
        <w:t>）</w:t>
      </w:r>
      <w:r>
        <w:rPr>
          <w:rFonts w:hint="eastAsia" w:ascii="Times New Roman" w:hAnsi="Times New Roman" w:eastAsia="仿宋_GB2312" w:cs="Times New Roman"/>
          <w:b w:val="0"/>
          <w:bCs w:val="0"/>
          <w:color w:val="auto"/>
          <w:sz w:val="30"/>
          <w:szCs w:val="30"/>
          <w:highlight w:val="none"/>
          <w:lang w:eastAsia="zh-CN"/>
        </w:rPr>
        <w:t>资产利润率和资本利润率</w:t>
      </w:r>
      <w:r>
        <w:rPr>
          <w:rFonts w:hint="eastAsia" w:ascii="Times New Roman" w:hAnsi="Times New Roman" w:eastAsia="仿宋_GB2312" w:cs="Times New Roman"/>
          <w:b w:val="0"/>
          <w:bCs w:val="0"/>
          <w:color w:val="auto"/>
          <w:sz w:val="30"/>
          <w:szCs w:val="30"/>
          <w:highlight w:val="none"/>
        </w:rPr>
        <w:t>”中补充披露如下：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default" w:ascii="Times New Roman" w:hAnsi="Times New Roman" w:eastAsia="仿宋_GB2312" w:cs="Times New Roman"/>
          <w:b w:val="0"/>
          <w:bCs w:val="0"/>
          <w:color w:val="auto"/>
          <w:sz w:val="30"/>
          <w:szCs w:val="30"/>
          <w:highlight w:val="none"/>
          <w:lang w:val="en-US" w:eastAsia="zh-CN"/>
        </w:rPr>
        <w:t>“</w:t>
      </w:r>
      <w:r>
        <w:rPr>
          <w:rFonts w:hint="eastAsia" w:ascii="Times New Roman" w:hAnsi="Times New Roman" w:eastAsia="仿宋_GB2312" w:cs="Times New Roman"/>
          <w:b w:val="0"/>
          <w:bCs w:val="0"/>
          <w:color w:val="auto"/>
          <w:sz w:val="30"/>
          <w:szCs w:val="30"/>
          <w:highlight w:val="none"/>
          <w:lang w:val="en-US" w:eastAsia="zh-CN"/>
        </w:rPr>
        <w:t>以上指标不达标的主要原因有：</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lang w:val="en-US" w:eastAsia="zh-CN"/>
        </w:rPr>
        <w:t>1.资产减值损失大幅提高，导致利润大幅减少。</w:t>
      </w:r>
      <w:r>
        <w:rPr>
          <w:rFonts w:hint="eastAsia" w:ascii="Times New Roman" w:hAnsi="Times New Roman" w:eastAsia="仿宋_GB2312" w:cs="Times New Roman"/>
          <w:b w:val="0"/>
          <w:bCs w:val="0"/>
          <w:color w:val="auto"/>
          <w:sz w:val="30"/>
          <w:szCs w:val="30"/>
          <w:highlight w:val="none"/>
        </w:rPr>
        <w:t>受经济下行叠加疫情、</w:t>
      </w:r>
      <w:r>
        <w:rPr>
          <w:rFonts w:hint="eastAsia" w:ascii="Times New Roman" w:hAnsi="Times New Roman" w:eastAsia="仿宋_GB2312" w:cs="Times New Roman"/>
          <w:b w:val="0"/>
          <w:bCs w:val="0"/>
          <w:color w:val="auto"/>
          <w:sz w:val="30"/>
          <w:szCs w:val="30"/>
          <w:highlight w:val="none"/>
          <w:lang w:eastAsia="zh-CN"/>
        </w:rPr>
        <w:t>不良贷款</w:t>
      </w:r>
      <w:r>
        <w:rPr>
          <w:rFonts w:hint="eastAsia" w:ascii="Times New Roman" w:hAnsi="Times New Roman" w:eastAsia="仿宋_GB2312" w:cs="Times New Roman"/>
          <w:b w:val="0"/>
          <w:bCs w:val="0"/>
          <w:color w:val="auto"/>
          <w:sz w:val="30"/>
          <w:szCs w:val="30"/>
          <w:highlight w:val="none"/>
        </w:rPr>
        <w:t>政策趋严趋紧等</w:t>
      </w:r>
      <w:r>
        <w:rPr>
          <w:rFonts w:hint="eastAsia" w:ascii="Times New Roman" w:hAnsi="Times New Roman" w:eastAsia="仿宋_GB2312" w:cs="Times New Roman"/>
          <w:b w:val="0"/>
          <w:bCs w:val="0"/>
          <w:color w:val="auto"/>
          <w:sz w:val="30"/>
          <w:szCs w:val="30"/>
          <w:highlight w:val="none"/>
          <w:lang w:eastAsia="zh-CN"/>
        </w:rPr>
        <w:t>综合</w:t>
      </w:r>
      <w:r>
        <w:rPr>
          <w:rFonts w:hint="eastAsia" w:ascii="Times New Roman" w:hAnsi="Times New Roman" w:eastAsia="仿宋_GB2312" w:cs="Times New Roman"/>
          <w:b w:val="0"/>
          <w:bCs w:val="0"/>
          <w:color w:val="auto"/>
          <w:sz w:val="30"/>
          <w:szCs w:val="30"/>
          <w:highlight w:val="none"/>
        </w:rPr>
        <w:t>因素影响，信用风险集中暴发，为化解信用风险，</w:t>
      </w:r>
      <w:r>
        <w:rPr>
          <w:rFonts w:hint="eastAsia" w:ascii="Times New Roman" w:hAnsi="Times New Roman" w:eastAsia="仿宋_GB2312" w:cs="Times New Roman"/>
          <w:b w:val="0"/>
          <w:bCs w:val="0"/>
          <w:color w:val="auto"/>
          <w:sz w:val="30"/>
          <w:szCs w:val="30"/>
          <w:highlight w:val="none"/>
          <w:lang w:eastAsia="zh-CN"/>
        </w:rPr>
        <w:t>公司</w:t>
      </w:r>
      <w:r>
        <w:rPr>
          <w:rFonts w:hint="eastAsia" w:ascii="Times New Roman" w:hAnsi="Times New Roman" w:eastAsia="仿宋_GB2312" w:cs="Times New Roman"/>
          <w:b w:val="0"/>
          <w:bCs w:val="0"/>
          <w:color w:val="auto"/>
          <w:sz w:val="30"/>
          <w:szCs w:val="30"/>
          <w:highlight w:val="none"/>
        </w:rPr>
        <w:t>加大</w:t>
      </w:r>
      <w:r>
        <w:rPr>
          <w:rFonts w:hint="eastAsia" w:ascii="Times New Roman" w:hAnsi="Times New Roman" w:eastAsia="仿宋_GB2312" w:cs="Times New Roman"/>
          <w:b w:val="0"/>
          <w:bCs w:val="0"/>
          <w:color w:val="auto"/>
          <w:sz w:val="30"/>
          <w:szCs w:val="30"/>
          <w:highlight w:val="none"/>
          <w:lang w:eastAsia="zh-CN"/>
        </w:rPr>
        <w:t>拨备计提力度</w:t>
      </w:r>
      <w:r>
        <w:rPr>
          <w:rFonts w:hint="eastAsia" w:ascii="Times New Roman" w:hAnsi="Times New Roman" w:eastAsia="仿宋_GB2312" w:cs="Times New Roman"/>
          <w:b w:val="0"/>
          <w:bCs w:val="0"/>
          <w:color w:val="auto"/>
          <w:sz w:val="30"/>
          <w:szCs w:val="30"/>
          <w:highlight w:val="none"/>
        </w:rPr>
        <w:t>，导致公司资产减值损失持续增加。公司2020年度、2021年度和2022年1-9月，公司资产减值损失发生额分别为62</w:t>
      </w:r>
      <w:r>
        <w:rPr>
          <w:rFonts w:hint="eastAsia" w:ascii="Times New Roman" w:hAnsi="Times New Roman" w:eastAsia="仿宋_GB2312" w:cs="Times New Roman"/>
          <w:b w:val="0"/>
          <w:bCs w:val="0"/>
          <w:color w:val="auto"/>
          <w:sz w:val="30"/>
          <w:szCs w:val="30"/>
          <w:highlight w:val="none"/>
          <w:lang w:val="en-US" w:eastAsia="zh-CN"/>
        </w:rPr>
        <w:t>,</w:t>
      </w:r>
      <w:r>
        <w:rPr>
          <w:rFonts w:hint="eastAsia" w:ascii="Times New Roman" w:hAnsi="Times New Roman" w:eastAsia="仿宋_GB2312" w:cs="Times New Roman"/>
          <w:b w:val="0"/>
          <w:bCs w:val="0"/>
          <w:color w:val="auto"/>
          <w:sz w:val="30"/>
          <w:szCs w:val="30"/>
          <w:highlight w:val="none"/>
        </w:rPr>
        <w:t>455.01万元、97</w:t>
      </w:r>
      <w:r>
        <w:rPr>
          <w:rFonts w:hint="eastAsia" w:ascii="Times New Roman" w:hAnsi="Times New Roman" w:eastAsia="仿宋_GB2312" w:cs="Times New Roman"/>
          <w:b w:val="0"/>
          <w:bCs w:val="0"/>
          <w:color w:val="auto"/>
          <w:sz w:val="30"/>
          <w:szCs w:val="30"/>
          <w:highlight w:val="none"/>
          <w:lang w:val="en-US" w:eastAsia="zh-CN"/>
        </w:rPr>
        <w:t>,</w:t>
      </w:r>
      <w:r>
        <w:rPr>
          <w:rFonts w:hint="eastAsia" w:ascii="Times New Roman" w:hAnsi="Times New Roman" w:eastAsia="仿宋_GB2312" w:cs="Times New Roman"/>
          <w:b w:val="0"/>
          <w:bCs w:val="0"/>
          <w:color w:val="auto"/>
          <w:sz w:val="30"/>
          <w:szCs w:val="30"/>
          <w:highlight w:val="none"/>
        </w:rPr>
        <w:t>380.16万元和61</w:t>
      </w:r>
      <w:r>
        <w:rPr>
          <w:rFonts w:hint="eastAsia" w:ascii="Times New Roman" w:hAnsi="Times New Roman" w:eastAsia="仿宋_GB2312" w:cs="Times New Roman"/>
          <w:b w:val="0"/>
          <w:bCs w:val="0"/>
          <w:color w:val="auto"/>
          <w:sz w:val="30"/>
          <w:szCs w:val="30"/>
          <w:highlight w:val="none"/>
          <w:lang w:val="en-US" w:eastAsia="zh-CN"/>
        </w:rPr>
        <w:t>,</w:t>
      </w:r>
      <w:r>
        <w:rPr>
          <w:rFonts w:hint="eastAsia" w:ascii="Times New Roman" w:hAnsi="Times New Roman" w:eastAsia="仿宋_GB2312" w:cs="Times New Roman"/>
          <w:b w:val="0"/>
          <w:bCs w:val="0"/>
          <w:color w:val="auto"/>
          <w:sz w:val="30"/>
          <w:szCs w:val="30"/>
          <w:highlight w:val="none"/>
        </w:rPr>
        <w:t>780.74万元，资产减值损失占营业支出的比重已超过业务及管理费，是当前公司最大的一项成本支出</w:t>
      </w:r>
      <w:r>
        <w:rPr>
          <w:rFonts w:hint="eastAsia" w:ascii="Times New Roman" w:hAnsi="Times New Roman" w:eastAsia="仿宋_GB2312" w:cs="Times New Roman"/>
          <w:b w:val="0"/>
          <w:bCs w:val="0"/>
          <w:color w:val="auto"/>
          <w:sz w:val="30"/>
          <w:szCs w:val="30"/>
          <w:highlight w:val="none"/>
          <w:lang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lang w:val="en-US" w:eastAsia="zh-CN"/>
        </w:rPr>
        <w:t>2.利息净收入下降导致利润减少。</w:t>
      </w:r>
      <w:r>
        <w:rPr>
          <w:rFonts w:hint="eastAsia" w:ascii="Times New Roman" w:hAnsi="Times New Roman" w:eastAsia="仿宋_GB2312" w:cs="Times New Roman"/>
          <w:b w:val="0"/>
          <w:bCs w:val="0"/>
          <w:color w:val="auto"/>
          <w:sz w:val="30"/>
          <w:szCs w:val="30"/>
          <w:highlight w:val="none"/>
          <w:lang w:val="zh-TW" w:eastAsia="zh-CN"/>
        </w:rPr>
        <w:t>一是受</w:t>
      </w:r>
      <w:r>
        <w:rPr>
          <w:rFonts w:hint="eastAsia" w:ascii="Times New Roman" w:hAnsi="Times New Roman" w:eastAsia="仿宋_GB2312" w:cs="Times New Roman"/>
          <w:b w:val="0"/>
          <w:bCs w:val="0"/>
          <w:color w:val="auto"/>
          <w:sz w:val="30"/>
          <w:szCs w:val="30"/>
          <w:highlight w:val="none"/>
          <w:lang w:val="zh-TW" w:eastAsia="zh-TW"/>
        </w:rPr>
        <w:t>贷款减费让利</w:t>
      </w:r>
      <w:r>
        <w:rPr>
          <w:rFonts w:hint="eastAsia" w:ascii="Times New Roman" w:hAnsi="Times New Roman" w:eastAsia="仿宋_GB2312" w:cs="Times New Roman"/>
          <w:b w:val="0"/>
          <w:bCs w:val="0"/>
          <w:color w:val="auto"/>
          <w:sz w:val="30"/>
          <w:szCs w:val="30"/>
          <w:highlight w:val="none"/>
          <w:lang w:val="zh-TW" w:eastAsia="zh-CN"/>
        </w:rPr>
        <w:t>政策及</w:t>
      </w:r>
      <w:r>
        <w:rPr>
          <w:rFonts w:hint="eastAsia" w:ascii="Times New Roman" w:hAnsi="Times New Roman" w:eastAsia="仿宋_GB2312" w:cs="Times New Roman"/>
          <w:b w:val="0"/>
          <w:bCs w:val="0"/>
          <w:color w:val="auto"/>
          <w:sz w:val="30"/>
          <w:szCs w:val="30"/>
          <w:highlight w:val="none"/>
        </w:rPr>
        <w:t>LPR定价机制实施</w:t>
      </w:r>
      <w:r>
        <w:rPr>
          <w:rFonts w:hint="eastAsia" w:ascii="Times New Roman" w:hAnsi="Times New Roman" w:eastAsia="仿宋_GB2312" w:cs="Times New Roman"/>
          <w:b w:val="0"/>
          <w:bCs w:val="0"/>
          <w:color w:val="auto"/>
          <w:sz w:val="30"/>
          <w:szCs w:val="30"/>
          <w:highlight w:val="none"/>
          <w:lang w:eastAsia="zh-CN"/>
        </w:rPr>
        <w:t>的</w:t>
      </w:r>
      <w:r>
        <w:rPr>
          <w:rFonts w:hint="eastAsia" w:ascii="Times New Roman" w:hAnsi="Times New Roman" w:eastAsia="仿宋_GB2312" w:cs="Times New Roman"/>
          <w:b w:val="0"/>
          <w:bCs w:val="0"/>
          <w:color w:val="auto"/>
          <w:sz w:val="30"/>
          <w:szCs w:val="30"/>
          <w:highlight w:val="none"/>
          <w:lang w:val="zh-TW" w:eastAsia="zh-CN"/>
        </w:rPr>
        <w:t>影响</w:t>
      </w:r>
      <w:r>
        <w:rPr>
          <w:rFonts w:hint="eastAsia" w:ascii="Times New Roman" w:hAnsi="Times New Roman" w:eastAsia="仿宋_GB2312" w:cs="Times New Roman"/>
          <w:b w:val="0"/>
          <w:bCs w:val="0"/>
          <w:color w:val="auto"/>
          <w:sz w:val="30"/>
          <w:szCs w:val="30"/>
          <w:highlight w:val="none"/>
          <w:lang w:val="zh-TW" w:eastAsia="zh-TW"/>
        </w:rPr>
        <w:t>，</w:t>
      </w:r>
      <w:r>
        <w:rPr>
          <w:rFonts w:hint="eastAsia" w:ascii="Times New Roman" w:hAnsi="Times New Roman" w:eastAsia="仿宋_GB2312" w:cs="Times New Roman"/>
          <w:b w:val="0"/>
          <w:bCs w:val="0"/>
          <w:color w:val="auto"/>
          <w:sz w:val="30"/>
          <w:szCs w:val="30"/>
          <w:highlight w:val="none"/>
          <w:lang w:val="zh-TW" w:eastAsia="zh-CN"/>
        </w:rPr>
        <w:t>公司</w:t>
      </w:r>
      <w:r>
        <w:rPr>
          <w:rFonts w:hint="eastAsia" w:ascii="Times New Roman" w:hAnsi="Times New Roman" w:eastAsia="仿宋_GB2312" w:cs="Times New Roman"/>
          <w:b w:val="0"/>
          <w:bCs w:val="0"/>
          <w:color w:val="auto"/>
          <w:sz w:val="30"/>
          <w:szCs w:val="30"/>
          <w:highlight w:val="none"/>
          <w:lang w:val="zh-TW" w:eastAsia="zh-TW"/>
        </w:rPr>
        <w:t>贷款利率</w:t>
      </w:r>
      <w:r>
        <w:rPr>
          <w:rFonts w:hint="eastAsia" w:ascii="Times New Roman" w:hAnsi="Times New Roman" w:eastAsia="仿宋_GB2312" w:cs="Times New Roman"/>
          <w:b w:val="0"/>
          <w:bCs w:val="0"/>
          <w:color w:val="auto"/>
          <w:sz w:val="30"/>
          <w:szCs w:val="30"/>
          <w:highlight w:val="none"/>
          <w:lang w:val="zh-TW" w:eastAsia="zh-CN"/>
        </w:rPr>
        <w:t>逐步下调，</w:t>
      </w:r>
      <w:r>
        <w:rPr>
          <w:rFonts w:hint="eastAsia" w:ascii="Times New Roman" w:hAnsi="Times New Roman" w:eastAsia="仿宋_GB2312" w:cs="Times New Roman"/>
          <w:b w:val="0"/>
          <w:bCs w:val="0"/>
          <w:color w:val="auto"/>
          <w:sz w:val="30"/>
          <w:szCs w:val="30"/>
          <w:highlight w:val="none"/>
          <w:lang w:val="en-US" w:eastAsia="zh-CN"/>
        </w:rPr>
        <w:t>2020年度、2021年度、2022年1-9月百元贷款收息率分别为5.59%、5.29%、4.72%</w:t>
      </w:r>
      <w:r>
        <w:rPr>
          <w:rFonts w:hint="eastAsia" w:ascii="Times New Roman" w:hAnsi="Times New Roman" w:eastAsia="仿宋_GB2312" w:cs="Times New Roman"/>
          <w:b w:val="0"/>
          <w:bCs w:val="0"/>
          <w:color w:val="auto"/>
          <w:sz w:val="30"/>
          <w:szCs w:val="30"/>
          <w:highlight w:val="none"/>
          <w:lang w:val="zh-TW" w:eastAsia="zh-CN"/>
        </w:rPr>
        <w:t>；二是公司立足于省会，全市共30余家银行机构，行业市场竞争尤为激烈，为争夺客户，公司</w:t>
      </w:r>
      <w:r>
        <w:rPr>
          <w:rFonts w:hint="eastAsia" w:ascii="Times New Roman" w:hAnsi="Times New Roman" w:eastAsia="仿宋_GB2312" w:cs="Times New Roman"/>
          <w:b w:val="0"/>
          <w:bCs w:val="0"/>
          <w:color w:val="auto"/>
          <w:sz w:val="30"/>
          <w:szCs w:val="30"/>
          <w:highlight w:val="none"/>
          <w:lang w:val="zh-TW" w:eastAsia="zh-TW"/>
        </w:rPr>
        <w:t>存款利率</w:t>
      </w:r>
      <w:r>
        <w:rPr>
          <w:rFonts w:hint="eastAsia" w:ascii="Times New Roman" w:hAnsi="Times New Roman" w:eastAsia="仿宋_GB2312" w:cs="Times New Roman"/>
          <w:b w:val="0"/>
          <w:bCs w:val="0"/>
          <w:color w:val="auto"/>
          <w:sz w:val="30"/>
          <w:szCs w:val="30"/>
          <w:highlight w:val="none"/>
          <w:lang w:val="zh-TW" w:eastAsia="zh-CN"/>
        </w:rPr>
        <w:t>不断</w:t>
      </w:r>
      <w:r>
        <w:rPr>
          <w:rFonts w:hint="eastAsia" w:ascii="Times New Roman" w:hAnsi="Times New Roman" w:eastAsia="仿宋_GB2312" w:cs="Times New Roman"/>
          <w:b w:val="0"/>
          <w:bCs w:val="0"/>
          <w:color w:val="auto"/>
          <w:sz w:val="30"/>
          <w:szCs w:val="30"/>
          <w:highlight w:val="none"/>
          <w:lang w:val="zh-TW" w:eastAsia="zh-TW"/>
        </w:rPr>
        <w:t>上扬</w:t>
      </w:r>
      <w:r>
        <w:rPr>
          <w:rFonts w:hint="eastAsia" w:ascii="Times New Roman" w:hAnsi="Times New Roman" w:eastAsia="仿宋_GB2312" w:cs="Times New Roman"/>
          <w:b w:val="0"/>
          <w:bCs w:val="0"/>
          <w:color w:val="auto"/>
          <w:sz w:val="30"/>
          <w:szCs w:val="30"/>
          <w:highlight w:val="none"/>
          <w:lang w:val="zh-TW" w:eastAsia="zh-CN"/>
        </w:rPr>
        <w:t>，</w:t>
      </w:r>
      <w:r>
        <w:rPr>
          <w:rFonts w:hint="eastAsia" w:ascii="Times New Roman" w:hAnsi="Times New Roman" w:eastAsia="仿宋_GB2312" w:cs="Times New Roman"/>
          <w:b w:val="0"/>
          <w:bCs w:val="0"/>
          <w:color w:val="auto"/>
          <w:sz w:val="30"/>
          <w:szCs w:val="30"/>
          <w:highlight w:val="none"/>
          <w:lang w:val="en-US" w:eastAsia="zh-CN"/>
        </w:rPr>
        <w:t>2020年度、2021年度、2022年1-9月百元存款付息率分别为2.10%、 2.10%、2.15%，由此</w:t>
      </w:r>
      <w:r>
        <w:rPr>
          <w:rFonts w:hint="eastAsia" w:ascii="Times New Roman" w:hAnsi="Times New Roman" w:eastAsia="仿宋_GB2312" w:cs="Times New Roman"/>
          <w:b w:val="0"/>
          <w:bCs w:val="0"/>
          <w:color w:val="auto"/>
          <w:sz w:val="30"/>
          <w:szCs w:val="30"/>
          <w:highlight w:val="none"/>
          <w:lang w:val="zh-TW" w:eastAsia="zh-CN"/>
        </w:rPr>
        <w:t>导致公司</w:t>
      </w:r>
      <w:r>
        <w:rPr>
          <w:rFonts w:hint="eastAsia" w:ascii="Times New Roman" w:hAnsi="Times New Roman" w:eastAsia="仿宋_GB2312" w:cs="Times New Roman"/>
          <w:b w:val="0"/>
          <w:bCs w:val="0"/>
          <w:color w:val="auto"/>
          <w:sz w:val="30"/>
          <w:szCs w:val="30"/>
          <w:highlight w:val="none"/>
        </w:rPr>
        <w:t>净息差水平</w:t>
      </w:r>
      <w:r>
        <w:rPr>
          <w:rFonts w:hint="eastAsia" w:ascii="Times New Roman" w:hAnsi="Times New Roman" w:eastAsia="仿宋_GB2312" w:cs="Times New Roman"/>
          <w:b w:val="0"/>
          <w:bCs w:val="0"/>
          <w:color w:val="auto"/>
          <w:sz w:val="30"/>
          <w:szCs w:val="30"/>
          <w:highlight w:val="none"/>
          <w:lang w:eastAsia="zh-CN"/>
        </w:rPr>
        <w:t>持续</w:t>
      </w:r>
      <w:r>
        <w:rPr>
          <w:rFonts w:hint="eastAsia" w:ascii="Times New Roman" w:hAnsi="Times New Roman" w:eastAsia="仿宋_GB2312" w:cs="Times New Roman"/>
          <w:b w:val="0"/>
          <w:bCs w:val="0"/>
          <w:color w:val="auto"/>
          <w:sz w:val="30"/>
          <w:szCs w:val="30"/>
          <w:highlight w:val="none"/>
        </w:rPr>
        <w:t>收窄</w:t>
      </w: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lang w:val="en-US" w:eastAsia="zh-CN"/>
        </w:rPr>
        <w:t>2020年度、2021年度、2022年1-9月净息差分别为2.55%、2.52%、2.08%，</w:t>
      </w:r>
      <w:r>
        <w:rPr>
          <w:rFonts w:hint="eastAsia" w:ascii="Times New Roman" w:hAnsi="Times New Roman" w:eastAsia="仿宋_GB2312" w:cs="Times New Roman"/>
          <w:b w:val="0"/>
          <w:bCs w:val="0"/>
          <w:color w:val="auto"/>
          <w:sz w:val="30"/>
          <w:szCs w:val="30"/>
          <w:highlight w:val="none"/>
          <w:lang w:eastAsia="zh-CN"/>
        </w:rPr>
        <w:t>利息净收入呈下降趋势。</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3.业务规模增加及</w:t>
      </w:r>
      <w:r>
        <w:rPr>
          <w:rFonts w:hint="eastAsia" w:ascii="Times New Roman" w:hAnsi="Times New Roman" w:eastAsia="仿宋_GB2312" w:cs="Times New Roman"/>
          <w:b w:val="0"/>
          <w:bCs w:val="0"/>
          <w:color w:val="auto"/>
          <w:sz w:val="30"/>
          <w:szCs w:val="30"/>
          <w:highlight w:val="none"/>
        </w:rPr>
        <w:t>保险基数调整</w:t>
      </w:r>
      <w:r>
        <w:rPr>
          <w:rFonts w:hint="eastAsia" w:ascii="Times New Roman" w:hAnsi="Times New Roman" w:eastAsia="仿宋_GB2312" w:cs="Times New Roman"/>
          <w:b w:val="0"/>
          <w:bCs w:val="0"/>
          <w:color w:val="auto"/>
          <w:sz w:val="30"/>
          <w:szCs w:val="30"/>
          <w:highlight w:val="none"/>
          <w:lang w:eastAsia="zh-CN"/>
        </w:rPr>
        <w:t>导致成本</w:t>
      </w:r>
      <w:r>
        <w:rPr>
          <w:rFonts w:hint="eastAsia" w:ascii="Times New Roman" w:hAnsi="Times New Roman" w:eastAsia="仿宋_GB2312" w:cs="Times New Roman"/>
          <w:b w:val="0"/>
          <w:bCs w:val="0"/>
          <w:color w:val="auto"/>
          <w:sz w:val="30"/>
          <w:szCs w:val="30"/>
          <w:highlight w:val="none"/>
        </w:rPr>
        <w:t>增加</w:t>
      </w:r>
      <w:r>
        <w:rPr>
          <w:rFonts w:hint="eastAsia" w:ascii="Times New Roman" w:hAnsi="Times New Roman" w:eastAsia="仿宋_GB2312" w:cs="Times New Roman"/>
          <w:b w:val="0"/>
          <w:bCs w:val="0"/>
          <w:color w:val="auto"/>
          <w:sz w:val="30"/>
          <w:szCs w:val="30"/>
          <w:highlight w:val="none"/>
          <w:lang w:eastAsia="zh-CN"/>
        </w:rPr>
        <w:t>。公司存贷规模由</w:t>
      </w:r>
      <w:r>
        <w:rPr>
          <w:rFonts w:hint="eastAsia" w:ascii="Times New Roman" w:hAnsi="Times New Roman" w:eastAsia="仿宋_GB2312" w:cs="Times New Roman"/>
          <w:b w:val="0"/>
          <w:bCs w:val="0"/>
          <w:color w:val="auto"/>
          <w:sz w:val="30"/>
          <w:szCs w:val="30"/>
          <w:highlight w:val="none"/>
          <w:lang w:val="en-US" w:eastAsia="zh-CN"/>
        </w:rPr>
        <w:t>2021年9月末的993.59亿元增加到2022年9月末的1071.55亿元，导致2022年1-9月业务费用同口径</w:t>
      </w:r>
      <w:r>
        <w:rPr>
          <w:rFonts w:hint="eastAsia" w:ascii="Times New Roman" w:hAnsi="Times New Roman" w:eastAsia="仿宋_GB2312" w:cs="Times New Roman"/>
          <w:b w:val="0"/>
          <w:bCs w:val="0"/>
          <w:color w:val="auto"/>
          <w:sz w:val="30"/>
          <w:szCs w:val="30"/>
          <w:highlight w:val="none"/>
          <w:lang w:eastAsia="zh-CN"/>
        </w:rPr>
        <w:t>较</w:t>
      </w:r>
      <w:r>
        <w:rPr>
          <w:rFonts w:hint="eastAsia" w:ascii="Times New Roman" w:hAnsi="Times New Roman" w:eastAsia="仿宋_GB2312" w:cs="Times New Roman"/>
          <w:b w:val="0"/>
          <w:bCs w:val="0"/>
          <w:color w:val="auto"/>
          <w:sz w:val="30"/>
          <w:szCs w:val="30"/>
          <w:highlight w:val="none"/>
          <w:lang w:val="en-US" w:eastAsia="zh-CN"/>
        </w:rPr>
        <w:t>2021年1-9月增加0.15亿元，其中，由于评级影响，公司存款保险费率上调，2022年1-9月存款保险费同口径较2021年1-9月增加0.13亿元；公司考核办法调整、基本工资正常调档，社会保险基数相应上调，导致公司2022年1-9月员工费用同口径较2021年1-9月增加0.23亿元。</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下一步公司将通过增收节支，提高利润，使公司保持可持续发展的态势：一是持续完善风险防控机制，加强贷款“三查”制度执行，严守新增贷款质量关，从源头上防止不良贷款“前清后冒”；加大风险处置力度，一户一策制定清收处置方案，综合运用重组、转让、追偿、核销等手段，加快存量风险出清速度等方式防范、化解信用风险，压降信用成本；二是</w:t>
      </w:r>
      <w:r>
        <w:rPr>
          <w:rFonts w:hint="eastAsia" w:ascii="Times New Roman" w:hAnsi="Times New Roman" w:eastAsia="仿宋_GB2312" w:cs="Times New Roman"/>
          <w:b w:val="0"/>
          <w:bCs w:val="0"/>
          <w:color w:val="auto"/>
          <w:sz w:val="30"/>
          <w:szCs w:val="30"/>
          <w:highlight w:val="none"/>
        </w:rPr>
        <w:t>深度融入南昌城市发展战略规划，把握产业升级过程中的发展机遇，加大重点项目信贷投放；构建“网点＋商圈”特色商业模式，实现“链上获客”，</w:t>
      </w:r>
      <w:r>
        <w:rPr>
          <w:rFonts w:hint="eastAsia" w:ascii="Times New Roman" w:hAnsi="Times New Roman" w:eastAsia="仿宋_GB2312" w:cs="Times New Roman"/>
          <w:b w:val="0"/>
          <w:bCs w:val="0"/>
          <w:color w:val="auto"/>
          <w:sz w:val="30"/>
          <w:szCs w:val="30"/>
          <w:highlight w:val="none"/>
          <w:lang w:val="en-US"/>
        </w:rPr>
        <w:t>着力打通上下游产业链，</w:t>
      </w:r>
      <w:r>
        <w:rPr>
          <w:rFonts w:hint="eastAsia" w:ascii="Times New Roman" w:hAnsi="Times New Roman" w:eastAsia="仿宋_GB2312" w:cs="Times New Roman"/>
          <w:b w:val="0"/>
          <w:bCs w:val="0"/>
          <w:color w:val="auto"/>
          <w:sz w:val="30"/>
          <w:szCs w:val="30"/>
          <w:highlight w:val="none"/>
        </w:rPr>
        <w:t>形成“服务闭环”，加快信贷投放</w:t>
      </w:r>
      <w:r>
        <w:rPr>
          <w:rFonts w:hint="eastAsia" w:ascii="Times New Roman" w:hAnsi="Times New Roman" w:eastAsia="仿宋_GB2312" w:cs="Times New Roman"/>
          <w:b w:val="0"/>
          <w:bCs w:val="0"/>
          <w:color w:val="auto"/>
          <w:sz w:val="30"/>
          <w:szCs w:val="30"/>
          <w:highlight w:val="none"/>
          <w:lang w:val="en-US"/>
        </w:rPr>
        <w:t>；</w:t>
      </w:r>
      <w:r>
        <w:rPr>
          <w:rFonts w:hint="eastAsia" w:ascii="Times New Roman" w:hAnsi="Times New Roman" w:eastAsia="仿宋_GB2312" w:cs="Times New Roman"/>
          <w:b w:val="0"/>
          <w:bCs w:val="0"/>
          <w:color w:val="auto"/>
          <w:sz w:val="30"/>
          <w:szCs w:val="30"/>
          <w:highlight w:val="none"/>
          <w:lang w:val="en-US" w:eastAsia="zh-CN"/>
        </w:rPr>
        <w:t>同时</w:t>
      </w:r>
      <w:r>
        <w:rPr>
          <w:rFonts w:hint="eastAsia" w:ascii="Times New Roman" w:hAnsi="Times New Roman" w:eastAsia="仿宋_GB2312" w:cs="Times New Roman"/>
          <w:b w:val="0"/>
          <w:bCs w:val="0"/>
          <w:color w:val="auto"/>
          <w:sz w:val="30"/>
          <w:szCs w:val="30"/>
          <w:highlight w:val="none"/>
        </w:rPr>
        <w:t>优化信贷资产结构配置，加快推进票据贴现转化为有效信贷投放，加大票据转贴现波段交易频率，提高信贷资产收益水平；</w:t>
      </w:r>
      <w:r>
        <w:rPr>
          <w:rFonts w:hint="eastAsia" w:ascii="Times New Roman" w:hAnsi="Times New Roman" w:eastAsia="仿宋_GB2312" w:cs="Times New Roman"/>
          <w:b w:val="0"/>
          <w:bCs w:val="0"/>
          <w:color w:val="auto"/>
          <w:sz w:val="30"/>
          <w:szCs w:val="30"/>
          <w:highlight w:val="none"/>
          <w:lang w:eastAsia="zh-CN"/>
        </w:rPr>
        <w:t>三是</w:t>
      </w:r>
      <w:r>
        <w:rPr>
          <w:rFonts w:hint="eastAsia" w:ascii="Times New Roman" w:hAnsi="Times New Roman" w:eastAsia="仿宋_GB2312" w:cs="Times New Roman"/>
          <w:b w:val="0"/>
          <w:bCs w:val="0"/>
          <w:color w:val="auto"/>
          <w:sz w:val="30"/>
          <w:szCs w:val="30"/>
          <w:highlight w:val="none"/>
        </w:rPr>
        <w:t>持续深耕本土市场，坚守“支农支小”战略定位</w:t>
      </w: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rPr>
        <w:t>用好“普惠小微企业贷款延期还本付息政策和信用贷款支持计划”两项政策工具，通过央行利率互换，增加主营利息收入。</w:t>
      </w:r>
      <w:r>
        <w:rPr>
          <w:rFonts w:hint="eastAsia" w:ascii="Times New Roman" w:hAnsi="Times New Roman" w:eastAsia="仿宋_GB2312" w:cs="Times New Roman"/>
          <w:b w:val="0"/>
          <w:bCs w:val="0"/>
          <w:color w:val="auto"/>
          <w:sz w:val="30"/>
          <w:szCs w:val="30"/>
          <w:highlight w:val="none"/>
          <w:lang w:val="en-US" w:eastAsia="zh-CN"/>
        </w:rPr>
        <w:t>四</w:t>
      </w:r>
      <w:r>
        <w:rPr>
          <w:rFonts w:hint="eastAsia" w:ascii="Times New Roman" w:hAnsi="Times New Roman" w:eastAsia="仿宋_GB2312" w:cs="Times New Roman"/>
          <w:b w:val="0"/>
          <w:bCs w:val="0"/>
          <w:color w:val="auto"/>
          <w:sz w:val="30"/>
          <w:szCs w:val="30"/>
          <w:highlight w:val="none"/>
          <w:lang w:val="en-US"/>
        </w:rPr>
        <w:t>是</w:t>
      </w:r>
      <w:r>
        <w:rPr>
          <w:rFonts w:hint="eastAsia" w:ascii="Times New Roman" w:hAnsi="Times New Roman" w:eastAsia="仿宋_GB2312" w:cs="Times New Roman"/>
          <w:b w:val="0"/>
          <w:bCs w:val="0"/>
          <w:color w:val="auto"/>
          <w:sz w:val="30"/>
          <w:szCs w:val="30"/>
          <w:highlight w:val="none"/>
        </w:rPr>
        <w:t>逐步</w:t>
      </w:r>
      <w:r>
        <w:rPr>
          <w:rFonts w:hint="eastAsia" w:ascii="Times New Roman" w:hAnsi="Times New Roman" w:eastAsia="仿宋_GB2312" w:cs="Times New Roman"/>
          <w:b w:val="0"/>
          <w:bCs w:val="0"/>
          <w:color w:val="auto"/>
          <w:sz w:val="30"/>
          <w:szCs w:val="30"/>
          <w:highlight w:val="none"/>
          <w:lang w:val="en-US" w:eastAsia="zh-CN"/>
        </w:rPr>
        <w:t>压缩期限较长利率较高的存款额度、压降单户议价能力较高的对公存款</w:t>
      </w:r>
      <w:r>
        <w:rPr>
          <w:rFonts w:hint="eastAsia" w:ascii="Times New Roman" w:hAnsi="Times New Roman" w:eastAsia="仿宋_GB2312" w:cs="Times New Roman"/>
          <w:b w:val="0"/>
          <w:bCs w:val="0"/>
          <w:color w:val="auto"/>
          <w:sz w:val="30"/>
          <w:szCs w:val="30"/>
          <w:highlight w:val="none"/>
        </w:rPr>
        <w:t>，同时，通过社保卡、手机银行、聚合支付等低成本资金载体，用好用足“支农”、“支小”再贷款等政策性金融工具，拓宽低成本资金来源，以提高利差息差水平。</w:t>
      </w:r>
      <w:r>
        <w:rPr>
          <w:rFonts w:hint="eastAsia" w:ascii="Times New Roman" w:hAnsi="Times New Roman" w:eastAsia="仿宋_GB2312" w:cs="Times New Roman"/>
          <w:b w:val="0"/>
          <w:bCs w:val="0"/>
          <w:color w:val="auto"/>
          <w:sz w:val="30"/>
          <w:szCs w:val="30"/>
          <w:highlight w:val="none"/>
          <w:lang w:val="en-US" w:eastAsia="zh-CN"/>
        </w:rPr>
        <w:t>五是深入推进精细化管理，</w:t>
      </w:r>
      <w:r>
        <w:rPr>
          <w:rFonts w:hint="eastAsia" w:ascii="Times New Roman" w:hAnsi="Times New Roman" w:eastAsia="仿宋_GB2312" w:cs="Times New Roman"/>
          <w:b w:val="0"/>
          <w:bCs w:val="0"/>
          <w:color w:val="auto"/>
          <w:sz w:val="30"/>
          <w:szCs w:val="30"/>
          <w:highlight w:val="none"/>
        </w:rPr>
        <w:t>严控非刚性、非重点项目支出，</w:t>
      </w:r>
      <w:r>
        <w:rPr>
          <w:rFonts w:hint="eastAsia" w:ascii="Times New Roman" w:hAnsi="Times New Roman" w:eastAsia="仿宋_GB2312" w:cs="Times New Roman"/>
          <w:b w:val="0"/>
          <w:bCs w:val="0"/>
          <w:color w:val="auto"/>
          <w:sz w:val="30"/>
          <w:szCs w:val="30"/>
          <w:highlight w:val="none"/>
          <w:lang w:val="en-US" w:eastAsia="zh-CN"/>
        </w:rPr>
        <w:t>坚持刀刃向内，在产品设计、定价策略、绩效考核、费用管理等方面上推进改革调整，有效激活内生动力，实现降本增效，推动高质量发展。</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default"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根据人行及银保监会相关文件规定，</w:t>
      </w:r>
      <w:r>
        <w:rPr>
          <w:rFonts w:hint="eastAsia" w:ascii="Times New Roman" w:hAnsi="Times New Roman" w:eastAsia="仿宋_GB2312" w:cs="Times New Roman"/>
          <w:b w:val="0"/>
          <w:bCs w:val="0"/>
          <w:color w:val="auto"/>
          <w:sz w:val="30"/>
          <w:szCs w:val="30"/>
          <w:highlight w:val="none"/>
          <w:lang w:eastAsia="zh-CN"/>
        </w:rPr>
        <w:t>资产利润率和资本利润率</w:t>
      </w:r>
      <w:r>
        <w:rPr>
          <w:rFonts w:hint="eastAsia" w:ascii="Times New Roman" w:hAnsi="Times New Roman" w:eastAsia="仿宋_GB2312" w:cs="Times New Roman"/>
          <w:b w:val="0"/>
          <w:bCs w:val="0"/>
          <w:color w:val="auto"/>
          <w:sz w:val="30"/>
          <w:szCs w:val="30"/>
          <w:highlight w:val="none"/>
          <w:lang w:val="en-US" w:eastAsia="zh-CN"/>
        </w:rPr>
        <w:t>不达标不会使公司面临处罚的风险，但会影响公司银保监监管评级及央行评级结果。</w:t>
      </w:r>
      <w:r>
        <w:rPr>
          <w:rFonts w:hint="default" w:ascii="Times New Roman" w:hAnsi="Times New Roman" w:eastAsia="仿宋_GB2312" w:cs="Times New Roman"/>
          <w:b w:val="0"/>
          <w:bCs w:val="0"/>
          <w:color w:val="auto"/>
          <w:sz w:val="30"/>
          <w:szCs w:val="30"/>
          <w:highlight w:val="none"/>
          <w:lang w:val="en-US"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lang w:val="en-US" w:eastAsia="zh-CN"/>
        </w:rPr>
        <w:t>3）</w:t>
      </w:r>
      <w:r>
        <w:rPr>
          <w:rFonts w:hint="eastAsia" w:ascii="Times New Roman" w:hAnsi="Times New Roman" w:eastAsia="仿宋_GB2312" w:cs="Times New Roman"/>
          <w:b w:val="0"/>
          <w:bCs w:val="0"/>
          <w:color w:val="auto"/>
          <w:sz w:val="30"/>
          <w:szCs w:val="30"/>
          <w:highlight w:val="none"/>
          <w:lang w:eastAsia="zh-CN"/>
        </w:rPr>
        <w:t>拨备覆盖率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rPr>
        <w:t>截至报告期各期末，公司拨备覆盖率情况如下：</w:t>
      </w:r>
    </w:p>
    <w:tbl>
      <w:tblPr>
        <w:tblStyle w:val="1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52"/>
        <w:gridCol w:w="2190"/>
        <w:gridCol w:w="2190"/>
        <w:gridCol w:w="21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45" w:type="pct"/>
            <w:tcBorders>
              <w:top w:val="single" w:color="auto" w:sz="12" w:space="0"/>
              <w:left w:val="single" w:color="auto" w:sz="12"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adjustRightInd w:val="0"/>
              <w:snapToGrid w:val="0"/>
              <w:spacing w:before="62" w:beforeLines="20" w:beforeAutospacing="0" w:after="62" w:afterLines="2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rPr>
              <w:t>项目</w:t>
            </w:r>
          </w:p>
        </w:tc>
        <w:tc>
          <w:tcPr>
            <w:tcW w:w="1284"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spacing w:before="0" w:beforeAutospacing="0" w:after="0" w:afterAutospacing="0" w:line="360" w:lineRule="auto"/>
              <w:ind w:left="0" w:right="0"/>
              <w:jc w:val="center"/>
              <w:textAlignment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bidi="ar"/>
              </w:rPr>
              <w:t>2022年9月30日</w:t>
            </w:r>
          </w:p>
        </w:tc>
        <w:tc>
          <w:tcPr>
            <w:tcW w:w="1284"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spacing w:before="0" w:beforeAutospacing="0" w:after="0" w:afterAutospacing="0" w:line="360" w:lineRule="auto"/>
              <w:ind w:left="0" w:right="0"/>
              <w:jc w:val="center"/>
              <w:textAlignment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bidi="ar"/>
              </w:rPr>
              <w:t>2021年12月31日</w:t>
            </w:r>
          </w:p>
        </w:tc>
        <w:tc>
          <w:tcPr>
            <w:tcW w:w="1284" w:type="pct"/>
            <w:tcBorders>
              <w:top w:val="single" w:color="auto" w:sz="12" w:space="0"/>
              <w:left w:val="single" w:color="auto" w:sz="4" w:space="0"/>
              <w:bottom w:val="single" w:color="auto" w:sz="4" w:space="0"/>
              <w:right w:val="single" w:color="auto" w:sz="12" w:space="0"/>
            </w:tcBorders>
            <w:noWrap w:val="0"/>
            <w:vAlign w:val="center"/>
          </w:tcPr>
          <w:p>
            <w:pPr>
              <w:keepNext w:val="0"/>
              <w:keepLines w:val="0"/>
              <w:pageBreakBefore w:val="0"/>
              <w:widowControl/>
              <w:suppressLineNumbers w:val="0"/>
              <w:kinsoku/>
              <w:overflowPunct/>
              <w:topLinePunct w:val="0"/>
              <w:bidi w:val="0"/>
              <w:spacing w:before="0" w:beforeAutospacing="0" w:after="0" w:afterAutospacing="0" w:line="360" w:lineRule="auto"/>
              <w:ind w:left="0" w:right="0"/>
              <w:jc w:val="center"/>
              <w:textAlignment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bidi="ar"/>
              </w:rPr>
              <w:t>2020年12月31日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145" w:type="pct"/>
            <w:tcBorders>
              <w:top w:val="single" w:color="auto" w:sz="4" w:space="0"/>
              <w:left w:val="single" w:color="auto" w:sz="12" w:space="0"/>
              <w:bottom w:val="single" w:color="auto" w:sz="12" w:space="0"/>
              <w:right w:val="single" w:color="auto" w:sz="4" w:space="0"/>
            </w:tcBorders>
            <w:shd w:val="clear" w:color="auto" w:fill="auto"/>
            <w:noWrap w:val="0"/>
            <w:vAlign w:val="center"/>
          </w:tcPr>
          <w:p>
            <w:pPr>
              <w:keepNext w:val="0"/>
              <w:keepLines w:val="0"/>
              <w:pageBreakBefore w:val="0"/>
              <w:widowControl/>
              <w:suppressLineNumbers w:val="0"/>
              <w:kinsoku/>
              <w:overflowPunct/>
              <w:topLinePunct w:val="0"/>
              <w:bidi w:val="0"/>
              <w:adjustRightInd w:val="0"/>
              <w:snapToGrid w:val="0"/>
              <w:spacing w:before="62" w:beforeLines="20" w:beforeAutospacing="0" w:after="62" w:afterLines="20" w:afterAutospacing="0" w:line="360" w:lineRule="auto"/>
              <w:ind w:left="0" w:right="0"/>
              <w:jc w:val="left"/>
              <w:rPr>
                <w:rFonts w:hint="eastAsia" w:ascii="宋体" w:hAnsi="宋体" w:eastAsia="宋体" w:cs="宋体"/>
                <w:kern w:val="0"/>
                <w:sz w:val="24"/>
                <w:szCs w:val="24"/>
              </w:rPr>
            </w:pPr>
            <w:r>
              <w:rPr>
                <w:rFonts w:hint="eastAsia" w:ascii="宋体" w:hAnsi="宋体" w:eastAsia="宋体" w:cs="宋体"/>
                <w:kern w:val="0"/>
                <w:sz w:val="24"/>
                <w:szCs w:val="24"/>
              </w:rPr>
              <w:t>拔备覆盖率（%）</w:t>
            </w:r>
          </w:p>
        </w:tc>
        <w:tc>
          <w:tcPr>
            <w:tcW w:w="1284" w:type="pct"/>
            <w:tcBorders>
              <w:top w:val="single" w:color="auto" w:sz="4" w:space="0"/>
              <w:left w:val="single" w:color="auto" w:sz="4" w:space="0"/>
              <w:bottom w:val="single" w:color="auto" w:sz="12" w:space="0"/>
              <w:right w:val="single" w:color="auto" w:sz="4" w:space="0"/>
            </w:tcBorders>
            <w:shd w:val="clear" w:color="auto" w:fill="FFFFFF"/>
            <w:noWrap w:val="0"/>
            <w:vAlign w:val="top"/>
          </w:tcPr>
          <w:p>
            <w:pPr>
              <w:keepNext w:val="0"/>
              <w:keepLines w:val="0"/>
              <w:pageBreakBefore w:val="0"/>
              <w:widowControl/>
              <w:suppressLineNumbers w:val="0"/>
              <w:kinsoku/>
              <w:overflowPunct/>
              <w:topLinePunct w:val="0"/>
              <w:autoSpaceDN w:val="0"/>
              <w:bidi w:val="0"/>
              <w:spacing w:before="62" w:beforeLines="20" w:beforeAutospacing="0" w:after="62" w:afterLines="20" w:afterAutospacing="0" w:line="360" w:lineRule="auto"/>
              <w:ind w:left="0" w:right="0"/>
              <w:jc w:val="right"/>
              <w:textAlignment w:val="center"/>
              <w:rPr>
                <w:rFonts w:hint="eastAsia" w:ascii="宋体" w:hAnsi="宋体" w:eastAsia="宋体" w:cs="宋体"/>
                <w:kern w:val="0"/>
                <w:sz w:val="24"/>
                <w:szCs w:val="24"/>
              </w:rPr>
            </w:pPr>
            <w:r>
              <w:rPr>
                <w:rFonts w:hint="eastAsia" w:ascii="宋体" w:hAnsi="宋体" w:eastAsia="宋体" w:cs="宋体"/>
                <w:kern w:val="0"/>
                <w:sz w:val="24"/>
                <w:szCs w:val="24"/>
              </w:rPr>
              <w:t>65.85</w:t>
            </w:r>
          </w:p>
        </w:tc>
        <w:tc>
          <w:tcPr>
            <w:tcW w:w="1284" w:type="pct"/>
            <w:tcBorders>
              <w:top w:val="single" w:color="auto" w:sz="4" w:space="0"/>
              <w:left w:val="single" w:color="auto" w:sz="4" w:space="0"/>
              <w:bottom w:val="single" w:color="auto" w:sz="12" w:space="0"/>
              <w:right w:val="single" w:color="auto" w:sz="4" w:space="0"/>
            </w:tcBorders>
            <w:shd w:val="clear" w:color="auto" w:fill="FFFFFF"/>
            <w:noWrap w:val="0"/>
            <w:vAlign w:val="top"/>
          </w:tcPr>
          <w:p>
            <w:pPr>
              <w:keepNext w:val="0"/>
              <w:keepLines w:val="0"/>
              <w:pageBreakBefore w:val="0"/>
              <w:widowControl/>
              <w:suppressLineNumbers w:val="0"/>
              <w:kinsoku/>
              <w:overflowPunct/>
              <w:topLinePunct w:val="0"/>
              <w:autoSpaceDN w:val="0"/>
              <w:bidi w:val="0"/>
              <w:spacing w:before="62" w:beforeLines="20" w:beforeAutospacing="0" w:after="62" w:afterLines="20" w:afterAutospacing="0" w:line="360" w:lineRule="auto"/>
              <w:ind w:left="0" w:right="0"/>
              <w:jc w:val="right"/>
              <w:textAlignment w:val="center"/>
              <w:rPr>
                <w:rFonts w:hint="eastAsia" w:ascii="宋体" w:hAnsi="宋体" w:eastAsia="宋体" w:cs="宋体"/>
                <w:kern w:val="0"/>
                <w:sz w:val="24"/>
                <w:szCs w:val="24"/>
              </w:rPr>
            </w:pPr>
            <w:r>
              <w:rPr>
                <w:rFonts w:hint="eastAsia" w:ascii="宋体" w:hAnsi="宋体" w:eastAsia="宋体" w:cs="宋体"/>
                <w:kern w:val="0"/>
                <w:sz w:val="24"/>
                <w:szCs w:val="24"/>
              </w:rPr>
              <w:t>96.37</w:t>
            </w:r>
          </w:p>
        </w:tc>
        <w:tc>
          <w:tcPr>
            <w:tcW w:w="1284" w:type="pct"/>
            <w:tcBorders>
              <w:top w:val="single" w:color="auto" w:sz="4" w:space="0"/>
              <w:left w:val="single" w:color="auto" w:sz="4" w:space="0"/>
              <w:bottom w:val="single" w:color="auto" w:sz="12" w:space="0"/>
              <w:right w:val="single" w:color="auto" w:sz="12" w:space="0"/>
            </w:tcBorders>
            <w:shd w:val="clear" w:color="auto" w:fill="FFFFFF"/>
            <w:noWrap w:val="0"/>
            <w:vAlign w:val="top"/>
          </w:tcPr>
          <w:p>
            <w:pPr>
              <w:keepNext w:val="0"/>
              <w:keepLines w:val="0"/>
              <w:pageBreakBefore w:val="0"/>
              <w:widowControl/>
              <w:suppressLineNumbers w:val="0"/>
              <w:kinsoku/>
              <w:overflowPunct/>
              <w:topLinePunct w:val="0"/>
              <w:autoSpaceDN w:val="0"/>
              <w:bidi w:val="0"/>
              <w:spacing w:before="62" w:beforeLines="20" w:beforeAutospacing="0" w:after="62" w:afterLines="20" w:afterAutospacing="0" w:line="360" w:lineRule="auto"/>
              <w:ind w:left="0" w:right="0"/>
              <w:jc w:val="right"/>
              <w:textAlignment w:val="center"/>
              <w:rPr>
                <w:rFonts w:hint="eastAsia" w:ascii="宋体" w:hAnsi="宋体" w:eastAsia="宋体" w:cs="宋体"/>
                <w:kern w:val="0"/>
                <w:sz w:val="24"/>
                <w:szCs w:val="24"/>
              </w:rPr>
            </w:pPr>
            <w:r>
              <w:rPr>
                <w:rFonts w:hint="eastAsia" w:ascii="宋体" w:hAnsi="宋体" w:eastAsia="宋体" w:cs="宋体"/>
                <w:kern w:val="0"/>
                <w:sz w:val="24"/>
                <w:szCs w:val="24"/>
              </w:rPr>
              <w:t>151.36</w:t>
            </w:r>
          </w:p>
        </w:tc>
      </w:tr>
    </w:tbl>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rPr>
        <w:t>2020年12月31日、2021年12月31日和2022年9月30日，公司拨备覆盖率分别为151.36%、96.37%和65.85%，监管要求&gt;=150%，2021年度和2022年三季度没有达到监管要求。</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rPr>
        <w:t>公司已经在《定向发行说明书》之“一、本公司基本信息/（五）公司最近两年及一期主要财务数据、监管指标及变动分析/2、主要监管指标及分析/（</w:t>
      </w:r>
      <w:r>
        <w:rPr>
          <w:rFonts w:hint="eastAsia" w:ascii="Times New Roman" w:hAnsi="Times New Roman" w:eastAsia="仿宋_GB2312" w:cs="Times New Roman"/>
          <w:b w:val="0"/>
          <w:bCs w:val="0"/>
          <w:color w:val="auto"/>
          <w:sz w:val="30"/>
          <w:szCs w:val="30"/>
          <w:highlight w:val="none"/>
          <w:lang w:val="en-US" w:eastAsia="zh-CN"/>
        </w:rPr>
        <w:t>7</w:t>
      </w:r>
      <w:r>
        <w:rPr>
          <w:rFonts w:hint="eastAsia" w:ascii="Times New Roman" w:hAnsi="Times New Roman" w:eastAsia="仿宋_GB2312" w:cs="Times New Roman"/>
          <w:b w:val="0"/>
          <w:bCs w:val="0"/>
          <w:color w:val="auto"/>
          <w:sz w:val="30"/>
          <w:szCs w:val="30"/>
          <w:highlight w:val="none"/>
        </w:rPr>
        <w:t>）贷款拨备率和拨备覆盖率”中补充披露如下：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default" w:ascii="Times New Roman" w:hAnsi="Times New Roman" w:eastAsia="仿宋_GB2312" w:cs="Times New Roman"/>
          <w:b w:val="0"/>
          <w:bCs w:val="0"/>
          <w:color w:val="auto"/>
          <w:sz w:val="30"/>
          <w:szCs w:val="30"/>
          <w:highlight w:val="none"/>
          <w:lang w:val="en-US" w:eastAsia="zh-CN"/>
        </w:rPr>
        <w:t>“</w:t>
      </w:r>
      <w:r>
        <w:rPr>
          <w:rFonts w:hint="eastAsia" w:ascii="Times New Roman" w:hAnsi="Times New Roman" w:eastAsia="仿宋_GB2312" w:cs="Times New Roman"/>
          <w:b w:val="0"/>
          <w:bCs w:val="0"/>
          <w:color w:val="auto"/>
          <w:sz w:val="30"/>
          <w:szCs w:val="30"/>
          <w:highlight w:val="none"/>
          <w:lang w:val="en-US" w:eastAsia="zh-CN"/>
        </w:rPr>
        <w:t>该指标不达标的主要原因为：</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rPr>
        <w:t>不良贷款持续反弹导致贷款损失准备计提不充分</w:t>
      </w: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rPr>
        <w:t>2020年以来，受国内疫情反复、国家宏观政策调整及经济整体运行趋势等因素多重影响，公司长期积累下来的优质客户其生产经营也出现了不同程度的变化，部分面临利润减少、资金链紧张等困难。南昌市疫情反弹已对客户履约能力造成了生产经营受阻的负面影响，使得公司的贷款质量出现下滑，不良贷款反弹趋势加快</w:t>
      </w:r>
      <w:r>
        <w:rPr>
          <w:rFonts w:hint="eastAsia" w:ascii="Times New Roman" w:hAnsi="Times New Roman" w:eastAsia="仿宋_GB2312" w:cs="Times New Roman"/>
          <w:b w:val="0"/>
          <w:bCs w:val="0"/>
          <w:color w:val="auto"/>
          <w:sz w:val="30"/>
          <w:szCs w:val="30"/>
          <w:highlight w:val="none"/>
          <w:lang w:eastAsia="zh-CN"/>
        </w:rPr>
        <w:t>，导致</w:t>
      </w:r>
      <w:r>
        <w:rPr>
          <w:rFonts w:hint="eastAsia" w:ascii="Times New Roman" w:hAnsi="Times New Roman" w:eastAsia="仿宋_GB2312" w:cs="Times New Roman"/>
          <w:b w:val="0"/>
          <w:bCs w:val="0"/>
          <w:color w:val="auto"/>
          <w:sz w:val="30"/>
          <w:szCs w:val="30"/>
          <w:highlight w:val="none"/>
          <w:lang w:val="en-US" w:eastAsia="zh-CN"/>
        </w:rPr>
        <w:t>2020年</w:t>
      </w:r>
      <w:r>
        <w:rPr>
          <w:rFonts w:hint="eastAsia" w:ascii="Times New Roman" w:hAnsi="Times New Roman" w:eastAsia="仿宋_GB2312" w:cs="Times New Roman"/>
          <w:b w:val="0"/>
          <w:bCs w:val="0"/>
          <w:color w:val="auto"/>
          <w:sz w:val="30"/>
          <w:szCs w:val="30"/>
          <w:highlight w:val="none"/>
          <w:lang w:eastAsia="zh-CN"/>
        </w:rPr>
        <w:t>延期还本付息贷款中部分形成了不良，风险延迟在</w:t>
      </w:r>
      <w:r>
        <w:rPr>
          <w:rFonts w:hint="eastAsia" w:ascii="Times New Roman" w:hAnsi="Times New Roman" w:eastAsia="仿宋_GB2312" w:cs="Times New Roman"/>
          <w:b w:val="0"/>
          <w:bCs w:val="0"/>
          <w:color w:val="auto"/>
          <w:sz w:val="30"/>
          <w:szCs w:val="30"/>
          <w:highlight w:val="none"/>
          <w:lang w:val="en-US" w:eastAsia="zh-CN"/>
        </w:rPr>
        <w:t>2021及2022年集中暴露。</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下一步</w:t>
      </w:r>
      <w:r>
        <w:rPr>
          <w:rFonts w:hint="eastAsia" w:ascii="Times New Roman" w:hAnsi="Times New Roman" w:eastAsia="仿宋_GB2312" w:cs="Times New Roman"/>
          <w:b w:val="0"/>
          <w:bCs w:val="0"/>
          <w:color w:val="auto"/>
          <w:sz w:val="30"/>
          <w:szCs w:val="30"/>
          <w:highlight w:val="none"/>
          <w:lang w:val="zh-CN"/>
        </w:rPr>
        <w:t>公司将采取多种手段积极应对、统筹部署，多措并举化解不良风险，</w:t>
      </w:r>
      <w:r>
        <w:rPr>
          <w:rFonts w:hint="eastAsia" w:ascii="Times New Roman" w:hAnsi="Times New Roman" w:eastAsia="仿宋_GB2312" w:cs="Times New Roman"/>
          <w:b w:val="0"/>
          <w:bCs w:val="0"/>
          <w:color w:val="auto"/>
          <w:sz w:val="30"/>
          <w:szCs w:val="30"/>
          <w:highlight w:val="none"/>
          <w:lang w:val="en-US" w:eastAsia="zh-CN"/>
        </w:rPr>
        <w:t>使公司保持可持续发展的态势：一是</w:t>
      </w:r>
      <w:r>
        <w:rPr>
          <w:rFonts w:hint="eastAsia" w:ascii="Times New Roman" w:hAnsi="Times New Roman" w:eastAsia="仿宋_GB2312" w:cs="Times New Roman"/>
          <w:b w:val="0"/>
          <w:bCs w:val="0"/>
          <w:color w:val="auto"/>
          <w:sz w:val="30"/>
          <w:szCs w:val="30"/>
          <w:highlight w:val="none"/>
        </w:rPr>
        <w:t>针对表内500万元以上大额不良贷款，由行领导亲自调度，逐户确定挂点领导</w:t>
      </w: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rPr>
        <w:t>确保处置工作有力推进</w:t>
      </w:r>
      <w:r>
        <w:rPr>
          <w:rFonts w:hint="eastAsia" w:ascii="Times New Roman" w:hAnsi="Times New Roman" w:eastAsia="仿宋_GB2312" w:cs="Times New Roman"/>
          <w:b w:val="0"/>
          <w:bCs w:val="0"/>
          <w:color w:val="auto"/>
          <w:sz w:val="30"/>
          <w:szCs w:val="30"/>
          <w:highlight w:val="none"/>
          <w:lang w:eastAsia="zh-CN"/>
        </w:rPr>
        <w:t>；二是</w:t>
      </w:r>
      <w:r>
        <w:rPr>
          <w:rFonts w:hint="eastAsia" w:ascii="Times New Roman" w:hAnsi="Times New Roman" w:eastAsia="仿宋_GB2312" w:cs="Times New Roman"/>
          <w:b w:val="0"/>
          <w:bCs w:val="0"/>
          <w:color w:val="auto"/>
          <w:sz w:val="30"/>
          <w:szCs w:val="30"/>
          <w:highlight w:val="none"/>
        </w:rPr>
        <w:t>持续强化贷款监测管理。关注类贷款逐户建立工作台账，明确清收责任和清收期限，防止不良贷款反弹压力</w:t>
      </w: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rPr>
        <w:t>三是每月提前下发当月到期贷款明细，提示各支行要加强到期贷款管理，提前催促落实到期贷款还款资金，严防贷款到期无法还款而倒逼展期、借新还旧的情形发生。</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根据人行及银保监会相关文件规定，</w:t>
      </w:r>
      <w:r>
        <w:rPr>
          <w:rFonts w:hint="eastAsia" w:ascii="Times New Roman" w:hAnsi="Times New Roman" w:eastAsia="仿宋_GB2312" w:cs="Times New Roman"/>
          <w:b w:val="0"/>
          <w:bCs w:val="0"/>
          <w:color w:val="auto"/>
          <w:sz w:val="30"/>
          <w:szCs w:val="30"/>
          <w:highlight w:val="none"/>
          <w:lang w:eastAsia="zh-CN"/>
        </w:rPr>
        <w:t>拨备覆盖率</w:t>
      </w:r>
      <w:r>
        <w:rPr>
          <w:rFonts w:hint="eastAsia" w:ascii="Times New Roman" w:hAnsi="Times New Roman" w:eastAsia="仿宋_GB2312" w:cs="Times New Roman"/>
          <w:b w:val="0"/>
          <w:bCs w:val="0"/>
          <w:color w:val="auto"/>
          <w:sz w:val="30"/>
          <w:szCs w:val="30"/>
          <w:highlight w:val="none"/>
          <w:lang w:val="en-US" w:eastAsia="zh-CN"/>
        </w:rPr>
        <w:t>不达标不会使公司面临处罚的风险，但会影响公司银保监监管评级及央行评级结果。</w:t>
      </w:r>
      <w:r>
        <w:rPr>
          <w:rFonts w:hint="default" w:ascii="Times New Roman" w:hAnsi="Times New Roman" w:eastAsia="仿宋_GB2312" w:cs="Times New Roman"/>
          <w:b w:val="0"/>
          <w:bCs w:val="0"/>
          <w:color w:val="auto"/>
          <w:sz w:val="30"/>
          <w:szCs w:val="30"/>
          <w:highlight w:val="none"/>
          <w:lang w:val="en-US"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rPr>
        <w:t>公司已经在《定向发行说明书》之“重大事项提示/二、</w:t>
      </w:r>
      <w:r>
        <w:rPr>
          <w:rFonts w:hint="eastAsia" w:ascii="Times New Roman" w:hAnsi="Times New Roman" w:eastAsia="仿宋_GB2312" w:cs="Times New Roman"/>
          <w:b w:val="0"/>
          <w:bCs w:val="0"/>
          <w:color w:val="auto"/>
          <w:sz w:val="30"/>
          <w:szCs w:val="30"/>
          <w:highlight w:val="none"/>
          <w:lang w:val="en-US" w:eastAsia="zh-CN"/>
        </w:rPr>
        <w:t>部分监管指标</w:t>
      </w:r>
      <w:r>
        <w:rPr>
          <w:rFonts w:hint="eastAsia" w:ascii="Times New Roman" w:hAnsi="Times New Roman" w:eastAsia="仿宋_GB2312" w:cs="Times New Roman"/>
          <w:b w:val="0"/>
          <w:bCs w:val="0"/>
          <w:color w:val="auto"/>
          <w:sz w:val="30"/>
          <w:szCs w:val="30"/>
          <w:highlight w:val="none"/>
        </w:rPr>
        <w:t>未达标”中对申请人持续经营能力的影响，是否存在被监管机构采取监管措施或者行政处罚的风险，并就可能存在的风险进行揭示</w:t>
      </w:r>
      <w:r>
        <w:rPr>
          <w:rFonts w:hint="eastAsia" w:ascii="Times New Roman" w:hAnsi="Times New Roman" w:eastAsia="仿宋_GB2312" w:cs="Times New Roman"/>
          <w:b w:val="0"/>
          <w:bCs w:val="0"/>
          <w:color w:val="auto"/>
          <w:sz w:val="30"/>
          <w:szCs w:val="30"/>
          <w:highlight w:val="none"/>
          <w:lang w:val="en-US" w:eastAsia="zh-CN"/>
        </w:rPr>
        <w:t>如下</w:t>
      </w:r>
      <w:r>
        <w:rPr>
          <w:rFonts w:hint="eastAsia" w:ascii="Times New Roman" w:hAnsi="Times New Roman" w:eastAsia="仿宋_GB2312" w:cs="Times New Roman"/>
          <w:b w:val="0"/>
          <w:bCs w:val="0"/>
          <w:color w:val="auto"/>
          <w:sz w:val="30"/>
          <w:szCs w:val="30"/>
          <w:highlight w:val="none"/>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rPr>
        <w:t>（</w:t>
      </w:r>
      <w:r>
        <w:rPr>
          <w:rFonts w:hint="eastAsia" w:ascii="Times New Roman" w:hAnsi="Times New Roman" w:eastAsia="仿宋_GB2312" w:cs="Times New Roman"/>
          <w:b w:val="0"/>
          <w:bCs w:val="0"/>
          <w:color w:val="auto"/>
          <w:sz w:val="30"/>
          <w:szCs w:val="30"/>
          <w:highlight w:val="none"/>
          <w:lang w:val="en-US" w:eastAsia="zh-CN"/>
        </w:rPr>
        <w:t>1</w:t>
      </w:r>
      <w:r>
        <w:rPr>
          <w:rFonts w:hint="eastAsia" w:ascii="Times New Roman" w:hAnsi="Times New Roman" w:eastAsia="仿宋_GB2312" w:cs="Times New Roman"/>
          <w:b w:val="0"/>
          <w:bCs w:val="0"/>
          <w:color w:val="auto"/>
          <w:sz w:val="30"/>
          <w:szCs w:val="30"/>
          <w:highlight w:val="none"/>
        </w:rPr>
        <w:t>）成本收入比</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rPr>
      </w:pPr>
      <w:r>
        <w:rPr>
          <w:rFonts w:hint="eastAsia" w:ascii="Times New Roman" w:hAnsi="Times New Roman" w:eastAsia="仿宋_GB2312" w:cs="Times New Roman"/>
          <w:b w:val="0"/>
          <w:bCs w:val="0"/>
          <w:color w:val="auto"/>
          <w:sz w:val="30"/>
          <w:szCs w:val="30"/>
          <w:highlight w:val="none"/>
        </w:rPr>
        <w:t>2020年12月31日、2021年12月31日和2022年9月30日，公司收入成本比分别为32.05%、33.39%和37.45%，2022年9月末不符合监管指标。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lang w:val="en-US" w:eastAsia="zh-CN"/>
        </w:rPr>
        <w:t>2）</w:t>
      </w:r>
      <w:r>
        <w:rPr>
          <w:rFonts w:hint="eastAsia" w:ascii="Times New Roman" w:hAnsi="Times New Roman" w:eastAsia="仿宋_GB2312" w:cs="Times New Roman"/>
          <w:b w:val="0"/>
          <w:bCs w:val="0"/>
          <w:color w:val="auto"/>
          <w:sz w:val="30"/>
          <w:szCs w:val="30"/>
          <w:highlight w:val="none"/>
          <w:lang w:eastAsia="zh-CN"/>
        </w:rPr>
        <w:t>资产利润率和资本利润率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rPr>
        <w:t>2020年12月31日、2021年12月31日和2022年9月30日，公司资产利润率分别为0.73%、0%和0%，2021年12月末和2022年9月末资产利润率低于监管红线0.6%；公司资本利润率分别为8.06%、0.03%和0.04%，2020年12月末、2021年12月末和2022年9月30日，资本利润率低于监管红线11%</w:t>
      </w:r>
      <w:r>
        <w:rPr>
          <w:rFonts w:hint="eastAsia" w:ascii="Times New Roman" w:hAnsi="Times New Roman" w:eastAsia="仿宋_GB2312" w:cs="Times New Roman"/>
          <w:b w:val="0"/>
          <w:bCs w:val="0"/>
          <w:color w:val="auto"/>
          <w:sz w:val="30"/>
          <w:szCs w:val="30"/>
          <w:highlight w:val="none"/>
          <w:lang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eastAsia="zh-CN"/>
        </w:rPr>
        <w:t>（</w:t>
      </w:r>
      <w:r>
        <w:rPr>
          <w:rFonts w:hint="eastAsia" w:ascii="Times New Roman" w:hAnsi="Times New Roman" w:eastAsia="仿宋_GB2312" w:cs="Times New Roman"/>
          <w:b w:val="0"/>
          <w:bCs w:val="0"/>
          <w:color w:val="auto"/>
          <w:sz w:val="30"/>
          <w:szCs w:val="30"/>
          <w:highlight w:val="none"/>
          <w:lang w:val="en-US" w:eastAsia="zh-CN"/>
        </w:rPr>
        <w:t>3）</w:t>
      </w:r>
      <w:r>
        <w:rPr>
          <w:rFonts w:hint="eastAsia" w:ascii="Times New Roman" w:hAnsi="Times New Roman" w:eastAsia="仿宋_GB2312" w:cs="Times New Roman"/>
          <w:b w:val="0"/>
          <w:bCs w:val="0"/>
          <w:color w:val="auto"/>
          <w:sz w:val="30"/>
          <w:szCs w:val="30"/>
          <w:highlight w:val="none"/>
          <w:lang w:eastAsia="zh-CN"/>
        </w:rPr>
        <w:t>拨备覆盖率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eastAsia="zh-CN"/>
        </w:rPr>
      </w:pPr>
      <w:r>
        <w:rPr>
          <w:rFonts w:hint="eastAsia" w:ascii="Times New Roman" w:hAnsi="Times New Roman" w:eastAsia="仿宋_GB2312" w:cs="Times New Roman"/>
          <w:b w:val="0"/>
          <w:bCs w:val="0"/>
          <w:color w:val="auto"/>
          <w:sz w:val="30"/>
          <w:szCs w:val="30"/>
          <w:highlight w:val="none"/>
        </w:rPr>
        <w:t>2020年12月31日、2021年12月31日和2022年9月30日，公司拨备覆盖率分别为151.36%、96.37%和65.85%，监管要求&gt;=150%，2021年度和2022年三季度没有达到监管要求。</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left"/>
        <w:textAlignment w:val="auto"/>
        <w:rPr>
          <w:rFonts w:hint="eastAsia" w:ascii="Times New Roman" w:hAnsi="Times New Roman" w:eastAsia="仿宋_GB2312" w:cs="Times New Roman"/>
          <w:b w:val="0"/>
          <w:bCs w:val="0"/>
          <w:color w:val="auto"/>
          <w:sz w:val="30"/>
          <w:szCs w:val="30"/>
          <w:highlight w:val="none"/>
          <w:lang w:val="en-US" w:eastAsia="zh-CN"/>
        </w:rPr>
      </w:pPr>
      <w:r>
        <w:rPr>
          <w:rFonts w:hint="eastAsia" w:ascii="Times New Roman" w:hAnsi="Times New Roman" w:eastAsia="仿宋_GB2312" w:cs="Times New Roman"/>
          <w:b w:val="0"/>
          <w:bCs w:val="0"/>
          <w:color w:val="auto"/>
          <w:sz w:val="30"/>
          <w:szCs w:val="30"/>
          <w:highlight w:val="none"/>
          <w:lang w:val="en-US" w:eastAsia="zh-CN"/>
        </w:rPr>
        <w:t>根据人行及银保监会相关文件规定，以上指标不达标不会使公司面临处罚的风险，但会影响公司银保监监管评级及央行评级结果。”</w:t>
      </w:r>
    </w:p>
    <w:p>
      <w:pPr>
        <w:keepNext w:val="0"/>
        <w:keepLines w:val="0"/>
        <w:pageBreakBefore w:val="0"/>
        <w:widowControl/>
        <w:numPr>
          <w:ilvl w:val="0"/>
          <w:numId w:val="0"/>
        </w:numPr>
        <w:tabs>
          <w:tab w:val="left" w:pos="811"/>
        </w:tabs>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b w:val="0"/>
          <w:bCs w:val="0"/>
          <w:sz w:val="30"/>
          <w:szCs w:val="30"/>
          <w:highlight w:val="none"/>
          <w:lang w:eastAsia="zh-CN"/>
        </w:rPr>
      </w:pPr>
      <w:r>
        <w:rPr>
          <w:rFonts w:hint="default" w:ascii="Times New Roman" w:hAnsi="Times New Roman" w:eastAsia="仿宋_GB2312" w:cs="Times New Roman"/>
          <w:b w:val="0"/>
          <w:bCs w:val="0"/>
          <w:sz w:val="30"/>
          <w:szCs w:val="30"/>
          <w:highlight w:val="none"/>
          <w:lang w:eastAsia="zh-CN"/>
        </w:rPr>
        <w:t>申请人</w:t>
      </w:r>
      <w:r>
        <w:rPr>
          <w:rFonts w:hint="eastAsia" w:ascii="Times New Roman" w:hAnsi="Times New Roman" w:eastAsia="仿宋_GB2312" w:cs="Times New Roman"/>
          <w:b w:val="0"/>
          <w:bCs w:val="0"/>
          <w:sz w:val="30"/>
          <w:szCs w:val="30"/>
          <w:highlight w:val="none"/>
          <w:lang w:eastAsia="zh-CN"/>
        </w:rPr>
        <w:t>律师</w:t>
      </w:r>
      <w:r>
        <w:rPr>
          <w:rFonts w:hint="default" w:ascii="Times New Roman" w:hAnsi="Times New Roman" w:eastAsia="仿宋_GB2312" w:cs="Times New Roman"/>
          <w:b w:val="0"/>
          <w:bCs w:val="0"/>
          <w:sz w:val="30"/>
          <w:szCs w:val="30"/>
          <w:highlight w:val="none"/>
          <w:lang w:eastAsia="zh-CN"/>
        </w:rPr>
        <w:t>及申报会计师对上述事项发表了明确意见。</w:t>
      </w:r>
    </w:p>
    <w:p>
      <w:pPr>
        <w:pStyle w:val="4"/>
        <w:spacing w:line="240" w:lineRule="auto"/>
        <w:ind w:firstLine="602" w:firstLineChars="200"/>
        <w:outlineLvl w:val="1"/>
        <w:rPr>
          <w:rFonts w:hint="default" w:ascii="Times New Roman" w:hAnsi="Times New Roman" w:eastAsia="楷体_GB2312" w:cs="Times New Roman"/>
          <w:b/>
          <w:bCs w:val="0"/>
          <w:color w:val="auto"/>
          <w:sz w:val="30"/>
          <w:szCs w:val="22"/>
          <w:highlight w:val="none"/>
        </w:rPr>
      </w:pPr>
      <w:r>
        <w:rPr>
          <w:rFonts w:hint="default" w:ascii="Times New Roman" w:hAnsi="Times New Roman" w:eastAsia="楷体_GB2312" w:cs="Times New Roman"/>
          <w:b/>
          <w:bCs w:val="0"/>
          <w:color w:val="auto"/>
          <w:sz w:val="30"/>
          <w:szCs w:val="22"/>
          <w:highlight w:val="none"/>
        </w:rPr>
        <w:t>（二）</w:t>
      </w:r>
      <w:r>
        <w:rPr>
          <w:rFonts w:hint="default" w:ascii="Times New Roman" w:hAnsi="Times New Roman" w:eastAsia="楷体_GB2312" w:cs="Times New Roman"/>
          <w:b/>
          <w:bCs w:val="0"/>
          <w:color w:val="auto"/>
          <w:sz w:val="30"/>
          <w:szCs w:val="22"/>
          <w:highlight w:val="none"/>
        </w:rPr>
        <w:t>关于净利润波动较大</w:t>
      </w:r>
    </w:p>
    <w:p>
      <w:pPr>
        <w:pStyle w:val="2"/>
        <w:keepNext w:val="0"/>
        <w:keepLines w:val="0"/>
        <w:pageBreakBefore w:val="0"/>
        <w:widowControl w:val="0"/>
        <w:kinsoku/>
        <w:wordWrap/>
        <w:overflowPunct/>
        <w:topLinePunct w:val="0"/>
        <w:autoSpaceDE/>
        <w:autoSpaceDN/>
        <w:bidi w:val="0"/>
        <w:adjustRightInd/>
        <w:snapToGrid/>
        <w:spacing w:before="0"/>
        <w:ind w:left="0" w:firstLine="600" w:firstLineChars="200"/>
        <w:textAlignment w:val="auto"/>
        <w:rPr>
          <w:rFonts w:hint="default" w:ascii="Times New Roman" w:hAnsi="Times New Roman" w:eastAsia="仿宋_GB2312" w:cs="Times New Roman"/>
          <w:b w:val="0"/>
          <w:bCs w:val="0"/>
          <w:color w:val="auto"/>
          <w:kern w:val="2"/>
          <w:sz w:val="30"/>
          <w:szCs w:val="30"/>
          <w:highlight w:val="none"/>
          <w:lang w:val="en-US" w:eastAsia="zh-CN" w:bidi="ar-SA"/>
        </w:rPr>
      </w:pPr>
      <w:r>
        <w:rPr>
          <w:rFonts w:hint="default" w:ascii="Times New Roman" w:hAnsi="Times New Roman" w:eastAsia="仿宋_GB2312" w:cs="Times New Roman"/>
          <w:b w:val="0"/>
          <w:bCs w:val="0"/>
          <w:color w:val="auto"/>
          <w:kern w:val="2"/>
          <w:sz w:val="30"/>
          <w:szCs w:val="30"/>
          <w:highlight w:val="none"/>
          <w:lang w:val="en-US" w:eastAsia="zh-CN" w:bidi="ar-SA"/>
        </w:rPr>
        <w:t>根据申请材料，申请人报告期内（2020年至2022年1-9月）净利润分别为45,887.48万元、141.28万元、207.92万元，净利润波动较大。请申请人补充披露：（1）报告期内净利润变动较大的具体原因；（2）报告期会计政策和会计估计是否发生重大变化，如有，请说明具体情况及对净利润影响；（3）财务报表是否真实反应公司的财务状况和经营成果。请会计师核查并发表明确意见。</w:t>
      </w:r>
    </w:p>
    <w:p>
      <w:pPr>
        <w:keepNext w:val="0"/>
        <w:keepLines w:val="0"/>
        <w:pageBreakBefore w:val="0"/>
        <w:widowControl/>
        <w:kinsoku/>
        <w:wordWrap/>
        <w:overflowPunct/>
        <w:topLinePunct w:val="0"/>
        <w:autoSpaceDE/>
        <w:autoSpaceDN/>
        <w:bidi w:val="0"/>
        <w:adjustRightInd w:val="0"/>
        <w:snapToGrid/>
        <w:spacing w:line="240" w:lineRule="auto"/>
        <w:ind w:left="0" w:leftChars="0" w:firstLine="602" w:firstLineChars="200"/>
        <w:jc w:val="left"/>
        <w:textAlignment w:val="center"/>
        <w:outlineLvl w:val="9"/>
        <w:rPr>
          <w:rFonts w:hint="default" w:ascii="Times New Roman" w:hAnsi="Times New Roman" w:eastAsia="仿宋_GB2312" w:cs="Times New Roman"/>
          <w:b/>
          <w:bCs/>
          <w:color w:val="auto"/>
          <w:sz w:val="30"/>
          <w:szCs w:val="30"/>
          <w:lang w:eastAsia="zh-CN"/>
        </w:rPr>
      </w:pPr>
      <w:r>
        <w:rPr>
          <w:rFonts w:hint="default" w:ascii="Times New Roman" w:hAnsi="Times New Roman" w:eastAsia="仿宋_GB2312" w:cs="Times New Roman"/>
          <w:b/>
          <w:bCs/>
          <w:color w:val="auto"/>
          <w:sz w:val="30"/>
          <w:szCs w:val="30"/>
          <w:lang w:eastAsia="zh-CN"/>
        </w:rPr>
        <w:t>申请人回复称：</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600" w:firstLineChars="200"/>
        <w:textAlignment w:val="auto"/>
        <w:outlineLvl w:val="9"/>
        <w:rPr>
          <w:rFonts w:hint="eastAsia" w:ascii="Times New Roman" w:hAnsi="Times New Roman" w:eastAsia="仿宋_GB2312" w:cs="Times New Roman"/>
          <w:b w:val="0"/>
          <w:bCs w:val="0"/>
          <w:color w:val="auto"/>
          <w:kern w:val="2"/>
          <w:sz w:val="30"/>
          <w:szCs w:val="30"/>
          <w:highlight w:val="none"/>
          <w:lang w:val="en-US" w:eastAsia="zh-CN" w:bidi="ar-SA"/>
        </w:rPr>
      </w:pPr>
      <w:r>
        <w:rPr>
          <w:rFonts w:hint="eastAsia" w:ascii="Times New Roman" w:hAnsi="Times New Roman" w:eastAsia="仿宋_GB2312" w:cs="Times New Roman"/>
          <w:b w:val="0"/>
          <w:bCs w:val="0"/>
          <w:color w:val="auto"/>
          <w:kern w:val="2"/>
          <w:sz w:val="30"/>
          <w:szCs w:val="30"/>
          <w:highlight w:val="none"/>
          <w:lang w:val="en-US" w:eastAsia="zh-CN" w:bidi="ar-SA"/>
        </w:rPr>
        <w:t>（1）报告期内净利润变动较大的具体原因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b w:val="0"/>
          <w:bCs w:val="0"/>
          <w:color w:val="auto"/>
          <w:kern w:val="2"/>
          <w:sz w:val="30"/>
          <w:szCs w:val="30"/>
          <w:highlight w:val="none"/>
          <w:lang w:val="en-US" w:eastAsia="zh-CN" w:bidi="ar-SA"/>
        </w:rPr>
      </w:pPr>
      <w:r>
        <w:rPr>
          <w:rFonts w:hint="default" w:ascii="Times New Roman" w:hAnsi="Times New Roman" w:eastAsia="仿宋_GB2312" w:cs="Times New Roman"/>
          <w:b w:val="0"/>
          <w:bCs w:val="0"/>
          <w:color w:val="auto"/>
          <w:kern w:val="2"/>
          <w:sz w:val="30"/>
          <w:szCs w:val="30"/>
          <w:highlight w:val="none"/>
          <w:lang w:eastAsia="zh-CN" w:bidi="ar-SA"/>
        </w:rPr>
        <w:t>a.</w:t>
      </w:r>
      <w:r>
        <w:rPr>
          <w:rFonts w:hint="eastAsia" w:ascii="Times New Roman" w:hAnsi="Times New Roman" w:eastAsia="仿宋_GB2312" w:cs="Times New Roman"/>
          <w:b w:val="0"/>
          <w:bCs w:val="0"/>
          <w:color w:val="auto"/>
          <w:kern w:val="2"/>
          <w:sz w:val="30"/>
          <w:szCs w:val="30"/>
          <w:highlight w:val="none"/>
          <w:lang w:val="en-US" w:eastAsia="zh-CN" w:bidi="ar-SA"/>
        </w:rPr>
        <w:t>利息净收入下降导致利润减少。</w:t>
      </w:r>
      <w:r>
        <w:rPr>
          <w:rFonts w:hint="eastAsia" w:ascii="Times New Roman" w:hAnsi="Times New Roman" w:eastAsia="仿宋_GB2312" w:cs="Times New Roman"/>
          <w:b w:val="0"/>
          <w:bCs w:val="0"/>
          <w:color w:val="auto"/>
          <w:kern w:val="2"/>
          <w:sz w:val="30"/>
          <w:szCs w:val="30"/>
          <w:highlight w:val="none"/>
          <w:lang w:val="zh-TW" w:eastAsia="zh-CN" w:bidi="ar-SA"/>
        </w:rPr>
        <w:t>一是受</w:t>
      </w:r>
      <w:r>
        <w:rPr>
          <w:rFonts w:hint="eastAsia" w:ascii="Times New Roman" w:hAnsi="Times New Roman" w:eastAsia="仿宋_GB2312" w:cs="Times New Roman"/>
          <w:b w:val="0"/>
          <w:bCs w:val="0"/>
          <w:color w:val="auto"/>
          <w:kern w:val="2"/>
          <w:sz w:val="30"/>
          <w:szCs w:val="30"/>
          <w:highlight w:val="none"/>
          <w:lang w:val="zh-TW" w:eastAsia="zh-TW" w:bidi="ar-SA"/>
        </w:rPr>
        <w:t>贷款减费让利</w:t>
      </w:r>
      <w:r>
        <w:rPr>
          <w:rFonts w:hint="eastAsia" w:ascii="Times New Roman" w:hAnsi="Times New Roman" w:eastAsia="仿宋_GB2312" w:cs="Times New Roman"/>
          <w:b w:val="0"/>
          <w:bCs w:val="0"/>
          <w:color w:val="auto"/>
          <w:kern w:val="2"/>
          <w:sz w:val="30"/>
          <w:szCs w:val="30"/>
          <w:highlight w:val="none"/>
          <w:lang w:val="zh-TW" w:eastAsia="zh-CN" w:bidi="ar-SA"/>
        </w:rPr>
        <w:t>政策及</w:t>
      </w:r>
      <w:r>
        <w:rPr>
          <w:rFonts w:hint="eastAsia" w:ascii="Times New Roman" w:hAnsi="Times New Roman" w:eastAsia="仿宋_GB2312" w:cs="Times New Roman"/>
          <w:b w:val="0"/>
          <w:bCs w:val="0"/>
          <w:color w:val="auto"/>
          <w:kern w:val="2"/>
          <w:sz w:val="30"/>
          <w:szCs w:val="30"/>
          <w:highlight w:val="none"/>
          <w:lang w:val="en-US" w:eastAsia="zh-CN" w:bidi="ar-SA"/>
        </w:rPr>
        <w:t>LPR定价机制实施的</w:t>
      </w:r>
      <w:r>
        <w:rPr>
          <w:rFonts w:hint="eastAsia" w:ascii="Times New Roman" w:hAnsi="Times New Roman" w:eastAsia="仿宋_GB2312" w:cs="Times New Roman"/>
          <w:b w:val="0"/>
          <w:bCs w:val="0"/>
          <w:color w:val="auto"/>
          <w:kern w:val="2"/>
          <w:sz w:val="30"/>
          <w:szCs w:val="30"/>
          <w:highlight w:val="none"/>
          <w:lang w:val="zh-TW" w:eastAsia="zh-CN" w:bidi="ar-SA"/>
        </w:rPr>
        <w:t>影响</w:t>
      </w:r>
      <w:r>
        <w:rPr>
          <w:rFonts w:hint="eastAsia" w:ascii="Times New Roman" w:hAnsi="Times New Roman" w:eastAsia="仿宋_GB2312" w:cs="Times New Roman"/>
          <w:b w:val="0"/>
          <w:bCs w:val="0"/>
          <w:color w:val="auto"/>
          <w:kern w:val="2"/>
          <w:sz w:val="30"/>
          <w:szCs w:val="30"/>
          <w:highlight w:val="none"/>
          <w:lang w:val="zh-TW" w:eastAsia="zh-TW" w:bidi="ar-SA"/>
        </w:rPr>
        <w:t>，</w:t>
      </w:r>
      <w:r>
        <w:rPr>
          <w:rFonts w:hint="eastAsia" w:ascii="Times New Roman" w:hAnsi="Times New Roman" w:eastAsia="仿宋_GB2312" w:cs="Times New Roman"/>
          <w:b w:val="0"/>
          <w:bCs w:val="0"/>
          <w:color w:val="auto"/>
          <w:kern w:val="2"/>
          <w:sz w:val="30"/>
          <w:szCs w:val="30"/>
          <w:highlight w:val="none"/>
          <w:lang w:val="zh-TW" w:eastAsia="zh-CN" w:bidi="ar-SA"/>
        </w:rPr>
        <w:t>公司</w:t>
      </w:r>
      <w:r>
        <w:rPr>
          <w:rFonts w:hint="eastAsia" w:ascii="Times New Roman" w:hAnsi="Times New Roman" w:eastAsia="仿宋_GB2312" w:cs="Times New Roman"/>
          <w:b w:val="0"/>
          <w:bCs w:val="0"/>
          <w:color w:val="auto"/>
          <w:kern w:val="2"/>
          <w:sz w:val="30"/>
          <w:szCs w:val="30"/>
          <w:highlight w:val="none"/>
          <w:lang w:val="zh-TW" w:eastAsia="zh-TW" w:bidi="ar-SA"/>
        </w:rPr>
        <w:t>贷款利率</w:t>
      </w:r>
      <w:r>
        <w:rPr>
          <w:rFonts w:hint="eastAsia" w:ascii="Times New Roman" w:hAnsi="Times New Roman" w:eastAsia="仿宋_GB2312" w:cs="Times New Roman"/>
          <w:b w:val="0"/>
          <w:bCs w:val="0"/>
          <w:color w:val="auto"/>
          <w:kern w:val="2"/>
          <w:sz w:val="30"/>
          <w:szCs w:val="30"/>
          <w:highlight w:val="none"/>
          <w:lang w:val="zh-TW" w:eastAsia="zh-CN" w:bidi="ar-SA"/>
        </w:rPr>
        <w:t>逐步下调，</w:t>
      </w:r>
      <w:r>
        <w:rPr>
          <w:rFonts w:hint="eastAsia" w:ascii="Times New Roman" w:hAnsi="Times New Roman" w:eastAsia="仿宋_GB2312" w:cs="Times New Roman"/>
          <w:b w:val="0"/>
          <w:bCs w:val="0"/>
          <w:color w:val="auto"/>
          <w:kern w:val="2"/>
          <w:sz w:val="30"/>
          <w:szCs w:val="30"/>
          <w:highlight w:val="none"/>
          <w:lang w:val="en-US" w:eastAsia="zh-CN" w:bidi="ar-SA"/>
        </w:rPr>
        <w:t>2020年度、2021年度、2022年1-9月百元贷款收息率分别为5.59%、5.29%、4.72%</w:t>
      </w:r>
      <w:r>
        <w:rPr>
          <w:rFonts w:hint="eastAsia" w:ascii="Times New Roman" w:hAnsi="Times New Roman" w:eastAsia="仿宋_GB2312" w:cs="Times New Roman"/>
          <w:b w:val="0"/>
          <w:bCs w:val="0"/>
          <w:color w:val="auto"/>
          <w:kern w:val="2"/>
          <w:sz w:val="30"/>
          <w:szCs w:val="30"/>
          <w:highlight w:val="none"/>
          <w:lang w:val="zh-TW" w:eastAsia="zh-CN" w:bidi="ar-SA"/>
        </w:rPr>
        <w:t>；二是公司立足于省会，全市共30余家银行机构，行业市场竞争尤为激烈，为争夺客户，公司</w:t>
      </w:r>
      <w:r>
        <w:rPr>
          <w:rFonts w:hint="eastAsia" w:ascii="Times New Roman" w:hAnsi="Times New Roman" w:eastAsia="仿宋_GB2312" w:cs="Times New Roman"/>
          <w:b w:val="0"/>
          <w:bCs w:val="0"/>
          <w:color w:val="auto"/>
          <w:kern w:val="2"/>
          <w:sz w:val="30"/>
          <w:szCs w:val="30"/>
          <w:highlight w:val="none"/>
          <w:lang w:val="zh-TW" w:eastAsia="zh-TW" w:bidi="ar-SA"/>
        </w:rPr>
        <w:t>存款利率</w:t>
      </w:r>
      <w:r>
        <w:rPr>
          <w:rFonts w:hint="eastAsia" w:ascii="Times New Roman" w:hAnsi="Times New Roman" w:eastAsia="仿宋_GB2312" w:cs="Times New Roman"/>
          <w:b w:val="0"/>
          <w:bCs w:val="0"/>
          <w:color w:val="auto"/>
          <w:kern w:val="2"/>
          <w:sz w:val="30"/>
          <w:szCs w:val="30"/>
          <w:highlight w:val="none"/>
          <w:lang w:val="zh-TW" w:eastAsia="zh-CN" w:bidi="ar-SA"/>
        </w:rPr>
        <w:t>不断</w:t>
      </w:r>
      <w:r>
        <w:rPr>
          <w:rFonts w:hint="eastAsia" w:ascii="Times New Roman" w:hAnsi="Times New Roman" w:eastAsia="仿宋_GB2312" w:cs="Times New Roman"/>
          <w:b w:val="0"/>
          <w:bCs w:val="0"/>
          <w:color w:val="auto"/>
          <w:kern w:val="2"/>
          <w:sz w:val="30"/>
          <w:szCs w:val="30"/>
          <w:highlight w:val="none"/>
          <w:lang w:val="zh-TW" w:eastAsia="zh-TW" w:bidi="ar-SA"/>
        </w:rPr>
        <w:t>上扬</w:t>
      </w:r>
      <w:r>
        <w:rPr>
          <w:rFonts w:hint="eastAsia" w:ascii="Times New Roman" w:hAnsi="Times New Roman" w:eastAsia="仿宋_GB2312" w:cs="Times New Roman"/>
          <w:b w:val="0"/>
          <w:bCs w:val="0"/>
          <w:color w:val="auto"/>
          <w:kern w:val="2"/>
          <w:sz w:val="30"/>
          <w:szCs w:val="30"/>
          <w:highlight w:val="none"/>
          <w:lang w:val="zh-TW" w:eastAsia="zh-CN" w:bidi="ar-SA"/>
        </w:rPr>
        <w:t>，</w:t>
      </w:r>
      <w:r>
        <w:rPr>
          <w:rFonts w:hint="eastAsia" w:ascii="Times New Roman" w:hAnsi="Times New Roman" w:eastAsia="仿宋_GB2312" w:cs="Times New Roman"/>
          <w:b w:val="0"/>
          <w:bCs w:val="0"/>
          <w:color w:val="auto"/>
          <w:kern w:val="2"/>
          <w:sz w:val="30"/>
          <w:szCs w:val="30"/>
          <w:highlight w:val="none"/>
          <w:lang w:val="en-US" w:eastAsia="zh-CN" w:bidi="ar-SA"/>
        </w:rPr>
        <w:t>2020年度、2021年度、2022年1-9月百元存款付息率分别为2.10%、2.10%、2.15%，由此</w:t>
      </w:r>
      <w:r>
        <w:rPr>
          <w:rFonts w:hint="eastAsia" w:ascii="Times New Roman" w:hAnsi="Times New Roman" w:eastAsia="仿宋_GB2312" w:cs="Times New Roman"/>
          <w:b w:val="0"/>
          <w:bCs w:val="0"/>
          <w:color w:val="auto"/>
          <w:kern w:val="2"/>
          <w:sz w:val="30"/>
          <w:szCs w:val="30"/>
          <w:highlight w:val="none"/>
          <w:lang w:val="zh-TW" w:eastAsia="zh-CN" w:bidi="ar-SA"/>
        </w:rPr>
        <w:t>导致公司</w:t>
      </w:r>
      <w:r>
        <w:rPr>
          <w:rFonts w:hint="eastAsia" w:ascii="Times New Roman" w:hAnsi="Times New Roman" w:eastAsia="仿宋_GB2312" w:cs="Times New Roman"/>
          <w:b w:val="0"/>
          <w:bCs w:val="0"/>
          <w:color w:val="auto"/>
          <w:kern w:val="2"/>
          <w:sz w:val="30"/>
          <w:szCs w:val="30"/>
          <w:highlight w:val="none"/>
          <w:lang w:val="en-US" w:eastAsia="zh-CN" w:bidi="ar-SA"/>
        </w:rPr>
        <w:t>净息差水平持续收窄，2020年度、2021年度、2022年1-9月净息差分别为2.55%、2.52%、2.08%，利息净收入呈下降趋势。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b w:val="0"/>
          <w:bCs w:val="0"/>
          <w:color w:val="auto"/>
          <w:kern w:val="2"/>
          <w:sz w:val="30"/>
          <w:szCs w:val="30"/>
          <w:highlight w:val="none"/>
          <w:lang w:val="en-US" w:eastAsia="zh-CN" w:bidi="ar-SA"/>
        </w:rPr>
      </w:pPr>
      <w:r>
        <w:rPr>
          <w:rFonts w:hint="default" w:ascii="Times New Roman" w:hAnsi="Times New Roman" w:eastAsia="仿宋_GB2312" w:cs="Times New Roman"/>
          <w:b w:val="0"/>
          <w:bCs w:val="0"/>
          <w:color w:val="auto"/>
          <w:kern w:val="2"/>
          <w:sz w:val="30"/>
          <w:szCs w:val="30"/>
          <w:highlight w:val="none"/>
          <w:lang w:eastAsia="zh-CN" w:bidi="ar-SA"/>
        </w:rPr>
        <w:t>b.</w:t>
      </w:r>
      <w:r>
        <w:rPr>
          <w:rFonts w:hint="eastAsia" w:ascii="Times New Roman" w:hAnsi="Times New Roman" w:eastAsia="仿宋_GB2312" w:cs="Times New Roman"/>
          <w:b w:val="0"/>
          <w:bCs w:val="0"/>
          <w:color w:val="auto"/>
          <w:kern w:val="2"/>
          <w:sz w:val="30"/>
          <w:szCs w:val="30"/>
          <w:highlight w:val="none"/>
          <w:lang w:val="en-US" w:eastAsia="zh-CN" w:bidi="ar-SA"/>
        </w:rPr>
        <w:t>由于不良反弹导致资产减值损失增加。公司2021年以及2022年1-9月份实现利润大部分用于计提拨备以及核销贷款，2021年资产减值损失较2020年增加3.49亿元；</w:t>
      </w:r>
    </w:p>
    <w:p>
      <w:pPr>
        <w:pStyle w:val="7"/>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b w:val="0"/>
          <w:bCs w:val="0"/>
          <w:color w:val="auto"/>
          <w:kern w:val="2"/>
          <w:sz w:val="30"/>
          <w:szCs w:val="30"/>
          <w:highlight w:val="none"/>
          <w:lang w:eastAsia="zh-CN" w:bidi="ar-SA"/>
        </w:rPr>
      </w:pPr>
      <w:r>
        <w:rPr>
          <w:rFonts w:hint="default" w:ascii="Times New Roman" w:hAnsi="Times New Roman" w:eastAsia="仿宋_GB2312" w:cs="Times New Roman"/>
          <w:b w:val="0"/>
          <w:bCs w:val="0"/>
          <w:color w:val="auto"/>
          <w:kern w:val="2"/>
          <w:sz w:val="30"/>
          <w:szCs w:val="30"/>
          <w:highlight w:val="none"/>
          <w:lang w:eastAsia="zh-CN" w:bidi="ar-SA"/>
        </w:rPr>
        <w:t>上述原因已在定向发行说明书中披露。</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b w:val="0"/>
          <w:bCs w:val="0"/>
          <w:color w:val="auto"/>
          <w:kern w:val="2"/>
          <w:sz w:val="30"/>
          <w:szCs w:val="30"/>
          <w:highlight w:val="none"/>
          <w:lang w:val="en-US" w:eastAsia="zh-CN" w:bidi="ar-SA"/>
        </w:rPr>
      </w:pPr>
      <w:r>
        <w:rPr>
          <w:rFonts w:hint="eastAsia" w:ascii="Times New Roman" w:hAnsi="Times New Roman" w:eastAsia="仿宋_GB2312" w:cs="Times New Roman"/>
          <w:b w:val="0"/>
          <w:bCs w:val="0"/>
          <w:color w:val="auto"/>
          <w:kern w:val="2"/>
          <w:sz w:val="30"/>
          <w:szCs w:val="30"/>
          <w:highlight w:val="none"/>
          <w:lang w:val="en-US" w:eastAsia="zh-CN" w:bidi="ar-SA"/>
        </w:rPr>
        <w:t>（2）报告期会计政策和会计估计是否发生重大变化，如有，请说明具体情况及对净利润影响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b w:val="0"/>
          <w:bCs w:val="0"/>
          <w:color w:val="auto"/>
          <w:kern w:val="2"/>
          <w:sz w:val="30"/>
          <w:szCs w:val="30"/>
          <w:highlight w:val="none"/>
          <w:lang w:val="en-US" w:eastAsia="zh-CN" w:bidi="ar-SA"/>
        </w:rPr>
      </w:pPr>
      <w:r>
        <w:rPr>
          <w:rFonts w:hint="eastAsia" w:ascii="Times New Roman" w:hAnsi="Times New Roman" w:eastAsia="仿宋_GB2312" w:cs="Times New Roman"/>
          <w:b w:val="0"/>
          <w:bCs w:val="0"/>
          <w:color w:val="auto"/>
          <w:kern w:val="2"/>
          <w:sz w:val="30"/>
          <w:szCs w:val="30"/>
          <w:highlight w:val="none"/>
          <w:lang w:val="en-US" w:eastAsia="zh-CN" w:bidi="ar-SA"/>
        </w:rPr>
        <w:t>报告期内会计政策和会计估计主要基于财政部发布了《企业会计准则第22号——金融工具确认和计量（2017年修订）》（财会〔2017〕7号）、《企业会计准则第23号——金融资产转移（2017年修订）》（财会〔2017〕8号）、《企业会计准则第24号——套期会计（2017年修订）》（财会〔2017〕9号），于2017年5月2日发布了《企业会计准则第37号——金融工具列报（2017年修订）》（财会〔2017〕14号）（上述准则统称“新金融工具准则”）、《企业会计准则第21号——租赁（2018年修订）》（财会[2018]35号）（以下简称“新租赁准则”）、以及《关于修订印发 2018 年度金融企业财务报表格式的通知》（财会〔2018〕36号）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b w:val="0"/>
          <w:bCs w:val="0"/>
          <w:color w:val="auto"/>
          <w:kern w:val="2"/>
          <w:sz w:val="30"/>
          <w:szCs w:val="30"/>
          <w:highlight w:val="none"/>
          <w:lang w:val="en-US" w:eastAsia="zh-CN" w:bidi="ar-SA"/>
        </w:rPr>
      </w:pPr>
      <w:r>
        <w:rPr>
          <w:rFonts w:hint="eastAsia" w:ascii="Times New Roman" w:hAnsi="Times New Roman" w:eastAsia="仿宋_GB2312" w:cs="Times New Roman"/>
          <w:b w:val="0"/>
          <w:bCs w:val="0"/>
          <w:color w:val="auto"/>
          <w:kern w:val="2"/>
          <w:sz w:val="30"/>
          <w:szCs w:val="30"/>
          <w:highlight w:val="none"/>
          <w:lang w:val="en-US" w:eastAsia="zh-CN" w:bidi="ar-SA"/>
        </w:rPr>
        <w:t>会计估计变化主要为租赁的归类（适用于2021年度及以后）、金融资产的分类（2021年1月1日开始适用）、预期信用损失的计量（2021年1月1日开始适用）、贷款的减值损失（适用于2020年度）、可供出售金融资产和持有至到期投资的减值（适用于2020年度）、金融工具的公允价值等。</w:t>
      </w:r>
    </w:p>
    <w:p>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仿宋_GB2312" w:cs="Times New Roman"/>
          <w:b w:val="0"/>
          <w:bCs w:val="0"/>
          <w:color w:val="auto"/>
          <w:kern w:val="2"/>
          <w:sz w:val="30"/>
          <w:szCs w:val="30"/>
          <w:highlight w:val="none"/>
          <w:lang w:eastAsia="zh-CN" w:bidi="ar-SA"/>
        </w:rPr>
      </w:pPr>
      <w:r>
        <w:rPr>
          <w:rFonts w:hint="default" w:ascii="Times New Roman" w:hAnsi="Times New Roman" w:eastAsia="仿宋_GB2312" w:cs="Times New Roman"/>
          <w:b w:val="0"/>
          <w:bCs w:val="0"/>
          <w:color w:val="auto"/>
          <w:kern w:val="2"/>
          <w:sz w:val="30"/>
          <w:szCs w:val="30"/>
          <w:highlight w:val="none"/>
          <w:lang w:eastAsia="zh-CN" w:bidi="ar-SA"/>
        </w:rPr>
        <w:t>上述会计政策和估计变化对财务报表的影响已在定向发行说明书中披露。</w:t>
      </w:r>
    </w:p>
    <w:p>
      <w:pPr>
        <w:pStyle w:val="2"/>
        <w:keepNext w:val="0"/>
        <w:keepLines w:val="0"/>
        <w:pageBreakBefore w:val="0"/>
        <w:widowControl w:val="0"/>
        <w:kinsoku/>
        <w:wordWrap/>
        <w:overflowPunct/>
        <w:topLinePunct w:val="0"/>
        <w:autoSpaceDE/>
        <w:autoSpaceDN/>
        <w:bidi w:val="0"/>
        <w:adjustRightInd/>
        <w:snapToGrid/>
        <w:spacing w:before="0"/>
        <w:ind w:left="0" w:firstLine="600" w:firstLineChars="200"/>
        <w:textAlignment w:val="auto"/>
        <w:rPr>
          <w:rFonts w:hint="default" w:ascii="Times New Roman" w:hAnsi="Times New Roman" w:eastAsia="仿宋_GB2312" w:cs="Times New Roman"/>
          <w:b w:val="0"/>
          <w:bCs w:val="0"/>
          <w:color w:val="auto"/>
          <w:kern w:val="2"/>
          <w:sz w:val="30"/>
          <w:szCs w:val="30"/>
          <w:highlight w:val="none"/>
          <w:lang w:val="en-US" w:eastAsia="zh-CN" w:bidi="ar-SA"/>
        </w:rPr>
      </w:pPr>
      <w:r>
        <w:rPr>
          <w:rFonts w:hint="default" w:ascii="Times New Roman" w:hAnsi="Times New Roman" w:eastAsia="仿宋_GB2312" w:cs="Times New Roman"/>
          <w:b w:val="0"/>
          <w:bCs w:val="0"/>
          <w:color w:val="auto"/>
          <w:kern w:val="2"/>
          <w:sz w:val="30"/>
          <w:szCs w:val="30"/>
          <w:highlight w:val="none"/>
          <w:lang w:val="en-US" w:eastAsia="zh-CN" w:bidi="ar-SA"/>
        </w:rPr>
        <w:t>（3）财务报表是否真实反应公司的财务状况和经营成果</w:t>
      </w:r>
    </w:p>
    <w:p>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Times New Roman" w:hAnsi="Times New Roman" w:eastAsia="仿宋_GB2312" w:cs="Times New Roman"/>
          <w:b w:val="0"/>
          <w:bCs w:val="0"/>
          <w:color w:val="auto"/>
          <w:kern w:val="2"/>
          <w:sz w:val="30"/>
          <w:szCs w:val="30"/>
          <w:highlight w:val="none"/>
          <w:lang w:val="en-US" w:eastAsia="zh-CN" w:bidi="ar-SA"/>
        </w:rPr>
      </w:pPr>
      <w:r>
        <w:rPr>
          <w:rFonts w:hint="eastAsia" w:ascii="Times New Roman" w:hAnsi="Times New Roman" w:eastAsia="仿宋_GB2312" w:cs="Times New Roman"/>
          <w:b w:val="0"/>
          <w:bCs w:val="0"/>
          <w:color w:val="auto"/>
          <w:kern w:val="2"/>
          <w:sz w:val="30"/>
          <w:szCs w:val="30"/>
          <w:highlight w:val="none"/>
          <w:lang w:val="en-US" w:eastAsia="zh-CN" w:bidi="ar-SA"/>
        </w:rPr>
        <w:t>公司提交申请的财务报表已经经过北京澄宇会计师事务所（特殊普通合伙）审计，并出具无保留意见；已真实反应公司的财务状况和经营成果。</w:t>
      </w:r>
    </w:p>
    <w:p>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仿宋_GB2312" w:cs="Times New Roman"/>
          <w:b w:val="0"/>
          <w:bCs w:val="0"/>
          <w:color w:val="auto"/>
          <w:kern w:val="2"/>
          <w:sz w:val="30"/>
          <w:szCs w:val="30"/>
          <w:highlight w:val="none"/>
          <w:lang w:eastAsia="zh-CN" w:bidi="ar-SA"/>
        </w:rPr>
      </w:pPr>
      <w:r>
        <w:rPr>
          <w:rFonts w:hint="default" w:ascii="Times New Roman" w:hAnsi="Times New Roman" w:eastAsia="仿宋_GB2312" w:cs="Times New Roman"/>
          <w:b w:val="0"/>
          <w:bCs w:val="0"/>
          <w:color w:val="auto"/>
          <w:kern w:val="2"/>
          <w:sz w:val="30"/>
          <w:szCs w:val="30"/>
          <w:highlight w:val="none"/>
          <w:lang w:eastAsia="zh-CN" w:bidi="ar-SA"/>
        </w:rPr>
        <w:t>申报会计师已就上述问题发表明确意见。</w:t>
      </w:r>
    </w:p>
    <w:p>
      <w:pPr>
        <w:pStyle w:val="4"/>
        <w:spacing w:line="240" w:lineRule="auto"/>
        <w:ind w:firstLine="602" w:firstLineChars="200"/>
        <w:outlineLvl w:val="1"/>
        <w:rPr>
          <w:rFonts w:hint="default" w:ascii="Times New Roman" w:hAnsi="Times New Roman" w:eastAsia="楷体_GB2312" w:cs="Times New Roman"/>
          <w:b/>
          <w:bCs w:val="0"/>
          <w:color w:val="auto"/>
          <w:sz w:val="30"/>
          <w:szCs w:val="22"/>
          <w:highlight w:val="none"/>
        </w:rPr>
      </w:pPr>
      <w:r>
        <w:rPr>
          <w:rFonts w:hint="default" w:ascii="Times New Roman" w:hAnsi="Times New Roman" w:eastAsia="楷体_GB2312" w:cs="Times New Roman"/>
          <w:b/>
          <w:bCs w:val="0"/>
          <w:color w:val="auto"/>
          <w:sz w:val="30"/>
          <w:szCs w:val="22"/>
          <w:highlight w:val="none"/>
        </w:rPr>
        <w:t>（三）</w:t>
      </w:r>
      <w:r>
        <w:rPr>
          <w:rFonts w:hint="default" w:ascii="Times New Roman" w:hAnsi="Times New Roman" w:eastAsia="楷体_GB2312" w:cs="Times New Roman"/>
          <w:b/>
          <w:bCs w:val="0"/>
          <w:color w:val="auto"/>
          <w:sz w:val="30"/>
          <w:szCs w:val="22"/>
          <w:highlight w:val="none"/>
        </w:rPr>
        <w:t>关于优先认购安排</w:t>
      </w:r>
    </w:p>
    <w:p>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600" w:firstLineChars="200"/>
        <w:outlineLvl w:val="9"/>
        <w:rPr>
          <w:rFonts w:hint="default" w:ascii="Times New Roman" w:hAnsi="Times New Roman" w:eastAsia="仿宋_GB2312" w:cs="Times New Roman"/>
          <w:color w:val="auto"/>
          <w:sz w:val="30"/>
          <w:szCs w:val="30"/>
          <w:highlight w:val="none"/>
          <w:lang w:val="en-US" w:eastAsia="zh-CN"/>
        </w:rPr>
      </w:pPr>
      <w:r>
        <w:rPr>
          <w:rFonts w:hint="default" w:ascii="Times New Roman" w:hAnsi="Times New Roman" w:eastAsia="仿宋_GB2312" w:cs="Times New Roman"/>
          <w:color w:val="auto"/>
          <w:sz w:val="30"/>
          <w:szCs w:val="30"/>
          <w:highlight w:val="none"/>
          <w:lang w:val="en-US" w:eastAsia="zh-CN"/>
        </w:rPr>
        <w:t>根据申请材料，律师未就本次发行的优先认购安排、认购资金来源等问题发表明确意见。请律师围绕《非上市公众公司信息披露内容与格式准则第3号——定向发行说明书和发行情况报告书》逐条进行核查并发表明确意见。</w:t>
      </w:r>
    </w:p>
    <w:p>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600" w:firstLineChars="200"/>
        <w:outlineLvl w:val="9"/>
        <w:rPr>
          <w:rFonts w:hint="default" w:ascii="Times New Roman" w:hAnsi="Times New Roman" w:eastAsia="仿宋_GB2312" w:cs="Times New Roman"/>
          <w:color w:val="auto"/>
          <w:sz w:val="30"/>
          <w:szCs w:val="30"/>
          <w:highlight w:val="none"/>
          <w:lang w:val="en-US" w:eastAsia="zh-CN"/>
        </w:rPr>
      </w:pPr>
      <w:r>
        <w:rPr>
          <w:rFonts w:hint="default" w:ascii="Times New Roman" w:hAnsi="Times New Roman" w:eastAsia="仿宋_GB2312" w:cs="Times New Roman"/>
          <w:color w:val="auto"/>
          <w:sz w:val="30"/>
          <w:szCs w:val="30"/>
          <w:highlight w:val="none"/>
          <w:lang w:eastAsia="zh-CN"/>
        </w:rPr>
        <w:t>申请人</w:t>
      </w:r>
      <w:r>
        <w:rPr>
          <w:rFonts w:hint="eastAsia" w:ascii="Times New Roman" w:hAnsi="Times New Roman" w:eastAsia="仿宋_GB2312" w:cs="Times New Roman"/>
          <w:color w:val="auto"/>
          <w:sz w:val="30"/>
          <w:szCs w:val="30"/>
          <w:highlight w:val="none"/>
          <w:lang w:val="en-US" w:eastAsia="zh-CN"/>
        </w:rPr>
        <w:t>律师已根据反馈意见的要求在《北京大成（南昌）律师事务所关于南昌农村商业银行股份有限公司申请向特定对象发行股票之补充法律意见书》(大成（顾）字2022第0032号)中发表明确核查意见。</w:t>
      </w:r>
    </w:p>
    <w:p>
      <w:pPr>
        <w:pStyle w:val="4"/>
        <w:spacing w:line="240" w:lineRule="auto"/>
        <w:ind w:firstLine="602" w:firstLineChars="200"/>
        <w:outlineLvl w:val="1"/>
        <w:rPr>
          <w:rFonts w:hint="default" w:ascii="Times New Roman" w:hAnsi="Times New Roman" w:eastAsia="楷体_GB2312" w:cs="Times New Roman"/>
          <w:b/>
          <w:bCs w:val="0"/>
          <w:color w:val="auto"/>
          <w:sz w:val="30"/>
          <w:szCs w:val="22"/>
          <w:highlight w:val="none"/>
        </w:rPr>
      </w:pPr>
      <w:r>
        <w:rPr>
          <w:rFonts w:hint="default" w:ascii="Times New Roman" w:hAnsi="Times New Roman" w:eastAsia="楷体_GB2312" w:cs="Times New Roman"/>
          <w:b/>
          <w:bCs w:val="0"/>
          <w:color w:val="auto"/>
          <w:sz w:val="30"/>
          <w:szCs w:val="22"/>
          <w:highlight w:val="none"/>
        </w:rPr>
        <w:t>（四）</w:t>
      </w:r>
      <w:r>
        <w:rPr>
          <w:rFonts w:hint="default" w:ascii="Times New Roman" w:hAnsi="Times New Roman" w:eastAsia="楷体_GB2312" w:cs="Times New Roman"/>
          <w:b/>
          <w:bCs w:val="0"/>
          <w:color w:val="auto"/>
          <w:sz w:val="30"/>
          <w:szCs w:val="22"/>
          <w:highlight w:val="none"/>
        </w:rPr>
        <w:t>关于发行对象</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仿宋_GB2312" w:cs="Times New Roman"/>
          <w:color w:val="auto"/>
          <w:sz w:val="30"/>
          <w:szCs w:val="30"/>
          <w:highlight w:val="none"/>
          <w:lang w:val="en-US" w:eastAsia="zh-CN"/>
        </w:rPr>
      </w:pPr>
      <w:r>
        <w:rPr>
          <w:rFonts w:hint="default" w:ascii="Times New Roman" w:hAnsi="Times New Roman" w:eastAsia="仿宋_GB2312" w:cs="Times New Roman"/>
          <w:color w:val="auto"/>
          <w:sz w:val="30"/>
          <w:szCs w:val="30"/>
          <w:highlight w:val="none"/>
          <w:lang w:val="en-US" w:eastAsia="zh-CN"/>
        </w:rPr>
        <w:t>根据申请材料，申请人本次定向发行尚未确定对象。请申请人补充披露：（1）截至目前本次发行对象是否已经确定，是否已签订附生效条件的股票认购协议，若确定，请披露发行对象的相关情况、认购情况及认购资金来源；（2）参与董事会的董事、参与股东大会的股东是否充分知悉对发行对象的前述安排，是否存在侵害其利益的情形。请律师核查并发表明确意见。</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default" w:ascii="Times New Roman" w:hAnsi="Times New Roman" w:eastAsia="仿宋_GB2312" w:cs="Times New Roman"/>
          <w:b/>
          <w:bCs/>
          <w:color w:val="auto"/>
          <w:sz w:val="30"/>
          <w:szCs w:val="30"/>
          <w:highlight w:val="none"/>
          <w:lang w:eastAsia="zh-CN"/>
        </w:rPr>
      </w:pPr>
      <w:r>
        <w:rPr>
          <w:rFonts w:hint="default" w:ascii="Times New Roman" w:hAnsi="Times New Roman" w:eastAsia="仿宋_GB2312" w:cs="Times New Roman"/>
          <w:b/>
          <w:bCs/>
          <w:color w:val="auto"/>
          <w:sz w:val="30"/>
          <w:szCs w:val="30"/>
          <w:highlight w:val="none"/>
          <w:lang w:eastAsia="zh-CN"/>
        </w:rPr>
        <w:t>申请人回复称：</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（1）</w:t>
      </w:r>
      <w:r>
        <w:rPr>
          <w:rFonts w:hint="default" w:ascii="Times New Roman" w:hAnsi="Times New Roman" w:eastAsia="仿宋_GB2312" w:cs="Times New Roman"/>
          <w:color w:val="auto"/>
          <w:sz w:val="30"/>
          <w:szCs w:val="30"/>
          <w:highlight w:val="none"/>
          <w:lang w:eastAsia="zh-CN"/>
        </w:rPr>
        <w:t>关于</w:t>
      </w:r>
      <w:r>
        <w:rPr>
          <w:rFonts w:hint="eastAsia" w:ascii="Times New Roman" w:hAnsi="Times New Roman" w:eastAsia="仿宋_GB2312" w:cs="Times New Roman"/>
          <w:color w:val="auto"/>
          <w:sz w:val="30"/>
          <w:szCs w:val="30"/>
          <w:highlight w:val="none"/>
          <w:lang w:val="en-US" w:eastAsia="zh-CN"/>
        </w:rPr>
        <w:t>发行对象</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公司尚未确定发行对象，亦未同任何投资者签订附生效条件的股票认购协议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仿宋_GB2312" w:cs="Times New Roman"/>
          <w:color w:val="auto"/>
          <w:sz w:val="30"/>
          <w:szCs w:val="30"/>
          <w:highlight w:val="none"/>
          <w:lang w:val="en-US" w:eastAsia="zh-CN"/>
        </w:rPr>
      </w:pPr>
      <w:r>
        <w:rPr>
          <w:rFonts w:hint="default" w:ascii="Times New Roman" w:hAnsi="Times New Roman" w:eastAsia="仿宋_GB2312" w:cs="Times New Roman"/>
          <w:color w:val="auto"/>
          <w:sz w:val="30"/>
          <w:szCs w:val="30"/>
          <w:highlight w:val="none"/>
          <w:lang w:val="en-US" w:eastAsia="zh-CN"/>
        </w:rPr>
        <w:t>（2）参与董事会的董事、参与股东大会的股东是否充分知悉对发行对象的前述安排，是否存在侵害其利益的情形。</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公司发行方案已对发行目的、发行价格、发行数量、发行对象条件、认购方式等与本次发行相关的事项做出了明确规定。公司严格按照经董事会和股东会审议通过的股票发行方案规定的条件，包括：本次股票发行价格、发行对象条件要求、认购方式、发行股票数量等，确定投资者。参与董事会的董事、参与股东大会的股东已经充分知悉本次发行方案的全部内容，公司不存在侵害公司董事、股东利益的情形。</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申请人律师已就上述问题发表了明确意见。</w:t>
      </w:r>
    </w:p>
    <w:p>
      <w:pPr>
        <w:pStyle w:val="4"/>
        <w:spacing w:line="240" w:lineRule="auto"/>
        <w:ind w:firstLine="602" w:firstLineChars="200"/>
        <w:outlineLvl w:val="1"/>
        <w:rPr>
          <w:rFonts w:hint="default" w:ascii="Times New Roman" w:hAnsi="Times New Roman" w:eastAsia="楷体_GB2312" w:cs="Times New Roman"/>
          <w:b/>
          <w:bCs w:val="0"/>
          <w:color w:val="auto"/>
          <w:sz w:val="30"/>
          <w:szCs w:val="22"/>
          <w:highlight w:val="none"/>
        </w:rPr>
      </w:pPr>
      <w:r>
        <w:rPr>
          <w:rFonts w:hint="default" w:ascii="Times New Roman" w:hAnsi="Times New Roman" w:eastAsia="楷体_GB2312" w:cs="Times New Roman"/>
          <w:b/>
          <w:bCs w:val="0"/>
          <w:color w:val="auto"/>
          <w:sz w:val="30"/>
          <w:szCs w:val="22"/>
          <w:highlight w:val="none"/>
        </w:rPr>
        <w:t>（五）</w:t>
      </w:r>
      <w:r>
        <w:rPr>
          <w:rFonts w:hint="default" w:ascii="Times New Roman" w:hAnsi="Times New Roman" w:eastAsia="楷体_GB2312" w:cs="Times New Roman"/>
          <w:b/>
          <w:bCs w:val="0"/>
          <w:color w:val="auto"/>
          <w:sz w:val="30"/>
          <w:szCs w:val="22"/>
          <w:highlight w:val="none"/>
        </w:rPr>
        <w:t>关于决策程序合规性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b w:val="0"/>
          <w:bCs w:val="0"/>
          <w:color w:val="auto"/>
          <w:kern w:val="2"/>
          <w:sz w:val="30"/>
          <w:szCs w:val="30"/>
          <w:highlight w:val="none"/>
          <w:lang w:eastAsia="zh-CN"/>
        </w:rPr>
      </w:pPr>
      <w:r>
        <w:rPr>
          <w:rFonts w:hint="default" w:ascii="Times New Roman" w:hAnsi="Times New Roman" w:eastAsia="仿宋_GB2312" w:cs="Times New Roman"/>
          <w:b w:val="0"/>
          <w:bCs w:val="0"/>
          <w:color w:val="auto"/>
          <w:kern w:val="2"/>
          <w:sz w:val="30"/>
          <w:szCs w:val="30"/>
          <w:highlight w:val="none"/>
          <w:lang w:eastAsia="zh-CN"/>
        </w:rPr>
        <w:t>根据申请材料，部分股东在临时股东大会审议相关议案时投弃权票。请律师核查：（1）以上股东投弃权票的原因，以上议案相关内容和表决程序是否合法合规；（2）申请人本次审议的定向发行方案有关内容与银监部门批复的定向募股方案是否一致，股东是否知悉，是否存在潜在问题和纠纷。</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2" w:firstLineChars="200"/>
        <w:jc w:val="both"/>
        <w:textAlignment w:val="auto"/>
        <w:outlineLvl w:val="9"/>
        <w:rPr>
          <w:rFonts w:hint="default" w:ascii="Times New Roman" w:hAnsi="Times New Roman" w:eastAsia="仿宋_GB2312" w:cs="Times New Roman"/>
          <w:b/>
          <w:bCs/>
          <w:color w:val="auto"/>
          <w:kern w:val="2"/>
          <w:sz w:val="30"/>
          <w:szCs w:val="30"/>
          <w:highlight w:val="none"/>
          <w:lang w:eastAsia="zh-CN"/>
        </w:rPr>
      </w:pPr>
      <w:r>
        <w:rPr>
          <w:rFonts w:hint="default" w:ascii="Times New Roman" w:hAnsi="Times New Roman" w:eastAsia="仿宋_GB2312" w:cs="Times New Roman"/>
          <w:b/>
          <w:bCs/>
          <w:color w:val="auto"/>
          <w:kern w:val="2"/>
          <w:sz w:val="30"/>
          <w:szCs w:val="30"/>
          <w:highlight w:val="none"/>
          <w:lang w:eastAsia="zh-CN"/>
        </w:rPr>
        <w:t>申请人回复称：</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b w:val="0"/>
          <w:bCs w:val="0"/>
          <w:color w:val="auto"/>
          <w:kern w:val="2"/>
          <w:sz w:val="30"/>
          <w:szCs w:val="30"/>
          <w:highlight w:val="none"/>
          <w:lang w:val="en-US" w:eastAsia="zh-CN"/>
        </w:rPr>
      </w:pPr>
      <w:r>
        <w:rPr>
          <w:rFonts w:hint="default" w:ascii="Times New Roman" w:hAnsi="Times New Roman" w:eastAsia="仿宋_GB2312" w:cs="Times New Roman"/>
          <w:b w:val="0"/>
          <w:bCs w:val="0"/>
          <w:color w:val="auto"/>
          <w:kern w:val="2"/>
          <w:sz w:val="30"/>
          <w:szCs w:val="30"/>
          <w:highlight w:val="none"/>
          <w:lang w:eastAsia="zh-CN"/>
        </w:rPr>
        <w:t>（1）</w:t>
      </w:r>
      <w:r>
        <w:rPr>
          <w:rFonts w:hint="eastAsia" w:ascii="Times New Roman" w:hAnsi="Times New Roman" w:eastAsia="仿宋_GB2312" w:cs="Times New Roman"/>
          <w:b w:val="0"/>
          <w:bCs w:val="0"/>
          <w:color w:val="auto"/>
          <w:kern w:val="2"/>
          <w:sz w:val="30"/>
          <w:szCs w:val="30"/>
          <w:highlight w:val="none"/>
          <w:lang w:val="en-US" w:eastAsia="zh-CN"/>
        </w:rPr>
        <w:t>以上股东投弃权票的原因，以上议案相关内容和表决程序是否合法合规；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b w:val="0"/>
          <w:bCs w:val="0"/>
          <w:color w:val="auto"/>
          <w:kern w:val="2"/>
          <w:sz w:val="30"/>
          <w:szCs w:val="30"/>
          <w:highlight w:val="none"/>
          <w:lang w:eastAsia="zh-CN"/>
        </w:rPr>
      </w:pPr>
      <w:r>
        <w:rPr>
          <w:rFonts w:hint="eastAsia" w:ascii="Times New Roman" w:hAnsi="Times New Roman" w:eastAsia="仿宋_GB2312" w:cs="Times New Roman"/>
          <w:b w:val="0"/>
          <w:bCs w:val="0"/>
          <w:color w:val="auto"/>
          <w:kern w:val="2"/>
          <w:sz w:val="30"/>
          <w:szCs w:val="30"/>
          <w:highlight w:val="none"/>
          <w:lang w:eastAsia="zh-CN"/>
        </w:rPr>
        <w:t>根据</w:t>
      </w:r>
      <w:r>
        <w:rPr>
          <w:rFonts w:hint="eastAsia" w:ascii="Times New Roman" w:hAnsi="Times New Roman" w:eastAsia="仿宋_GB2312" w:cs="Times New Roman"/>
          <w:b w:val="0"/>
          <w:bCs w:val="0"/>
          <w:color w:val="auto"/>
          <w:kern w:val="2"/>
          <w:sz w:val="30"/>
          <w:szCs w:val="30"/>
          <w:highlight w:val="none"/>
          <w:lang w:val="en-US" w:eastAsia="zh-CN"/>
        </w:rPr>
        <w:t>公司</w:t>
      </w:r>
      <w:r>
        <w:rPr>
          <w:rFonts w:hint="eastAsia" w:ascii="Times New Roman" w:hAnsi="Times New Roman" w:eastAsia="仿宋_GB2312" w:cs="Times New Roman"/>
          <w:b w:val="0"/>
          <w:bCs w:val="0"/>
          <w:color w:val="auto"/>
          <w:kern w:val="2"/>
          <w:sz w:val="30"/>
          <w:szCs w:val="30"/>
          <w:highlight w:val="none"/>
          <w:lang w:eastAsia="zh-CN"/>
        </w:rPr>
        <w:t>提供的2022年11月16日</w:t>
      </w:r>
      <w:r>
        <w:rPr>
          <w:rFonts w:hint="eastAsia" w:ascii="Times New Roman" w:hAnsi="Times New Roman" w:eastAsia="仿宋_GB2312" w:cs="Times New Roman"/>
          <w:b w:val="0"/>
          <w:bCs w:val="0"/>
          <w:color w:val="auto"/>
          <w:kern w:val="2"/>
          <w:sz w:val="30"/>
          <w:szCs w:val="30"/>
          <w:highlight w:val="none"/>
          <w:lang w:val="en-US" w:eastAsia="zh-CN"/>
        </w:rPr>
        <w:t>召开的</w:t>
      </w:r>
      <w:r>
        <w:rPr>
          <w:rFonts w:hint="eastAsia" w:ascii="Times New Roman" w:hAnsi="Times New Roman" w:eastAsia="仿宋_GB2312" w:cs="Times New Roman"/>
          <w:b w:val="0"/>
          <w:bCs w:val="0"/>
          <w:color w:val="auto"/>
          <w:kern w:val="2"/>
          <w:sz w:val="30"/>
          <w:szCs w:val="30"/>
          <w:highlight w:val="none"/>
          <w:lang w:eastAsia="zh-CN"/>
        </w:rPr>
        <w:t>2022年度第二十次股东大会（临时会议）签名册、表决票、授权委托书、会议记录文件，根据投弃权票的股东出具的情况说明，相关股东投弃权票的原因如下：</w:t>
      </w:r>
    </w:p>
    <w:tbl>
      <w:tblPr>
        <w:tblStyle w:val="12"/>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292"/>
        <w:gridCol w:w="1321"/>
        <w:gridCol w:w="3264"/>
        <w:gridCol w:w="932"/>
        <w:gridCol w:w="12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0" w:type="pct"/>
            <w:tcBorders>
              <w:tl2br w:val="nil"/>
              <w:tr2bl w:val="nil"/>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编号</w:t>
            </w:r>
          </w:p>
        </w:tc>
        <w:tc>
          <w:tcPr>
            <w:tcW w:w="758" w:type="pct"/>
            <w:tcBorders>
              <w:tl2br w:val="nil"/>
              <w:tr2bl w:val="nil"/>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股东名称/姓名</w:t>
            </w:r>
          </w:p>
        </w:tc>
        <w:tc>
          <w:tcPr>
            <w:tcW w:w="775" w:type="pct"/>
            <w:tcBorders>
              <w:tl2br w:val="nil"/>
              <w:tr2bl w:val="nil"/>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持股数（股）</w:t>
            </w:r>
          </w:p>
        </w:tc>
        <w:tc>
          <w:tcPr>
            <w:tcW w:w="1915" w:type="pct"/>
            <w:tcBorders>
              <w:tl2br w:val="nil"/>
              <w:tr2bl w:val="nil"/>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议案名称</w:t>
            </w:r>
          </w:p>
        </w:tc>
        <w:tc>
          <w:tcPr>
            <w:tcW w:w="547" w:type="pct"/>
            <w:tcBorders>
              <w:tl2br w:val="nil"/>
              <w:tr2bl w:val="nil"/>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投票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情况</w:t>
            </w:r>
          </w:p>
        </w:tc>
        <w:tc>
          <w:tcPr>
            <w:tcW w:w="753" w:type="pct"/>
            <w:tcBorders>
              <w:tl2br w:val="nil"/>
              <w:tr2bl w:val="nil"/>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投票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原因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0"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default"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1</w:t>
            </w:r>
          </w:p>
        </w:tc>
        <w:tc>
          <w:tcPr>
            <w:tcW w:w="758"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南昌县文化旅游投资有限公司</w:t>
            </w:r>
          </w:p>
        </w:tc>
        <w:tc>
          <w:tcPr>
            <w:tcW w:w="775"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31038920</w:t>
            </w:r>
          </w:p>
        </w:tc>
        <w:tc>
          <w:tcPr>
            <w:tcW w:w="1915"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《关于南昌农村商业银行股份有限公司2022年定向募股实施方案》</w:t>
            </w:r>
            <w:r>
              <w:rPr>
                <w:rFonts w:hint="eastAsia" w:cs="宋体"/>
                <w:kern w:val="2"/>
                <w:sz w:val="21"/>
                <w:szCs w:val="21"/>
                <w:vertAlign w:val="baseline"/>
                <w:lang w:val="en-US" w:eastAsia="zh-CN"/>
              </w:rPr>
              <w:t>、《关于聘请北京澄宇会计师事务所（特殊普通合伙）江西分所进行2020年、2021年、2022年1-9月份会计审计、清产核资、资产评估的议案》、《关于修订南昌农村商业银行股份有限公司章程的议案》、《关于授权董事会代表南昌农村商业银行股份有限公司全权办理本次发行具体事宜的议案》</w:t>
            </w:r>
          </w:p>
        </w:tc>
        <w:tc>
          <w:tcPr>
            <w:tcW w:w="547"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cs="宋体"/>
                <w:kern w:val="2"/>
                <w:sz w:val="21"/>
                <w:szCs w:val="21"/>
                <w:vertAlign w:val="baseline"/>
                <w:lang w:val="en-US" w:eastAsia="zh-CN"/>
              </w:rPr>
              <w:t>弃权票</w:t>
            </w:r>
          </w:p>
        </w:tc>
        <w:tc>
          <w:tcPr>
            <w:tcW w:w="753"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cs="宋体"/>
                <w:kern w:val="2"/>
                <w:sz w:val="21"/>
                <w:szCs w:val="21"/>
                <w:vertAlign w:val="baseline"/>
                <w:lang w:val="en-US" w:eastAsia="zh-CN"/>
              </w:rPr>
              <w:t>单位2022年底事务较繁忙，没有时间召开集体会议讨论南昌农商银行第二十次股东大会的议案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0"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default"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2</w:t>
            </w:r>
          </w:p>
        </w:tc>
        <w:tc>
          <w:tcPr>
            <w:tcW w:w="758"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熊胜华</w:t>
            </w:r>
          </w:p>
        </w:tc>
        <w:tc>
          <w:tcPr>
            <w:tcW w:w="775"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7159162</w:t>
            </w:r>
          </w:p>
        </w:tc>
        <w:tc>
          <w:tcPr>
            <w:tcW w:w="1915"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ascii="宋体" w:hAnsi="宋体" w:eastAsia="宋体" w:cs="宋体"/>
                <w:kern w:val="2"/>
                <w:sz w:val="21"/>
                <w:szCs w:val="21"/>
                <w:vertAlign w:val="baseline"/>
                <w:lang w:val="en-US" w:eastAsia="zh-CN"/>
              </w:rPr>
              <w:t>《关于南昌农村商业银行股份有限公司2022年定向募股实施方案》</w:t>
            </w:r>
          </w:p>
        </w:tc>
        <w:tc>
          <w:tcPr>
            <w:tcW w:w="547" w:type="pct"/>
            <w:tcBorders>
              <w:tl2br w:val="nil"/>
              <w:tr2bl w:val="nil"/>
            </w:tcBorders>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kern w:val="2"/>
                <w:sz w:val="21"/>
                <w:szCs w:val="21"/>
                <w:vertAlign w:val="baseline"/>
                <w:lang w:val="en-US" w:eastAsia="zh-CN"/>
              </w:rPr>
            </w:pPr>
            <w:r>
              <w:rPr>
                <w:rFonts w:hint="eastAsia" w:cs="宋体"/>
                <w:kern w:val="2"/>
                <w:sz w:val="21"/>
                <w:szCs w:val="21"/>
                <w:vertAlign w:val="baseline"/>
                <w:lang w:val="en-US" w:eastAsia="zh-CN"/>
              </w:rPr>
              <w:t>弃权票</w:t>
            </w:r>
          </w:p>
        </w:tc>
        <w:tc>
          <w:tcPr>
            <w:tcW w:w="753" w:type="pct"/>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sz w:val="21"/>
                <w:szCs w:val="21"/>
                <w:lang w:val="en-US" w:eastAsia="zh-CN"/>
              </w:rPr>
            </w:pPr>
            <w:r>
              <w:rPr>
                <w:rFonts w:hint="eastAsia"/>
                <w:sz w:val="21"/>
                <w:szCs w:val="21"/>
                <w:lang w:val="en-US" w:eastAsia="zh-CN"/>
              </w:rPr>
              <w:t>股权抵押贷款比其他贷款利率高、分红配股的收益率低</w:t>
            </w:r>
          </w:p>
        </w:tc>
      </w:tr>
    </w:tbl>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b w:val="0"/>
          <w:bCs w:val="0"/>
          <w:color w:val="auto"/>
          <w:kern w:val="2"/>
          <w:sz w:val="30"/>
          <w:szCs w:val="30"/>
          <w:highlight w:val="none"/>
          <w:lang w:val="en-US" w:eastAsia="zh-CN"/>
        </w:rPr>
      </w:pPr>
      <w:r>
        <w:rPr>
          <w:rFonts w:hint="eastAsia" w:ascii="Times New Roman" w:hAnsi="Times New Roman" w:eastAsia="仿宋_GB2312" w:cs="Times New Roman"/>
          <w:b w:val="0"/>
          <w:bCs w:val="0"/>
          <w:color w:val="auto"/>
          <w:kern w:val="2"/>
          <w:sz w:val="30"/>
          <w:szCs w:val="30"/>
          <w:highlight w:val="none"/>
          <w:lang w:val="en-US" w:eastAsia="zh-CN"/>
        </w:rPr>
        <w:t>根据公司提供的2022年度第二十次股东大会（临时会议）签名册、表决票、授权委托书、会议记录文件以及江西志谦律师事务所出具的《关于南昌农村商业银行股份有限公司第二十次股东大会（临时会议）法律意见书》：《关于南昌农村商业银行股份有限公司2022年定向募股实施方案》、《关于聘请北京澄宇会计师事务所（特殊普通合伙）江西分所进行2020年、2021年、2022年1-9月份会计审计、清产核资、资产评估的议案》、《关于修订南昌农村商业银行股份有限公司章程的议案》、《关于授权董事会代表南昌农村商业银行股份有限公司全权办理本次发行具体事宜的议案》等股东大会议案由公司董事会根据根据《公司法》、《挂牌公司股票发行常见问题解答（三）——募集资金管理、认购协议中特殊条款、特殊类型挂牌公司融资》等法律法规、规范性文件、指引要求以及《公司章程》等内部规范文件拟定，内容合法合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b w:val="0"/>
          <w:bCs w:val="0"/>
          <w:color w:val="auto"/>
          <w:kern w:val="2"/>
          <w:sz w:val="30"/>
          <w:szCs w:val="30"/>
          <w:highlight w:val="none"/>
          <w:lang w:val="en-US" w:eastAsia="zh-CN"/>
        </w:rPr>
      </w:pPr>
      <w:r>
        <w:rPr>
          <w:rFonts w:hint="eastAsia" w:ascii="Times New Roman" w:hAnsi="Times New Roman" w:eastAsia="仿宋_GB2312" w:cs="Times New Roman"/>
          <w:b w:val="0"/>
          <w:bCs w:val="0"/>
          <w:color w:val="auto"/>
          <w:kern w:val="2"/>
          <w:sz w:val="30"/>
          <w:szCs w:val="30"/>
          <w:highlight w:val="none"/>
          <w:lang w:val="en-US" w:eastAsia="zh-CN"/>
        </w:rPr>
        <w:t>2022年度第二十次股东大会（临时会议）</w:t>
      </w:r>
      <w:r>
        <w:rPr>
          <w:rFonts w:hint="default" w:ascii="Times New Roman" w:hAnsi="Times New Roman" w:eastAsia="仿宋_GB2312" w:cs="Times New Roman"/>
          <w:b w:val="0"/>
          <w:bCs w:val="0"/>
          <w:color w:val="auto"/>
          <w:kern w:val="2"/>
          <w:sz w:val="30"/>
          <w:szCs w:val="30"/>
          <w:highlight w:val="none"/>
          <w:lang w:val="en-US" w:eastAsia="zh-CN"/>
        </w:rPr>
        <w:t>于20</w:t>
      </w:r>
      <w:r>
        <w:rPr>
          <w:rFonts w:hint="eastAsia" w:ascii="Times New Roman" w:hAnsi="Times New Roman" w:eastAsia="仿宋_GB2312" w:cs="Times New Roman"/>
          <w:b w:val="0"/>
          <w:bCs w:val="0"/>
          <w:color w:val="auto"/>
          <w:kern w:val="2"/>
          <w:sz w:val="30"/>
          <w:szCs w:val="30"/>
          <w:highlight w:val="none"/>
          <w:lang w:val="en-US" w:eastAsia="zh-CN"/>
        </w:rPr>
        <w:t>22</w:t>
      </w:r>
      <w:r>
        <w:rPr>
          <w:rFonts w:hint="default" w:ascii="Times New Roman" w:hAnsi="Times New Roman" w:eastAsia="仿宋_GB2312" w:cs="Times New Roman"/>
          <w:b w:val="0"/>
          <w:bCs w:val="0"/>
          <w:color w:val="auto"/>
          <w:kern w:val="2"/>
          <w:sz w:val="30"/>
          <w:szCs w:val="30"/>
          <w:highlight w:val="none"/>
          <w:lang w:val="en-US" w:eastAsia="zh-CN"/>
        </w:rPr>
        <w:t>年</w:t>
      </w:r>
      <w:r>
        <w:rPr>
          <w:rFonts w:hint="eastAsia" w:ascii="Times New Roman" w:hAnsi="Times New Roman" w:eastAsia="仿宋_GB2312" w:cs="Times New Roman"/>
          <w:b w:val="0"/>
          <w:bCs w:val="0"/>
          <w:color w:val="auto"/>
          <w:kern w:val="2"/>
          <w:sz w:val="30"/>
          <w:szCs w:val="30"/>
          <w:highlight w:val="none"/>
          <w:lang w:val="en-US" w:eastAsia="zh-CN"/>
        </w:rPr>
        <w:t>11</w:t>
      </w:r>
      <w:r>
        <w:rPr>
          <w:rFonts w:hint="default" w:ascii="Times New Roman" w:hAnsi="Times New Roman" w:eastAsia="仿宋_GB2312" w:cs="Times New Roman"/>
          <w:b w:val="0"/>
          <w:bCs w:val="0"/>
          <w:color w:val="auto"/>
          <w:kern w:val="2"/>
          <w:sz w:val="30"/>
          <w:szCs w:val="30"/>
          <w:highlight w:val="none"/>
          <w:lang w:val="en-US" w:eastAsia="zh-CN"/>
        </w:rPr>
        <w:t>月</w:t>
      </w:r>
      <w:r>
        <w:rPr>
          <w:rFonts w:hint="eastAsia" w:ascii="Times New Roman" w:hAnsi="Times New Roman" w:eastAsia="仿宋_GB2312" w:cs="Times New Roman"/>
          <w:b w:val="0"/>
          <w:bCs w:val="0"/>
          <w:color w:val="auto"/>
          <w:kern w:val="2"/>
          <w:sz w:val="30"/>
          <w:szCs w:val="30"/>
          <w:highlight w:val="none"/>
          <w:lang w:val="en-US" w:eastAsia="zh-CN"/>
        </w:rPr>
        <w:t>16</w:t>
      </w:r>
      <w:r>
        <w:rPr>
          <w:rFonts w:hint="default" w:ascii="Times New Roman" w:hAnsi="Times New Roman" w:eastAsia="仿宋_GB2312" w:cs="Times New Roman"/>
          <w:b w:val="0"/>
          <w:bCs w:val="0"/>
          <w:color w:val="auto"/>
          <w:kern w:val="2"/>
          <w:sz w:val="30"/>
          <w:szCs w:val="30"/>
          <w:highlight w:val="none"/>
          <w:lang w:val="en-US" w:eastAsia="zh-CN"/>
        </w:rPr>
        <w:t>日召开，上述</w:t>
      </w:r>
      <w:r>
        <w:rPr>
          <w:rFonts w:hint="eastAsia" w:ascii="Times New Roman" w:hAnsi="Times New Roman" w:eastAsia="仿宋_GB2312" w:cs="Times New Roman"/>
          <w:b w:val="0"/>
          <w:bCs w:val="0"/>
          <w:color w:val="auto"/>
          <w:kern w:val="2"/>
          <w:sz w:val="30"/>
          <w:szCs w:val="30"/>
          <w:highlight w:val="none"/>
          <w:lang w:val="en-US" w:eastAsia="zh-CN"/>
        </w:rPr>
        <w:t>议案</w:t>
      </w:r>
      <w:r>
        <w:rPr>
          <w:rFonts w:hint="default" w:ascii="Times New Roman" w:hAnsi="Times New Roman" w:eastAsia="仿宋_GB2312" w:cs="Times New Roman"/>
          <w:b w:val="0"/>
          <w:bCs w:val="0"/>
          <w:color w:val="auto"/>
          <w:kern w:val="2"/>
          <w:sz w:val="30"/>
          <w:szCs w:val="30"/>
          <w:highlight w:val="none"/>
          <w:lang w:val="en-US" w:eastAsia="zh-CN"/>
        </w:rPr>
        <w:t>系经出席股东大会的股东所持表决权的三分之二以上以现场会议投票表决方式予以通过，符合《公司法》、《公司章程》、《南昌农村商业银行股份有限公司股东大会议事规则》的相关规定，表决程序合法合规。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b w:val="0"/>
          <w:bCs w:val="0"/>
          <w:color w:val="auto"/>
          <w:kern w:val="2"/>
          <w:sz w:val="30"/>
          <w:szCs w:val="30"/>
          <w:highlight w:val="none"/>
          <w:lang w:val="en-US" w:eastAsia="zh-CN"/>
        </w:rPr>
      </w:pPr>
      <w:r>
        <w:rPr>
          <w:rFonts w:hint="eastAsia" w:ascii="Times New Roman" w:hAnsi="Times New Roman" w:eastAsia="仿宋_GB2312" w:cs="Times New Roman"/>
          <w:b w:val="0"/>
          <w:bCs w:val="0"/>
          <w:color w:val="auto"/>
          <w:kern w:val="2"/>
          <w:sz w:val="30"/>
          <w:szCs w:val="30"/>
          <w:highlight w:val="none"/>
          <w:lang w:val="en-US" w:eastAsia="zh-CN"/>
        </w:rPr>
        <w:t>申请人本次审议的定向发行方案有关内容与银监部门批复的定向募股方案是否一致，股东是否知悉，是否存在潜在问题和纠纷。</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b w:val="0"/>
          <w:bCs w:val="0"/>
          <w:color w:val="auto"/>
          <w:kern w:val="2"/>
          <w:sz w:val="30"/>
          <w:szCs w:val="30"/>
          <w:highlight w:val="none"/>
          <w:lang w:val="en-US" w:eastAsia="zh-CN"/>
        </w:rPr>
      </w:pPr>
      <w:r>
        <w:rPr>
          <w:rFonts w:hint="eastAsia" w:ascii="Times New Roman" w:hAnsi="Times New Roman" w:eastAsia="仿宋_GB2312" w:cs="Times New Roman"/>
          <w:b w:val="0"/>
          <w:bCs w:val="0"/>
          <w:color w:val="auto"/>
          <w:kern w:val="2"/>
          <w:sz w:val="30"/>
          <w:szCs w:val="30"/>
          <w:highlight w:val="none"/>
          <w:lang w:val="en-US" w:eastAsia="zh-CN"/>
        </w:rPr>
        <w:t>2022年11月30日公司向中国银行业监督管理委员会江西监管局提交《南昌农村商业银行股份有限公司关于2022年定向募股方案的请示》，其中附件1为《南昌农村商业银行股份有限公司定向募股实施方案》，2022年12月16日中国银保监会江西监管局出具赣银保监复[2022]254号《江西银保监局关于南昌农村商业银行股份有限公司2022年定向募股方案的批复》，原则同意南昌农商银行2022年定向募股方案。此份银监部门批复的定向募股方案与公司2022年度第二十次股东大会（临时会议）审议通过《关于南昌农村商业银行股份有限公司2022年定向募股实施方案》一致。</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b w:val="0"/>
          <w:bCs w:val="0"/>
          <w:color w:val="auto"/>
          <w:kern w:val="2"/>
          <w:sz w:val="30"/>
          <w:szCs w:val="30"/>
          <w:highlight w:val="none"/>
          <w:lang w:val="en-US" w:eastAsia="zh-CN"/>
        </w:rPr>
      </w:pPr>
      <w:r>
        <w:rPr>
          <w:rFonts w:hint="eastAsia" w:ascii="Times New Roman" w:hAnsi="Times New Roman" w:eastAsia="仿宋_GB2312" w:cs="Times New Roman"/>
          <w:b w:val="0"/>
          <w:bCs w:val="0"/>
          <w:color w:val="auto"/>
          <w:kern w:val="2"/>
          <w:sz w:val="30"/>
          <w:szCs w:val="30"/>
          <w:highlight w:val="none"/>
          <w:lang w:val="en-US" w:eastAsia="zh-CN"/>
        </w:rPr>
        <w:t>律师认为，《关于南昌农村商业银行股份有限公司2022年定向募股实施方案》与银监部门批复的定向募股方案在内容上一致，均包含定向募股原因、发行数量、发行对象、发行对象的合规性审查、发行价格、发行方式、募集资金用途等与本次股票发行密切相关的内容。同时，《关于南昌农村商业银行股份有限公司2022年定向募股实施方案》作为本次定向募集资金申请文件的附件呈报银监部门。2022年12月16日，中国银保监会江西监管局出具赣银保监复[2022]254号《江西银保监局关于南昌农村商业银行股份有限公司2022年定向募股方案的批复》，原则同意南昌农商银行2022年定向募股方案。</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b w:val="0"/>
          <w:bCs w:val="0"/>
          <w:color w:val="auto"/>
          <w:kern w:val="2"/>
          <w:sz w:val="30"/>
          <w:szCs w:val="30"/>
          <w:highlight w:val="none"/>
          <w:lang w:val="en-US" w:eastAsia="zh-CN"/>
        </w:rPr>
      </w:pPr>
      <w:r>
        <w:rPr>
          <w:rFonts w:hint="eastAsia" w:ascii="Times New Roman" w:hAnsi="Times New Roman" w:eastAsia="仿宋_GB2312" w:cs="Times New Roman"/>
          <w:b w:val="0"/>
          <w:bCs w:val="0"/>
          <w:color w:val="auto"/>
          <w:kern w:val="2"/>
          <w:sz w:val="30"/>
          <w:szCs w:val="30"/>
          <w:highlight w:val="none"/>
          <w:lang w:val="en-US" w:eastAsia="zh-CN"/>
        </w:rPr>
        <w:t>公司已采取下列措施保障股东充分知悉定向募股实施方案，不存在潜在问题和纠纷：（1）2022年11月1日，公司在公司官方网站发布股东大会通知时已披露《关于南昌农村商业银行股份有限公司2022年定向募股实施方案》的会议议程。（2）参会股东于2022年11月1日收到南昌农商银行股份有限公司2022年第二十次股东大会（临时会议）的会议通知及会议通知中所列明的相关附件和关联文书，并已签收《会议通知送达回执》。（3）公司将2022年第二十次股东大会（临时会议）的全部议案印制成会议资料，发放给前来参加股东大会的股东及其代理人，根据相关会议文件，本次股东大会共有116名股东（包括股东代理人）出席，占公司有表决权股份总数的70.06%。主持人在2022年第二十次股东大会（临时会议）上向参会股东宣读定向募股实施方案，股东通过表决票对《股票发行方案》进行了表决，表决程序及表决结果合法有效。</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b w:val="0"/>
          <w:bCs w:val="0"/>
          <w:color w:val="auto"/>
          <w:kern w:val="2"/>
          <w:sz w:val="30"/>
          <w:szCs w:val="30"/>
          <w:highlight w:val="none"/>
          <w:lang w:eastAsia="zh-CN"/>
        </w:rPr>
      </w:pPr>
      <w:r>
        <w:rPr>
          <w:rFonts w:hint="default" w:ascii="Times New Roman" w:hAnsi="Times New Roman" w:eastAsia="仿宋_GB2312" w:cs="Times New Roman"/>
          <w:b w:val="0"/>
          <w:bCs w:val="0"/>
          <w:color w:val="auto"/>
          <w:kern w:val="2"/>
          <w:sz w:val="30"/>
          <w:szCs w:val="30"/>
          <w:highlight w:val="none"/>
          <w:lang w:eastAsia="zh-CN"/>
        </w:rPr>
        <w:t>申请人律师已就上述事项发表了明确意见。</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eastAsia" w:ascii="黑体" w:hAnsi="黑体" w:eastAsia="黑体" w:cs="黑体"/>
          <w:b w:val="0"/>
          <w:bCs/>
          <w:color w:val="auto"/>
          <w:sz w:val="30"/>
          <w:szCs w:val="30"/>
          <w:highlight w:val="none"/>
          <w:lang w:val="en-US" w:eastAsia="zh-CN"/>
        </w:rPr>
      </w:pPr>
      <w:r>
        <w:rPr>
          <w:rFonts w:hint="default" w:ascii="黑体" w:hAnsi="黑体" w:eastAsia="黑体" w:cs="黑体"/>
          <w:b w:val="0"/>
          <w:bCs/>
          <w:color w:val="auto"/>
          <w:sz w:val="30"/>
          <w:szCs w:val="30"/>
          <w:highlight w:val="none"/>
          <w:lang w:val="en-US" w:eastAsia="zh-CN"/>
        </w:rPr>
        <w:t>三</w:t>
      </w:r>
      <w:r>
        <w:rPr>
          <w:rFonts w:hint="eastAsia" w:ascii="黑体" w:hAnsi="黑体" w:eastAsia="黑体" w:cs="黑体"/>
          <w:b w:val="0"/>
          <w:bCs/>
          <w:color w:val="auto"/>
          <w:sz w:val="30"/>
          <w:szCs w:val="30"/>
          <w:highlight w:val="none"/>
          <w:lang w:val="en-US" w:eastAsia="zh-CN"/>
        </w:rPr>
        <w:t>、合规性审核意见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0"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val="en-US" w:eastAsia="zh-CN"/>
        </w:rPr>
      </w:pPr>
      <w:r>
        <w:rPr>
          <w:rFonts w:hint="default" w:ascii="Times New Roman" w:hAnsi="Times New Roman" w:eastAsia="仿宋_GB2312" w:cs="Times New Roman"/>
          <w:color w:val="auto"/>
          <w:sz w:val="30"/>
          <w:lang w:val="en-US" w:eastAsia="zh-CN"/>
        </w:rPr>
        <w:t>我会认为，申请人提交的申请材料和信息披露基本符合《公司法》《证券法》《公众公司办法》《非上市公众公司信息披露内容与格式准则第3号——定向发行说明书和发行情况报告书》《非上市公众公司信息披露内容与格式准则第4号——定向发行申请文件》和《关于股东人数超过200人的未上市商业银行增发股份有关问题的通知》（证监发〔2018〕24号）等法律法规的规定，相关中介机构已就本次申请的相关问题依法发表了明确的意见。据此，我会同意</w:t>
      </w:r>
      <w:r>
        <w:rPr>
          <w:rFonts w:hint="default" w:eastAsia="仿宋_GB2312" w:cs="Times New Roman"/>
          <w:color w:val="auto"/>
          <w:sz w:val="30"/>
          <w:lang w:eastAsia="zh-CN"/>
        </w:rPr>
        <w:t>南昌农商银行股份有限公司</w:t>
      </w:r>
      <w:r>
        <w:rPr>
          <w:rFonts w:hint="default" w:ascii="Times New Roman" w:hAnsi="Times New Roman" w:eastAsia="仿宋_GB2312" w:cs="Times New Roman"/>
          <w:color w:val="auto"/>
          <w:sz w:val="30"/>
          <w:lang w:val="en-US" w:eastAsia="zh-CN"/>
        </w:rPr>
        <w:t>向特定对象发行股票的申请。</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ource Han Sans CN">
    <w:panose1 w:val="020B0600000000000000"/>
    <w:charset w:val="86"/>
    <w:family w:val="auto"/>
    <w:pitch w:val="default"/>
    <w:sig w:usb0="20000003" w:usb1="2ADF3C10" w:usb2="00000016" w:usb3="00000000" w:csb0="60060107"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imes New Roman" w:hAnsi="Times New Roman" w:eastAsia="黑体"/>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wps:txbx>
                    <wps:bodyPr vert="horz" wrap="none" lIns="0" tIns="0" rIns="0" bIns="0" upright="false">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M6pebnPAAAABQEAAA8AAAAAAAAAAQAgAAAAOAAAAGRycy9k&#10;b3ducmV2LnhtbFBLAQIUABQAAAAIAIdO4kBF1no9vAEAAF0DAAAOAAAAAAAAAAEAIAAAADQBAABk&#10;cnMvZTJvRG9jLnhtbFBLBQYAAAAABgAGAFkBAABiBQAAAAA=&#10;">
              <v:fill on="f" focussize="0,0"/>
              <v:stroke on="f"/>
              <v:imagedata o:title=""/>
              <o:lock v:ext="edit" aspectratio="f"/>
              <v:textbox inset="0mm,0mm,0mm,0mm" style="mso-fit-shape-to-text:t;">
                <w:txbxContent>
                  <w:p>
                    <w:pPr>
                      <w:pStyle w:val="8"/>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src.gov.cn/resoftCtrl/DownloadController?attachmentId=56104c1a4c004af0ae4f467df1a53d02&amp;fileDirId=defultDirectory"/>
  </w:docVars>
  <w:rsids>
    <w:rsidRoot w:val="00172A27"/>
    <w:rsid w:val="01B5535E"/>
    <w:rsid w:val="046C5632"/>
    <w:rsid w:val="09554BCE"/>
    <w:rsid w:val="0B0D0DC9"/>
    <w:rsid w:val="0B88497C"/>
    <w:rsid w:val="0BE36264"/>
    <w:rsid w:val="0DDB64E1"/>
    <w:rsid w:val="0E79B22A"/>
    <w:rsid w:val="12A607FC"/>
    <w:rsid w:val="146D6B27"/>
    <w:rsid w:val="14BC4085"/>
    <w:rsid w:val="165B60AA"/>
    <w:rsid w:val="187FB78D"/>
    <w:rsid w:val="1C3B3AF3"/>
    <w:rsid w:val="1F170A15"/>
    <w:rsid w:val="1F312335"/>
    <w:rsid w:val="1F692855"/>
    <w:rsid w:val="1FF76332"/>
    <w:rsid w:val="25EE0BA3"/>
    <w:rsid w:val="2DB5B7D1"/>
    <w:rsid w:val="2DD455EB"/>
    <w:rsid w:val="2F931697"/>
    <w:rsid w:val="304779DE"/>
    <w:rsid w:val="32907B96"/>
    <w:rsid w:val="355565EC"/>
    <w:rsid w:val="35F712E5"/>
    <w:rsid w:val="36265E40"/>
    <w:rsid w:val="37FDD243"/>
    <w:rsid w:val="397F469C"/>
    <w:rsid w:val="3B4107F5"/>
    <w:rsid w:val="3EB97EF8"/>
    <w:rsid w:val="3FFF68E0"/>
    <w:rsid w:val="47250657"/>
    <w:rsid w:val="49877221"/>
    <w:rsid w:val="4A7D5E20"/>
    <w:rsid w:val="4C951C17"/>
    <w:rsid w:val="4F65713B"/>
    <w:rsid w:val="4F72738F"/>
    <w:rsid w:val="51F133DF"/>
    <w:rsid w:val="525E5B2F"/>
    <w:rsid w:val="52DB3DB8"/>
    <w:rsid w:val="538E771D"/>
    <w:rsid w:val="54560421"/>
    <w:rsid w:val="55C5F9D9"/>
    <w:rsid w:val="587C37A2"/>
    <w:rsid w:val="59277730"/>
    <w:rsid w:val="5A220852"/>
    <w:rsid w:val="5AFE265D"/>
    <w:rsid w:val="600B773C"/>
    <w:rsid w:val="60971CF4"/>
    <w:rsid w:val="626B53E4"/>
    <w:rsid w:val="65C21CA5"/>
    <w:rsid w:val="69195C40"/>
    <w:rsid w:val="6B117367"/>
    <w:rsid w:val="6BF2BE5C"/>
    <w:rsid w:val="6C7271D0"/>
    <w:rsid w:val="6C946CC4"/>
    <w:rsid w:val="6D0F4235"/>
    <w:rsid w:val="71B77AF0"/>
    <w:rsid w:val="744A5251"/>
    <w:rsid w:val="77C7F603"/>
    <w:rsid w:val="7BB67C51"/>
    <w:rsid w:val="7BBF3025"/>
    <w:rsid w:val="7BF73ED1"/>
    <w:rsid w:val="7BFD969F"/>
    <w:rsid w:val="7DC6E345"/>
    <w:rsid w:val="7E0D36B4"/>
    <w:rsid w:val="7EE34802"/>
    <w:rsid w:val="7F7F31EE"/>
    <w:rsid w:val="B7EAB901"/>
    <w:rsid w:val="BC7B49C7"/>
    <w:rsid w:val="BD7E3E02"/>
    <w:rsid w:val="C77EFDCB"/>
    <w:rsid w:val="CA5EFC62"/>
    <w:rsid w:val="CAFE7510"/>
    <w:rsid w:val="CBFBDA75"/>
    <w:rsid w:val="CFFEF0C2"/>
    <w:rsid w:val="D78FFC36"/>
    <w:rsid w:val="DAFEDAA6"/>
    <w:rsid w:val="E9924C0C"/>
    <w:rsid w:val="EAC95992"/>
    <w:rsid w:val="EBFF1D28"/>
    <w:rsid w:val="F6BB9221"/>
    <w:rsid w:val="FBDF57EF"/>
    <w:rsid w:val="FBF9CA7A"/>
    <w:rsid w:val="FEC965C3"/>
    <w:rsid w:val="FF330F09"/>
    <w:rsid w:val="FFBE3C58"/>
    <w:rsid w:val="FFFB2525"/>
    <w:rsid w:val="FFFB5B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5"/>
    <w:qFormat/>
    <w:uiPriority w:val="9"/>
    <w:pPr>
      <w:keepNext/>
      <w:keepLines/>
      <w:spacing w:before="240" w:beforeLines="0" w:beforeAutospacing="0" w:after="240" w:afterLines="0" w:afterAutospacing="0" w:line="360" w:lineRule="auto"/>
      <w:ind w:firstLine="200" w:firstLineChars="200"/>
      <w:outlineLvl w:val="0"/>
    </w:pPr>
    <w:rPr>
      <w:rFonts w:ascii="Times New Roman" w:hAnsi="Times New Roman" w:eastAsia="黑体"/>
      <w:b/>
      <w:kern w:val="44"/>
      <w:sz w:val="24"/>
    </w:rPr>
  </w:style>
  <w:style w:type="paragraph" w:styleId="4">
    <w:name w:val="heading 2"/>
    <w:basedOn w:val="1"/>
    <w:next w:val="1"/>
    <w:unhideWhenUsed/>
    <w:qFormat/>
    <w:uiPriority w:val="9"/>
    <w:pPr>
      <w:spacing w:line="360" w:lineRule="auto"/>
      <w:jc w:val="left"/>
      <w:outlineLvl w:val="1"/>
    </w:pPr>
    <w:rPr>
      <w:rFonts w:ascii="宋体" w:hAnsi="宋体" w:eastAsia="宋体"/>
      <w:b/>
      <w:sz w:val="24"/>
      <w:szCs w:val="28"/>
    </w:rPr>
  </w:style>
  <w:style w:type="character" w:default="1" w:styleId="13">
    <w:name w:val="Default Paragraph Font"/>
    <w:unhideWhenUsed/>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66"/>
      <w:ind w:left="124"/>
    </w:pPr>
    <w:rPr>
      <w:rFonts w:ascii="宋体" w:hAnsi="宋体"/>
      <w:sz w:val="30"/>
      <w:szCs w:val="30"/>
    </w:rPr>
  </w:style>
  <w:style w:type="paragraph" w:styleId="5">
    <w:name w:val="annotation text"/>
    <w:basedOn w:val="1"/>
    <w:unhideWhenUsed/>
    <w:qFormat/>
    <w:uiPriority w:val="99"/>
    <w:pPr>
      <w:jc w:val="left"/>
    </w:pPr>
  </w:style>
  <w:style w:type="paragraph" w:styleId="6">
    <w:name w:val="Plain Text"/>
    <w:basedOn w:val="1"/>
    <w:unhideWhenUsed/>
    <w:qFormat/>
    <w:uiPriority w:val="99"/>
    <w:rPr>
      <w:rFonts w:ascii="宋体" w:hAnsi="Courier New"/>
      <w:kern w:val="0"/>
      <w:sz w:val="20"/>
      <w:szCs w:val="20"/>
    </w:rPr>
  </w:style>
  <w:style w:type="paragraph" w:styleId="7">
    <w:name w:val="Balloon Text"/>
    <w:basedOn w:val="1"/>
    <w:unhideWhenUsed/>
    <w:qFormat/>
    <w:uiPriority w:val="99"/>
    <w:pPr>
      <w:widowControl w:val="0"/>
      <w:jc w:val="both"/>
    </w:pPr>
    <w:rPr>
      <w:rFonts w:ascii="Calibri" w:hAnsi="Calibri" w:cs="Times New Roman"/>
      <w:sz w:val="18"/>
      <w:szCs w:val="18"/>
    </w:rPr>
  </w:style>
  <w:style w:type="paragraph" w:styleId="8">
    <w:name w:val="footer"/>
    <w:basedOn w:val="1"/>
    <w:unhideWhenUsed/>
    <w:qFormat/>
    <w:uiPriority w:val="0"/>
    <w:pPr>
      <w:tabs>
        <w:tab w:val="center" w:pos="4153"/>
        <w:tab w:val="right" w:pos="8306"/>
      </w:tabs>
      <w:snapToGrid w:val="0"/>
      <w:jc w:val="left"/>
    </w:pPr>
    <w:rPr>
      <w:sz w:val="18"/>
    </w:rPr>
  </w:style>
  <w:style w:type="paragraph" w:styleId="9">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Normal (Web)"/>
    <w:basedOn w:val="1"/>
    <w:unhideWhenUsed/>
    <w:qFormat/>
    <w:uiPriority w:val="99"/>
    <w:pPr>
      <w:widowControl/>
      <w:spacing w:after="150" w:afterLines="0"/>
      <w:jc w:val="left"/>
    </w:pPr>
    <w:rPr>
      <w:rFonts w:ascii="宋体" w:hAnsi="宋体" w:cs="宋体"/>
      <w:kern w:val="0"/>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unhideWhenUsed/>
    <w:qFormat/>
    <w:uiPriority w:val="99"/>
  </w:style>
  <w:style w:type="character" w:customStyle="1" w:styleId="15">
    <w:name w:val="标题 1 字符"/>
    <w:link w:val="3"/>
    <w:qFormat/>
    <w:uiPriority w:val="0"/>
    <w:rPr>
      <w:rFonts w:ascii="Times New Roman" w:hAnsi="Times New Roman" w:eastAsia="黑体"/>
      <w:b/>
      <w:kern w:val="44"/>
      <w:sz w:val="24"/>
    </w:rPr>
  </w:style>
  <w:style w:type="character" w:customStyle="1" w:styleId="16">
    <w:name w:val=" Char Char7"/>
    <w:qFormat/>
    <w:uiPriority w:val="0"/>
    <w:rPr>
      <w:sz w:val="24"/>
      <w:lang w:val="en-GB" w:eastAsia="en-US"/>
    </w:rPr>
  </w:style>
  <w:style w:type="character" w:customStyle="1" w:styleId="17">
    <w:name w:val="font31"/>
    <w:qFormat/>
    <w:uiPriority w:val="0"/>
    <w:rPr>
      <w:rFonts w:hint="eastAsia" w:ascii="黑体" w:hAnsi="宋体" w:eastAsia="黑体" w:cs="黑体"/>
      <w:b/>
      <w:color w:val="000000"/>
      <w:sz w:val="22"/>
      <w:szCs w:val="22"/>
      <w:u w:val="none"/>
    </w:rPr>
  </w:style>
  <w:style w:type="paragraph" w:customStyle="1" w:styleId="18">
    <w:name w:val="样式 思美招股书正文 + 首行缩进:  2 字符 段前: 0.5 行 段后: 0.5 行"/>
    <w:basedOn w:val="1"/>
    <w:qFormat/>
    <w:uiPriority w:val="0"/>
    <w:pPr>
      <w:adjustRightInd w:val="0"/>
      <w:snapToGrid w:val="0"/>
      <w:spacing w:before="156" w:beforeLines="50" w:after="156" w:afterLines="50" w:line="360" w:lineRule="auto"/>
      <w:ind w:firstLine="480" w:firstLineChars="200"/>
      <w:textAlignment w:val="center"/>
    </w:pPr>
    <w:rPr>
      <w:rFonts w:ascii="Times New Roman" w:hAnsi="Times New Roman" w:cs="宋体"/>
      <w:sz w:val="24"/>
    </w:rPr>
  </w:style>
  <w:style w:type="paragraph" w:customStyle="1" w:styleId="19">
    <w:name w:val="列出段落1"/>
    <w:basedOn w:val="1"/>
    <w:qFormat/>
    <w:uiPriority w:val="0"/>
    <w:pPr>
      <w:ind w:firstLine="420" w:firstLineChars="200"/>
    </w:pPr>
    <w:rPr>
      <w:rFonts w:ascii="Calibri" w:hAnsi="Calibri" w:eastAsia="宋体"/>
    </w:rPr>
  </w:style>
  <w:style w:type="paragraph" w:customStyle="1" w:styleId="20">
    <w:name w:val="VI 正文格式"/>
    <w:basedOn w:val="1"/>
    <w:qFormat/>
    <w:uiPriority w:val="0"/>
    <w:pPr>
      <w:adjustRightInd w:val="0"/>
      <w:spacing w:before="93" w:beforeLines="30" w:beforeAutospacing="0" w:after="93" w:afterLines="30" w:afterAutospacing="0" w:line="360" w:lineRule="auto"/>
      <w:ind w:firstLine="480" w:firstLineChars="200"/>
      <w:textAlignment w:val="baseline"/>
    </w:pPr>
    <w:rPr>
      <w:rFonts w:ascii="宋体" w:hAnsi="宋体"/>
      <w:sz w:val="24"/>
    </w:rPr>
  </w:style>
  <w:style w:type="paragraph" w:styleId="21">
    <w:name w:val="List Paragraph"/>
    <w:basedOn w:val="1"/>
    <w:qFormat/>
    <w:uiPriority w:val="0"/>
    <w:pPr>
      <w:ind w:firstLine="420" w:firstLineChars="200"/>
    </w:pPr>
  </w:style>
  <w:style w:type="paragraph" w:styleId="22">
    <w:name w:val="No Spacing"/>
    <w:qFormat/>
    <w:uiPriority w:val="0"/>
    <w:pPr>
      <w:jc w:val="center"/>
    </w:pPr>
    <w:rPr>
      <w:rFonts w:ascii="Times New Roman" w:hAnsi="Times New Roman" w:eastAsia="宋体" w:cs="Times New Roman"/>
      <w:kern w:val="2"/>
      <w:sz w:val="21"/>
      <w:szCs w:val="22"/>
      <w:lang w:val="en-US" w:eastAsia="zh-CN" w:bidi="ar-SA"/>
    </w:rPr>
  </w:style>
  <w:style w:type="paragraph" w:customStyle="1" w:styleId="23">
    <w:name w:val="补充披露"/>
    <w:basedOn w:val="1"/>
    <w:qFormat/>
    <w:uiPriority w:val="0"/>
    <w:pPr>
      <w:widowControl w:val="0"/>
      <w:spacing w:before="50" w:beforeLines="0" w:after="50" w:afterLines="0" w:line="360" w:lineRule="auto"/>
      <w:ind w:firstLine="482" w:firstLineChars="200"/>
      <w:jc w:val="both"/>
    </w:pPr>
    <w:rPr>
      <w:rFonts w:ascii="楷体" w:hAnsi="楷体" w:eastAsia="楷体" w:cs="Times New Roman"/>
      <w:b/>
      <w:color w:val="000000"/>
      <w:lang w:val="zh-CN"/>
    </w:rPr>
  </w:style>
  <w:style w:type="paragraph" w:customStyle="1" w:styleId="24">
    <w:name w:val="单位"/>
    <w:basedOn w:val="23"/>
    <w:qFormat/>
    <w:uiPriority w:val="0"/>
    <w:pPr>
      <w:widowControl w:val="0"/>
      <w:ind w:firstLine="422" w:firstLineChars="200"/>
      <w:jc w:val="right"/>
    </w:pPr>
    <w:rPr>
      <w:rFonts w:ascii="楷体" w:hAnsi="楷体" w:cs="Times New Roman"/>
      <w:kern w:val="2"/>
      <w:sz w:val="21"/>
      <w:szCs w:val="21"/>
    </w:rPr>
  </w:style>
  <w:style w:type="paragraph" w:customStyle="1" w:styleId="25">
    <w:name w:val="header"/>
    <w:basedOn w:val="1"/>
    <w:qFormat/>
    <w:uiPriority w:val="0"/>
    <w:pPr>
      <w:pBdr>
        <w:bottom w:val="single" w:color="auto" w:sz="6" w:space="1"/>
      </w:pBdr>
      <w:tabs>
        <w:tab w:val="center" w:pos="4153"/>
        <w:tab w:val="right" w:pos="8306"/>
      </w:tabs>
      <w:snapToGrid w:val="0"/>
      <w:jc w:val="center"/>
    </w:pPr>
    <w:rPr>
      <w:rFonts w:ascii="Calibri" w:hAnsi="Calibri" w:eastAsia="宋体"/>
      <w:kern w:val="2"/>
      <w:sz w:val="18"/>
    </w:rPr>
  </w:style>
  <w:style w:type="paragraph" w:customStyle="1" w:styleId="26">
    <w:name w:val="表格左对齐"/>
    <w:basedOn w:val="1"/>
    <w:qFormat/>
    <w:uiPriority w:val="0"/>
    <w:pPr>
      <w:spacing w:before="0" w:beforeLines="0" w:after="0" w:afterLines="0" w:line="240" w:lineRule="auto"/>
      <w:ind w:firstLine="0" w:firstLineChars="0"/>
      <w:jc w:val="left"/>
    </w:pPr>
    <w:rPr>
      <w:sz w:val="21"/>
    </w:rPr>
  </w:style>
  <w:style w:type="paragraph" w:customStyle="1" w:styleId="27">
    <w:name w:val="Default"/>
    <w:qFormat/>
    <w:uiPriority w:val="0"/>
    <w:pPr>
      <w:widowControl w:val="0"/>
      <w:autoSpaceDE w:val="0"/>
      <w:autoSpaceDN w:val="0"/>
      <w:adjustRightInd w:val="0"/>
    </w:pPr>
    <w:rPr>
      <w:rFonts w:ascii="宋体" w:hAnsi="Calibri" w:eastAsia="宋体" w:cs="Times New Roman"/>
      <w:color w:val="000000"/>
      <w:sz w:val="24"/>
      <w:lang w:val="en-US" w:eastAsia="zh-CN"/>
    </w:rPr>
  </w:style>
  <w:style w:type="paragraph" w:customStyle="1" w:styleId="28">
    <w:name w:val="Normal_1"/>
    <w:qFormat/>
    <w:uiPriority w:val="0"/>
    <w:rPr>
      <w:rFonts w:ascii="Calibri" w:hAnsi="Calibri" w:eastAsia="宋体" w:cs="Times New Roman"/>
      <w:sz w:val="24"/>
      <w:szCs w:val="24"/>
      <w:lang w:val="en-US" w:eastAsia="zh-CN" w:bidi="ar-SA"/>
    </w:rPr>
  </w:style>
  <w:style w:type="paragraph" w:customStyle="1" w:styleId="29">
    <w:name w:val="005正文"/>
    <w:basedOn w:val="1"/>
    <w:qFormat/>
    <w:uiPriority w:val="0"/>
    <w:pPr>
      <w:spacing w:beforeLines="50" w:line="360" w:lineRule="auto"/>
      <w:ind w:firstLine="200" w:firstLineChars="200"/>
    </w:pPr>
    <w:rPr>
      <w:kern w:val="0"/>
      <w:sz w:val="24"/>
      <w:szCs w:val="20"/>
    </w:rPr>
  </w:style>
  <w:style w:type="character" w:customStyle="1" w:styleId="30">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TotalTime>1</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2008-12-30T08:45:00Z</dcterms:created>
  <dc:creator>csrc</dc:creator>
  <cp:lastModifiedBy>赵智林</cp:lastModifiedBy>
  <cp:lastPrinted>2017-07-26T08:21:00Z</cp:lastPrinted>
  <dcterms:modified xsi:type="dcterms:W3CDTF">2023-02-14T17:39:32Z</dcterms:modified>
  <dc:title>关于建议同意昆山鹿城村镇银行股份有限公司向特定对象发行股票的审核意见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