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昌德新材科技股份有限公司首次公开发行股票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10"/>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中信建投证券股份有限公司：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现对你公司推荐的昌德新材科技股份有限公司（以下简称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kern w:val="2"/>
          <w:sz w:val="28"/>
          <w:szCs w:val="20"/>
          <w:lang w:eastAsia="zh-CN"/>
        </w:rPr>
        <w:t>1、招股说明书披露：（1）2021年发行人子公司湖南昌迪少数股东迪斯蔓藤和岳阳新材料少数股东康凯环保股权上翻增资价格为2.3760元/股，低于同期发行人员工股权激励平台智德信增资价格2.50元/股；（2）2021年12月，云泽投资、静平投资增资发行人，云泽投资、静平投资均在2021年12月设立。请发行人说明：（1）迪斯蔓藤和康凯环保增资发行人的背景、原因，采用股权上翻形式增资发行人的商业合理性，该交易前一年迪斯蔓藤和康凯环保的主要财务数据、主营业务与发行人业务的关系，收购少数股权定价依据及公允性，是否存在利益输送或其他利益安排，增资价格低于智德信增资价格的原因及合理性。（2）迪斯蔓藤和康凯环保的基本情况、实际经营业务、在资产、人员、业务和技术等方面与发行人的关系，迪斯蔓藤和康凯环保及其他关联方与发行人主要关联方是否存在关联关系、委托持股或其他利益安排，是否存在为发行人承担成本费用的情形。（3）云泽投资、静平投资增资的背景、原因，是否专为发行人设立，出资来源及合法性，云泽投资、静平投资穿透至最终自然人的背景履历，与发行人及其控股股东、实际控制人、董监高、客户和供应商是否存在亲属关系、关联关系、委托持股或其他利益安排。（4）迪斯蔓藤、康凯环保增资发行人与2021年末金石基金等投资时对公司估值差异较大的合理性，说明评估方法及选取的合理性，主要参数、评估过程、评估结果及评估增值情况等。（5）历史上发行人设立及存续期间是否存在不规范事项，如有则请补充披露具体内容、后续处理方式，以及是否受到过行政处罚或存在被处罚风险，是否构成重大违法行为及本次发行的法律障碍，是否存在纠纷或潜在纠纷。（6）说明历次增资及股权转让的原因，增资或股权转让价格，定价依据、公允性和合理性；股权转让是否真实，有关股权变动是否为双方真实意思表示，是否存在争议或潜在纠纷，是否存在委托持股、利益输送或其他利益安排。（7）说明发行人历次出资、增资、股权转让的资金来源、合法性，是否存在出资不实、抽逃资本等情况。（8）国有股东入股是否履行国资评估、备案、审批等法律程序，是否存在国有资产流失情况，是否存在程序瑕疵，是否存在纠纷或潜在纠纷。（9）</w:t>
      </w:r>
      <w:r>
        <w:rPr>
          <w:rFonts w:hint="default" w:ascii="宋体" w:hAnsi="宋体" w:eastAsia="宋体" w:cs="宋体"/>
          <w:smallCaps w:val="0"/>
          <w:kern w:val="2"/>
          <w:sz w:val="28"/>
          <w:szCs w:val="20"/>
          <w:lang w:val="zh-TW" w:eastAsia="zh-CN" w:bidi="zh-TW"/>
        </w:rPr>
        <w:t>发行人直接和间接股东与发行人其他股东、董事、监事、高级管理人员、本次发行中介机构及其负责人、高级管理人员、经办人员是否存在亲属关系、关联关系、委托持股、信托持股、对赌协议或其他利益输送安排，是否具备法律、法规规定的股东资格。请保荐机构及发行人律师对上述问题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ascii="宋体" w:hAnsi="宋体" w:eastAsia="宋体" w:cs="宋体"/>
          <w:smallCaps w:val="0"/>
          <w:kern w:val="2"/>
          <w:sz w:val="28"/>
          <w:szCs w:val="20"/>
          <w:lang w:eastAsia="zh-CN" w:bidi="zh-TW"/>
        </w:rPr>
        <w:t>2、</w:t>
      </w:r>
      <w:r>
        <w:rPr>
          <w:rFonts w:hint="default" w:ascii="宋体" w:hAnsi="宋体" w:eastAsia="宋体" w:cs="宋体"/>
          <w:smallCaps w:val="0"/>
          <w:kern w:val="2"/>
          <w:sz w:val="28"/>
          <w:szCs w:val="20"/>
          <w:lang w:val="zh-TW" w:eastAsia="zh-CN" w:bidi="zh-TW"/>
        </w:rPr>
        <w:t>昌德化工原为</w:t>
      </w:r>
      <w:r>
        <w:rPr>
          <w:rFonts w:hint="eastAsia" w:ascii="宋体" w:hAnsi="宋体" w:eastAsia="宋体" w:cs="宋体"/>
          <w:smallCaps w:val="0"/>
          <w:kern w:val="2"/>
          <w:sz w:val="28"/>
          <w:szCs w:val="20"/>
          <w:lang w:val="zh-TW" w:eastAsia="zh-CN" w:bidi="zh-TW"/>
        </w:rPr>
        <w:t>中石化巴陵石油化工有限公司</w:t>
      </w:r>
      <w:r>
        <w:rPr>
          <w:rFonts w:hint="default" w:ascii="宋体" w:hAnsi="宋体" w:eastAsia="宋体" w:cs="宋体"/>
          <w:smallCaps w:val="0"/>
          <w:kern w:val="2"/>
          <w:sz w:val="28"/>
          <w:szCs w:val="20"/>
          <w:lang w:val="zh-TW" w:eastAsia="zh-CN" w:bidi="zh-TW"/>
        </w:rPr>
        <w:t>下属子公司。发行人成立于2017年，其主要资产、业务和人员承接于昌德化工。2020年12月，昌德化工清算注销，昌德化工应收发行人及其子公司的债权余额3,080.76万元分别转至昌德化工股东蒋卫和、徐冬萍、智德源、智德达名下。请发行人说明：（1）昌德化工历史沿革的合法合规性,涉及国资股权变动是否履行了相关的国资评估、备案、审批等法律程序，是否在规定交易场所进行交易，相关定价是否公允，是否存在国有资产流失情况，是否存在程序瑕疵，</w:t>
      </w:r>
      <w:r>
        <w:rPr>
          <w:rFonts w:hint="eastAsia" w:ascii="宋体" w:hAnsi="宋体" w:eastAsia="宋体" w:cs="宋体"/>
          <w:smallCaps w:val="0"/>
          <w:kern w:val="2"/>
          <w:sz w:val="28"/>
          <w:szCs w:val="20"/>
          <w:lang w:val="zh-TW" w:eastAsia="zh-CN" w:bidi="zh-TW"/>
        </w:rPr>
        <w:t>是否存在纠纷或潜在纠纷</w:t>
      </w:r>
      <w:r>
        <w:rPr>
          <w:rFonts w:hint="default" w:ascii="宋体" w:hAnsi="宋体" w:eastAsia="宋体" w:cs="宋体"/>
          <w:smallCaps w:val="0"/>
          <w:kern w:val="2"/>
          <w:sz w:val="28"/>
          <w:szCs w:val="20"/>
          <w:lang w:val="zh-TW" w:eastAsia="zh-CN" w:bidi="zh-TW"/>
        </w:rPr>
        <w:t>，是否取得有权机关确认意见，是否构成本次发行上市的法律障碍。（2）新设发行人作为拟上市主体的原因，发行人收购昌德化工资产而非收购其股权的原因，昌德化工</w:t>
      </w:r>
      <w:r>
        <w:rPr>
          <w:rFonts w:hint="eastAsia" w:ascii="宋体" w:hAnsi="宋体" w:eastAsia="宋体" w:cs="宋体"/>
          <w:smallCaps w:val="0"/>
          <w:kern w:val="2"/>
          <w:sz w:val="28"/>
          <w:szCs w:val="20"/>
          <w:lang w:val="en-US" w:eastAsia="zh-CN" w:bidi="zh-TW"/>
        </w:rPr>
        <w:t>是否存在纠纷或潜在纠纷，是否存在委托持股或其他利益安排</w:t>
      </w:r>
      <w:r>
        <w:rPr>
          <w:rFonts w:hint="default" w:ascii="宋体" w:hAnsi="宋体" w:eastAsia="宋体" w:cs="宋体"/>
          <w:smallCaps w:val="0"/>
          <w:kern w:val="2"/>
          <w:sz w:val="28"/>
          <w:szCs w:val="20"/>
          <w:lang w:val="zh-TW" w:eastAsia="zh-CN" w:bidi="zh-TW"/>
        </w:rPr>
        <w:t>，是否存在重大违法违规。（3）昌德化工重组前的实际经营业务及经营情况、主要财务数据、与发行人业务的相关性，是否存在收购亏损资产的情形及原因、合理性、必要性。</w:t>
      </w:r>
      <w:r>
        <w:rPr>
          <w:rFonts w:hint="eastAsia"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val="zh-TW" w:eastAsia="zh-CN" w:bidi="zh-TW"/>
        </w:rPr>
        <w:t>4</w:t>
      </w:r>
      <w:r>
        <w:rPr>
          <w:rFonts w:hint="eastAsia"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val="zh-TW" w:eastAsia="zh-CN" w:bidi="zh-TW"/>
        </w:rPr>
        <w:t>资产</w:t>
      </w:r>
      <w:r>
        <w:rPr>
          <w:rFonts w:hint="eastAsia" w:ascii="宋体" w:hAnsi="宋体" w:eastAsia="宋体" w:cs="宋体"/>
          <w:smallCaps w:val="0"/>
          <w:kern w:val="2"/>
          <w:sz w:val="28"/>
          <w:szCs w:val="20"/>
          <w:lang w:val="en-US" w:eastAsia="zh-CN" w:bidi="zh-TW"/>
        </w:rPr>
        <w:t>重组的定价依据及公允性，</w:t>
      </w:r>
      <w:r>
        <w:rPr>
          <w:rFonts w:hint="default" w:ascii="宋体" w:hAnsi="宋体" w:eastAsia="宋体" w:cs="宋体"/>
          <w:smallCaps w:val="0"/>
          <w:kern w:val="2"/>
          <w:sz w:val="28"/>
          <w:szCs w:val="20"/>
          <w:lang w:val="zh-TW" w:eastAsia="zh-CN" w:bidi="zh-TW"/>
        </w:rPr>
        <w:t>包括</w:t>
      </w:r>
      <w:r>
        <w:rPr>
          <w:rFonts w:hint="eastAsia" w:ascii="宋体" w:hAnsi="宋体" w:eastAsia="宋体" w:cs="宋体"/>
          <w:smallCaps w:val="0"/>
          <w:kern w:val="2"/>
          <w:sz w:val="28"/>
          <w:szCs w:val="20"/>
          <w:lang w:val="en-US" w:eastAsia="zh-CN" w:bidi="zh-TW"/>
        </w:rPr>
        <w:t>评估方法及选取的合理性，主要参数、评估过程、评估结果及评估增值情况</w:t>
      </w:r>
      <w:r>
        <w:rPr>
          <w:rFonts w:hint="default" w:ascii="宋体" w:hAnsi="宋体" w:eastAsia="宋体" w:cs="宋体"/>
          <w:smallCaps w:val="0"/>
          <w:kern w:val="2"/>
          <w:sz w:val="28"/>
          <w:szCs w:val="20"/>
          <w:lang w:val="zh-TW" w:eastAsia="zh-CN" w:bidi="zh-TW"/>
        </w:rPr>
        <w:t>，</w:t>
      </w:r>
      <w:r>
        <w:rPr>
          <w:rFonts w:hint="eastAsia" w:ascii="宋体" w:hAnsi="宋体" w:eastAsia="宋体" w:cs="宋体"/>
          <w:smallCaps w:val="0"/>
          <w:kern w:val="2"/>
          <w:sz w:val="28"/>
          <w:szCs w:val="20"/>
          <w:lang w:val="en-US" w:eastAsia="zh-CN" w:bidi="zh-TW"/>
        </w:rPr>
        <w:t>相关价款实际支付情况，收购资金来源及合法性</w:t>
      </w:r>
      <w:r>
        <w:rPr>
          <w:rFonts w:hint="default" w:ascii="宋体" w:hAnsi="宋体" w:eastAsia="宋体" w:cs="宋体"/>
          <w:smallCaps w:val="0"/>
          <w:kern w:val="2"/>
          <w:sz w:val="28"/>
          <w:szCs w:val="20"/>
          <w:lang w:val="zh-TW" w:eastAsia="zh-CN" w:bidi="zh-TW"/>
        </w:rPr>
        <w:t>。</w:t>
      </w:r>
      <w:r>
        <w:rPr>
          <w:rFonts w:hint="eastAsia"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val="zh-TW" w:eastAsia="zh-CN" w:bidi="zh-TW"/>
        </w:rPr>
        <w:t>5</w:t>
      </w:r>
      <w:r>
        <w:rPr>
          <w:rFonts w:hint="eastAsia"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val="zh-TW" w:eastAsia="zh-CN" w:bidi="zh-TW"/>
        </w:rPr>
        <w:t>根据《证券期货法律适用意见》第3号、《首发业务若干问题解答》问题36规定分析重组事项是否构成主营业务发生重大变化，是否符合重组后运行期限等相关要求。（6）昌德化工应收发行人及其子公司的债权的形成原因及背景、债权债务关系是否真实有效。</w:t>
      </w:r>
      <w:r>
        <w:rPr>
          <w:rFonts w:hint="eastAsia" w:ascii="宋体" w:hAnsi="宋体" w:eastAsia="宋体" w:cs="宋体"/>
          <w:smallCaps w:val="0"/>
          <w:kern w:val="2"/>
          <w:sz w:val="28"/>
          <w:szCs w:val="20"/>
          <w:lang w:val="zh-TW" w:eastAsia="zh-CN" w:bidi="zh-TW"/>
        </w:rPr>
        <w:t>请保荐机构</w:t>
      </w:r>
      <w:r>
        <w:rPr>
          <w:rFonts w:hint="default" w:ascii="宋体" w:hAnsi="宋体" w:eastAsia="宋体" w:cs="宋体"/>
          <w:smallCaps w:val="0"/>
          <w:kern w:val="2"/>
          <w:sz w:val="28"/>
          <w:szCs w:val="20"/>
          <w:lang w:val="zh-TW" w:eastAsia="zh-CN" w:bidi="zh-TW"/>
        </w:rPr>
        <w:t>、</w:t>
      </w:r>
      <w:r>
        <w:rPr>
          <w:rFonts w:hint="eastAsia" w:ascii="宋体" w:hAnsi="宋体" w:eastAsia="宋体" w:cs="宋体"/>
          <w:smallCaps w:val="0"/>
          <w:kern w:val="2"/>
          <w:sz w:val="28"/>
          <w:szCs w:val="20"/>
          <w:lang w:val="zh-TW" w:eastAsia="zh-CN" w:bidi="zh-TW"/>
        </w:rPr>
        <w:t>发行人律师</w:t>
      </w:r>
      <w:r>
        <w:rPr>
          <w:rFonts w:hint="default" w:ascii="宋体" w:hAnsi="宋体" w:eastAsia="宋体" w:cs="宋体"/>
          <w:smallCaps w:val="0"/>
          <w:kern w:val="2"/>
          <w:sz w:val="28"/>
          <w:szCs w:val="20"/>
          <w:lang w:val="zh-TW" w:eastAsia="zh-CN" w:bidi="zh-TW"/>
        </w:rPr>
        <w:t>、申报会计师</w:t>
      </w:r>
      <w:r>
        <w:rPr>
          <w:rFonts w:hint="eastAsia" w:ascii="宋体" w:hAnsi="宋体" w:eastAsia="宋体" w:cs="宋体"/>
          <w:smallCaps w:val="0"/>
          <w:kern w:val="2"/>
          <w:sz w:val="28"/>
          <w:szCs w:val="20"/>
          <w:lang w:val="zh-TW" w:eastAsia="zh-CN" w:bidi="zh-TW"/>
        </w:rPr>
        <w:t>对上述问题核查并发表明确意见</w:t>
      </w:r>
      <w:r>
        <w:rPr>
          <w:rFonts w:hint="default" w:ascii="宋体" w:hAnsi="宋体" w:eastAsia="宋体" w:cs="宋体"/>
          <w:smallCaps w:val="0"/>
          <w:kern w:val="2"/>
          <w:sz w:val="28"/>
          <w:szCs w:val="20"/>
          <w:lang w:val="zh-TW" w:eastAsia="zh-CN" w:bidi="zh-TW"/>
        </w:rPr>
        <w:t>。</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ascii="宋体" w:hAnsi="宋体" w:eastAsia="宋体" w:cs="宋体"/>
          <w:smallCaps w:val="0"/>
          <w:kern w:val="2"/>
          <w:sz w:val="28"/>
          <w:szCs w:val="20"/>
          <w:lang w:eastAsia="zh-CN" w:bidi="zh-TW"/>
        </w:rPr>
        <w:t>3、</w:t>
      </w:r>
      <w:r>
        <w:rPr>
          <w:rFonts w:hint="default" w:ascii="宋体" w:hAnsi="宋体" w:eastAsia="宋体" w:cs="宋体"/>
          <w:smallCaps w:val="0"/>
          <w:kern w:val="2"/>
          <w:sz w:val="28"/>
          <w:szCs w:val="20"/>
          <w:lang w:val="zh-TW" w:eastAsia="zh-CN" w:bidi="zh-TW"/>
        </w:rPr>
        <w:t>请发行人：（1）逐一补充说明控股股东及实际控制人全资或控股的企业，进一步说明是否存在与公司利益冲突的情形、是否存在与公司及其子公司从事相同或相似业务的情形，如存在，请说明对公司独立性的影响。（2）说明认定不存在同业竞争关系时，是否已经审慎核查并完整地披露发行人控股股东、实际控制人直接或间接控制的全部关联企业。（3）说明上述企业的实际经营业务，说明是否简单依据经营范围对同业竞争做出判断，是否仅以经营区域、细分产品、细分市场的不同来认定不构成同业竞争。（4）说明上述企业的历史沿革、资产、人员、业务和技术等方面与发行人的关系，经营的合法合规性，采购销售渠道、客户、供应商等方面是否影响发行人的独立性。请保荐机构、发行人律师核查并发表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eastAsia" w:ascii="宋体" w:hAnsi="宋体" w:eastAsia="宋体" w:cs="宋体"/>
          <w:smallCaps w:val="0"/>
          <w:kern w:val="2"/>
          <w:sz w:val="28"/>
          <w:szCs w:val="20"/>
          <w:lang w:val="en-US" w:eastAsia="zh-CN" w:bidi="zh-TW"/>
        </w:rPr>
      </w:pPr>
      <w:r>
        <w:rPr>
          <w:rFonts w:hint="default" w:ascii="宋体" w:hAnsi="宋体" w:eastAsia="宋体" w:cs="宋体"/>
          <w:smallCaps w:val="0"/>
          <w:kern w:val="2"/>
          <w:sz w:val="28"/>
          <w:szCs w:val="20"/>
          <w:lang w:eastAsia="zh-CN" w:bidi="zh-TW"/>
        </w:rPr>
        <w:t>4、</w:t>
      </w:r>
      <w:r>
        <w:rPr>
          <w:rFonts w:hint="eastAsia" w:ascii="宋体" w:hAnsi="宋体" w:eastAsia="宋体" w:cs="宋体"/>
          <w:smallCaps w:val="0"/>
          <w:kern w:val="2"/>
          <w:sz w:val="28"/>
          <w:szCs w:val="20"/>
          <w:lang w:val="en-US" w:eastAsia="zh-CN" w:bidi="zh-TW"/>
        </w:rPr>
        <w:t>2021年12月，发行人、实际控制人（蒋卫和）、管理层（徐冬萍、曾露、罗小沅、杨浴）分别与金石基金、云泽投资、财金产投、静平投资签订《关于昌德新材科技股份有限公司之投资协议》。请发行人：（1）列示相关对赌协议的情况并详细介绍其对应交易的背景、对赌方情况、对赌条款的约定，各条款对应《首发业务若干问题解答》的何种对赌协议分类。（2）</w:t>
      </w:r>
      <w:r>
        <w:rPr>
          <w:rFonts w:hint="default" w:ascii="宋体" w:hAnsi="宋体" w:eastAsia="宋体" w:cs="宋体"/>
          <w:smallCaps w:val="0"/>
          <w:kern w:val="2"/>
          <w:sz w:val="28"/>
          <w:szCs w:val="20"/>
          <w:lang w:val="zh-TW" w:eastAsia="zh-CN" w:bidi="zh-TW"/>
        </w:rPr>
        <w:t>说明</w:t>
      </w:r>
      <w:r>
        <w:rPr>
          <w:rFonts w:hint="eastAsia" w:ascii="宋体" w:hAnsi="宋体" w:eastAsia="宋体" w:cs="宋体"/>
          <w:smallCaps w:val="0"/>
          <w:kern w:val="2"/>
          <w:sz w:val="28"/>
          <w:szCs w:val="20"/>
          <w:lang w:val="en-US" w:eastAsia="zh-CN" w:bidi="zh-TW"/>
        </w:rPr>
        <w:t>清理各对赌协议的具体过程及相关清理条款的约定情况，</w:t>
      </w:r>
      <w:r>
        <w:rPr>
          <w:rFonts w:hint="default" w:ascii="宋体" w:hAnsi="宋体" w:eastAsia="宋体" w:cs="宋体"/>
          <w:smallCaps w:val="0"/>
          <w:kern w:val="2"/>
          <w:sz w:val="28"/>
          <w:szCs w:val="20"/>
          <w:lang w:val="zh-TW" w:eastAsia="zh-CN" w:bidi="zh-TW"/>
        </w:rPr>
        <w:t>说明</w:t>
      </w:r>
      <w:r>
        <w:rPr>
          <w:rFonts w:hint="eastAsia" w:ascii="宋体" w:hAnsi="宋体" w:eastAsia="宋体" w:cs="宋体"/>
          <w:smallCaps w:val="0"/>
          <w:kern w:val="2"/>
          <w:sz w:val="28"/>
          <w:szCs w:val="20"/>
          <w:lang w:val="en-US" w:eastAsia="zh-CN" w:bidi="zh-TW"/>
        </w:rPr>
        <w:t>相关条款是否完全、有效终止对赌条款，清理后是否符合《首发业务若干问题解答》的要求。</w:t>
      </w:r>
      <w:r>
        <w:rPr>
          <w:rFonts w:hint="default" w:ascii="宋体" w:hAnsi="宋体" w:eastAsia="宋体" w:cs="宋体"/>
          <w:smallCaps w:val="0"/>
          <w:kern w:val="2"/>
          <w:sz w:val="28"/>
          <w:szCs w:val="20"/>
          <w:lang w:val="zh-TW" w:eastAsia="zh-CN" w:bidi="zh-TW"/>
        </w:rPr>
        <w:t>（3）说明对赌协议是否存在附条件恢复条款，发行人与相关方是否在附条件生效的对赌条款相关协议上签字，相关协议是否约定了发行人违约的情形，发行人是否为权利义务承担方。</w:t>
      </w:r>
      <w:r>
        <w:rPr>
          <w:rFonts w:hint="eastAsia" w:ascii="宋体" w:hAnsi="宋体" w:eastAsia="宋体" w:cs="宋体"/>
          <w:smallCaps w:val="0"/>
          <w:kern w:val="2"/>
          <w:sz w:val="28"/>
          <w:szCs w:val="20"/>
          <w:lang w:val="en-US" w:eastAsia="zh-CN" w:bidi="zh-TW"/>
        </w:rPr>
        <w:t>请保荐机构、发行人律师核查并发表意见。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ascii="宋体" w:hAnsi="宋体" w:eastAsia="宋体" w:cs="宋体"/>
          <w:smallCaps w:val="0"/>
          <w:kern w:val="2"/>
          <w:sz w:val="28"/>
          <w:szCs w:val="20"/>
          <w:lang w:eastAsia="zh-CN" w:bidi="zh-TW"/>
        </w:rPr>
        <w:t>5、</w:t>
      </w:r>
      <w:r>
        <w:rPr>
          <w:rFonts w:hint="eastAsia" w:ascii="宋体" w:hAnsi="宋体" w:eastAsia="宋体" w:cs="宋体"/>
          <w:smallCaps w:val="0"/>
          <w:kern w:val="2"/>
          <w:sz w:val="28"/>
          <w:szCs w:val="20"/>
          <w:lang w:val="en-US" w:eastAsia="zh-CN" w:bidi="zh-TW"/>
        </w:rPr>
        <w:t>请发行人：（1）</w:t>
      </w:r>
      <w:r>
        <w:rPr>
          <w:rFonts w:hint="default" w:ascii="宋体" w:hAnsi="宋体" w:eastAsia="宋体" w:cs="宋体"/>
          <w:smallCaps w:val="0"/>
          <w:kern w:val="2"/>
          <w:sz w:val="28"/>
          <w:szCs w:val="20"/>
          <w:lang w:val="zh-TW" w:eastAsia="zh-CN" w:bidi="zh-TW"/>
        </w:rPr>
        <w:t>说明</w:t>
      </w:r>
      <w:r>
        <w:rPr>
          <w:rFonts w:hint="eastAsia" w:ascii="宋体" w:hAnsi="宋体" w:eastAsia="宋体" w:cs="宋体"/>
          <w:smallCaps w:val="0"/>
          <w:kern w:val="2"/>
          <w:sz w:val="28"/>
          <w:szCs w:val="20"/>
          <w:lang w:val="en-US" w:eastAsia="zh-CN" w:bidi="zh-TW"/>
        </w:rPr>
        <w:t>发行人是否按照《公司法》《企业会计准则》《上市公司信息披露管理办法》及其他相关规定完整、准确地披露关联方关系及交易。逐一说明关联交易关联方的基本情况，关联交易内容、交易金额、占比等、交易背景以及相关交易与发行人主营业务之间的关系。（</w:t>
      </w:r>
      <w:r>
        <w:rPr>
          <w:rFonts w:hint="default" w:ascii="宋体" w:hAnsi="宋体" w:eastAsia="宋体" w:cs="宋体"/>
          <w:smallCaps w:val="0"/>
          <w:kern w:val="2"/>
          <w:sz w:val="28"/>
          <w:szCs w:val="20"/>
          <w:lang w:val="zh-TW" w:eastAsia="zh-CN" w:bidi="zh-TW"/>
        </w:rPr>
        <w:t>2</w:t>
      </w:r>
      <w:r>
        <w:rPr>
          <w:rFonts w:hint="eastAsia" w:ascii="宋体" w:hAnsi="宋体" w:eastAsia="宋体" w:cs="宋体"/>
          <w:smallCaps w:val="0"/>
          <w:kern w:val="2"/>
          <w:sz w:val="28"/>
          <w:szCs w:val="20"/>
          <w:lang w:val="en-US" w:eastAsia="zh-CN" w:bidi="zh-TW"/>
        </w:rPr>
        <w:t>）结合可比市场公允价格、</w:t>
      </w:r>
      <w:r>
        <w:rPr>
          <w:rFonts w:hint="default" w:ascii="宋体" w:hAnsi="宋体" w:eastAsia="宋体" w:cs="宋体"/>
          <w:smallCaps w:val="0"/>
          <w:kern w:val="2"/>
          <w:sz w:val="28"/>
          <w:szCs w:val="20"/>
          <w:lang w:val="zh-TW" w:eastAsia="zh-CN" w:bidi="zh-TW"/>
        </w:rPr>
        <w:t>与非关联方交易价格</w:t>
      </w:r>
      <w:r>
        <w:rPr>
          <w:rFonts w:hint="eastAsia" w:ascii="宋体" w:hAnsi="宋体" w:eastAsia="宋体" w:cs="宋体"/>
          <w:smallCaps w:val="0"/>
          <w:kern w:val="2"/>
          <w:sz w:val="28"/>
          <w:szCs w:val="20"/>
          <w:lang w:val="en-US" w:eastAsia="zh-CN" w:bidi="zh-TW"/>
        </w:rPr>
        <w:t>、关联方与其他交易方的价格等，说明并摘要披露关联交易的公允性，是否存在对发行人或关联方的利益输送，是否存在替发行人承担成本的情形。</w:t>
      </w:r>
      <w:r>
        <w:rPr>
          <w:rFonts w:hint="default" w:ascii="宋体" w:hAnsi="宋体" w:eastAsia="宋体" w:cs="宋体"/>
          <w:smallCaps w:val="0"/>
          <w:kern w:val="2"/>
          <w:sz w:val="28"/>
          <w:szCs w:val="20"/>
          <w:lang w:val="zh-TW" w:eastAsia="zh-CN" w:bidi="zh-TW"/>
        </w:rPr>
        <w:t>（3）</w:t>
      </w:r>
      <w:r>
        <w:rPr>
          <w:rFonts w:hint="eastAsia" w:ascii="宋体" w:hAnsi="宋体" w:eastAsia="宋体" w:cs="宋体"/>
          <w:smallCaps w:val="0"/>
          <w:kern w:val="2"/>
          <w:sz w:val="28"/>
          <w:szCs w:val="20"/>
          <w:lang w:val="en-US" w:eastAsia="zh-CN" w:bidi="zh-TW"/>
        </w:rPr>
        <w:t>说明</w:t>
      </w:r>
      <w:r>
        <w:rPr>
          <w:rFonts w:hint="default" w:ascii="宋体" w:hAnsi="宋体" w:eastAsia="宋体" w:cs="宋体"/>
          <w:smallCaps w:val="0"/>
          <w:kern w:val="2"/>
          <w:sz w:val="28"/>
          <w:szCs w:val="20"/>
          <w:lang w:val="zh-TW" w:eastAsia="zh-CN" w:bidi="zh-TW"/>
        </w:rPr>
        <w:t>关联方资金拆借的原因、资金流向，是否已支付利息，利率确定依据及公允性。（4）</w:t>
      </w:r>
      <w:r>
        <w:rPr>
          <w:rFonts w:hint="eastAsia" w:ascii="宋体" w:hAnsi="宋体" w:eastAsia="宋体" w:cs="宋体"/>
          <w:smallCaps w:val="0"/>
          <w:kern w:val="2"/>
          <w:sz w:val="28"/>
          <w:szCs w:val="20"/>
          <w:lang w:val="en-US" w:eastAsia="zh-CN" w:bidi="zh-TW"/>
        </w:rPr>
        <w:t>说明</w:t>
      </w:r>
      <w:r>
        <w:rPr>
          <w:rFonts w:hint="default" w:ascii="宋体" w:hAnsi="宋体" w:eastAsia="宋体" w:cs="宋体"/>
          <w:smallCaps w:val="0"/>
          <w:kern w:val="2"/>
          <w:sz w:val="28"/>
          <w:szCs w:val="20"/>
          <w:lang w:val="zh-TW" w:eastAsia="zh-CN" w:bidi="zh-TW"/>
        </w:rPr>
        <w:t>收购湖南昌迪70%股权背景、原因、履行程序及合规性，收购前一年主要财务数据，定价依据及公允性，是否存在损害发行人利益的情形，是否存在纠纷或潜在纠纷。（5）</w:t>
      </w:r>
      <w:r>
        <w:rPr>
          <w:rFonts w:hint="eastAsia" w:ascii="宋体" w:hAnsi="宋体" w:eastAsia="宋体" w:cs="宋体"/>
          <w:smallCaps w:val="0"/>
          <w:kern w:val="2"/>
          <w:sz w:val="28"/>
          <w:szCs w:val="20"/>
          <w:lang w:val="en-US" w:eastAsia="zh-CN" w:bidi="zh-TW"/>
        </w:rPr>
        <w:t>说明发行人减少关联交易的控制措施是否有效。（</w:t>
      </w:r>
      <w:r>
        <w:rPr>
          <w:rFonts w:hint="default" w:ascii="宋体" w:hAnsi="宋体" w:eastAsia="宋体" w:cs="宋体"/>
          <w:smallCaps w:val="0"/>
          <w:kern w:val="2"/>
          <w:sz w:val="28"/>
          <w:szCs w:val="20"/>
          <w:lang w:val="zh-TW" w:eastAsia="zh-CN" w:bidi="zh-TW"/>
        </w:rPr>
        <w:t>6</w:t>
      </w:r>
      <w:r>
        <w:rPr>
          <w:rFonts w:hint="eastAsia" w:ascii="宋体" w:hAnsi="宋体" w:eastAsia="宋体" w:cs="宋体"/>
          <w:smallCaps w:val="0"/>
          <w:kern w:val="2"/>
          <w:sz w:val="28"/>
          <w:szCs w:val="20"/>
          <w:lang w:val="en-US" w:eastAsia="zh-CN" w:bidi="zh-TW"/>
        </w:rPr>
        <w:t>）说明发行人关联交易履行的审批程序，公司治理是否健全有效，是否存在未及时按规定履行必要的决策程序、后续补充确认的情况，相关会议制度、内部控制措施是否切实有效执行。</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eastAsia" w:ascii="宋体" w:hAnsi="宋体" w:eastAsia="宋体" w:cs="宋体"/>
          <w:smallCaps w:val="0"/>
          <w:kern w:val="2"/>
          <w:sz w:val="28"/>
          <w:szCs w:val="20"/>
          <w:lang w:val="en-US" w:eastAsia="zh-CN" w:bidi="zh-TW"/>
        </w:rPr>
      </w:pPr>
      <w:r>
        <w:rPr>
          <w:rFonts w:hint="eastAsia" w:ascii="宋体" w:hAnsi="宋体" w:eastAsia="宋体" w:cs="宋体"/>
          <w:smallCaps w:val="0"/>
          <w:kern w:val="2"/>
          <w:sz w:val="28"/>
          <w:szCs w:val="20"/>
          <w:lang w:val="en-US" w:eastAsia="zh-CN" w:bidi="zh-TW"/>
        </w:rPr>
        <w:t>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Lines="0" w:afterLines="0" w:line="460" w:lineRule="exact"/>
        <w:ind w:firstLine="560" w:firstLineChars="200"/>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6</w:t>
      </w:r>
      <w:r>
        <w:rPr>
          <w:rFonts w:hint="default" w:ascii="Times New Roman" w:hAnsi="Times New Roman" w:eastAsia="宋体" w:cs="Times New Roman"/>
          <w:sz w:val="28"/>
          <w:szCs w:val="28"/>
          <w:highlight w:val="none"/>
        </w:rPr>
        <w:t>、报告期各期内，发行人主营业务收入分别为31,014.84万元、53,678.41万元、84,251.98万元和53,300.20万元。请发行人：</w:t>
      </w:r>
      <w:r>
        <w:rPr>
          <w:rFonts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rPr>
        <w:t>1</w:t>
      </w:r>
      <w:r>
        <w:rPr>
          <w:rFonts w:ascii="Times New Roman" w:hAnsi="Times New Roman" w:eastAsia="宋体" w:cs="Times New Roman"/>
          <w:sz w:val="28"/>
          <w:szCs w:val="28"/>
          <w:highlight w:val="none"/>
        </w:rPr>
        <w:t>）区分销售模式</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说明</w:t>
      </w:r>
      <w:r>
        <w:rPr>
          <w:rFonts w:hint="default" w:ascii="Times New Roman" w:hAnsi="Times New Roman" w:eastAsia="宋体" w:cs="Times New Roman"/>
          <w:sz w:val="28"/>
          <w:szCs w:val="28"/>
          <w:highlight w:val="none"/>
        </w:rPr>
        <w:t>不同</w:t>
      </w:r>
      <w:r>
        <w:rPr>
          <w:rFonts w:ascii="Times New Roman" w:hAnsi="Times New Roman" w:eastAsia="宋体" w:cs="Times New Roman"/>
          <w:sz w:val="28"/>
          <w:szCs w:val="28"/>
          <w:highlight w:val="none"/>
        </w:rPr>
        <w:t>销售模式</w:t>
      </w:r>
      <w:r>
        <w:rPr>
          <w:rFonts w:hint="default" w:ascii="Times New Roman" w:hAnsi="Times New Roman" w:eastAsia="宋体" w:cs="Times New Roman"/>
          <w:sz w:val="28"/>
          <w:szCs w:val="28"/>
          <w:highlight w:val="none"/>
        </w:rPr>
        <w:t>下主要</w:t>
      </w:r>
      <w:r>
        <w:rPr>
          <w:rFonts w:ascii="Times New Roman" w:hAnsi="Times New Roman" w:eastAsia="宋体" w:cs="Times New Roman"/>
          <w:sz w:val="28"/>
          <w:szCs w:val="28"/>
          <w:highlight w:val="none"/>
        </w:rPr>
        <w:t>产品的销售单价</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销售数量及占比</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量化分析各类产品收入波动的原因及合理性</w:t>
      </w:r>
      <w:r>
        <w:rPr>
          <w:rFonts w:hint="default" w:ascii="Times New Roman" w:hAnsi="Times New Roman" w:eastAsia="宋体" w:cs="Times New Roman"/>
          <w:sz w:val="28"/>
          <w:szCs w:val="28"/>
          <w:highlight w:val="none"/>
        </w:rPr>
        <w:t>；说明不同销售模式下主要产品的</w:t>
      </w:r>
      <w:r>
        <w:rPr>
          <w:rFonts w:ascii="Times New Roman" w:hAnsi="Times New Roman" w:eastAsia="宋体" w:cs="Times New Roman"/>
          <w:sz w:val="28"/>
          <w:szCs w:val="28"/>
          <w:highlight w:val="none"/>
        </w:rPr>
        <w:t>定价机制</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销售单价是否存在差异及差异原因；（</w:t>
      </w:r>
      <w:r>
        <w:rPr>
          <w:rFonts w:hint="default" w:ascii="Times New Roman" w:hAnsi="Times New Roman" w:eastAsia="宋体" w:cs="Times New Roman"/>
          <w:sz w:val="28"/>
          <w:szCs w:val="28"/>
          <w:highlight w:val="none"/>
        </w:rPr>
        <w:t>2</w:t>
      </w:r>
      <w:r>
        <w:rPr>
          <w:rFonts w:ascii="Times New Roman" w:hAnsi="Times New Roman" w:eastAsia="宋体" w:cs="Times New Roman"/>
          <w:sz w:val="28"/>
          <w:szCs w:val="28"/>
          <w:highlight w:val="none"/>
        </w:rPr>
        <w:t>）区分</w:t>
      </w:r>
      <w:r>
        <w:rPr>
          <w:rFonts w:hint="default" w:ascii="Times New Roman" w:hAnsi="Times New Roman" w:eastAsia="宋体" w:cs="Times New Roman"/>
          <w:sz w:val="28"/>
          <w:szCs w:val="28"/>
          <w:highlight w:val="none"/>
        </w:rPr>
        <w:t>主要产品</w:t>
      </w:r>
      <w:r>
        <w:rPr>
          <w:rFonts w:ascii="Times New Roman" w:hAnsi="Times New Roman" w:eastAsia="宋体" w:cs="Times New Roman"/>
          <w:sz w:val="28"/>
          <w:szCs w:val="28"/>
          <w:highlight w:val="none"/>
        </w:rPr>
        <w:t>类别</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补充说明可比公司报告期内营业收入变动情况，说明发行人营业收入逐年增长是否与同行业可比公司变动趋势一致；结合报告期内下游行业公司经营业绩、各期在手订单，补充说明</w:t>
      </w:r>
      <w:r>
        <w:rPr>
          <w:rFonts w:hint="default" w:ascii="Times New Roman" w:hAnsi="Times New Roman" w:eastAsia="宋体" w:cs="Times New Roman"/>
          <w:sz w:val="28"/>
          <w:szCs w:val="28"/>
          <w:highlight w:val="none"/>
        </w:rPr>
        <w:t>报告期内</w:t>
      </w:r>
      <w:r>
        <w:rPr>
          <w:rFonts w:ascii="Times New Roman" w:hAnsi="Times New Roman" w:eastAsia="宋体" w:cs="Times New Roman"/>
          <w:sz w:val="28"/>
          <w:szCs w:val="28"/>
          <w:highlight w:val="none"/>
        </w:rPr>
        <w:t>发行人营业收入高速增长的原因及合理性</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增长态势是否可持续</w:t>
      </w:r>
      <w:r>
        <w:rPr>
          <w:rFonts w:hint="default" w:ascii="Times New Roman" w:hAnsi="Times New Roman" w:eastAsia="宋体" w:cs="Times New Roman"/>
          <w:sz w:val="28"/>
          <w:szCs w:val="28"/>
          <w:highlight w:val="none"/>
        </w:rPr>
        <w:t>；（3）</w:t>
      </w:r>
      <w:r>
        <w:rPr>
          <w:rFonts w:ascii="Times New Roman" w:hAnsi="Times New Roman" w:eastAsia="宋体" w:cs="Times New Roman"/>
          <w:sz w:val="28"/>
          <w:szCs w:val="28"/>
          <w:highlight w:val="none"/>
        </w:rPr>
        <w:t>补充披露报告期内是否存在退换货情况，如有请</w:t>
      </w:r>
      <w:r>
        <w:rPr>
          <w:rFonts w:hint="default" w:ascii="Times New Roman" w:hAnsi="Times New Roman" w:eastAsia="宋体" w:cs="Times New Roman"/>
          <w:sz w:val="28"/>
          <w:szCs w:val="28"/>
          <w:highlight w:val="none"/>
        </w:rPr>
        <w:t>说明</w:t>
      </w:r>
      <w:r>
        <w:rPr>
          <w:rFonts w:ascii="Times New Roman" w:hAnsi="Times New Roman" w:eastAsia="宋体" w:cs="Times New Roman"/>
          <w:sz w:val="28"/>
          <w:szCs w:val="28"/>
          <w:highlight w:val="none"/>
        </w:rPr>
        <w:t>客户名称、退换货原因、具体金额与数量、退换内容、退还条款及会计处理方式，说明是否存在期末集中确认收入、期初退货的情形；</w:t>
      </w:r>
      <w:r>
        <w:rPr>
          <w:rFonts w:hint="default" w:ascii="Times New Roman" w:hAnsi="Times New Roman" w:eastAsia="宋体" w:cs="Times New Roman"/>
          <w:sz w:val="28"/>
          <w:szCs w:val="28"/>
          <w:highlight w:val="none"/>
        </w:rPr>
        <w:t>（4）</w:t>
      </w:r>
      <w:r>
        <w:rPr>
          <w:rFonts w:ascii="Times New Roman" w:hAnsi="Times New Roman" w:eastAsia="宋体" w:cs="Times New Roman"/>
          <w:sz w:val="28"/>
          <w:szCs w:val="28"/>
          <w:highlight w:val="none"/>
        </w:rPr>
        <w:t>补充披露</w:t>
      </w:r>
      <w:r>
        <w:rPr>
          <w:rFonts w:hint="default" w:ascii="Times New Roman" w:hAnsi="Times New Roman" w:eastAsia="宋体" w:cs="Times New Roman"/>
          <w:sz w:val="28"/>
          <w:szCs w:val="28"/>
          <w:highlight w:val="none"/>
        </w:rPr>
        <w:t>外销</w:t>
      </w:r>
      <w:r>
        <w:rPr>
          <w:rFonts w:ascii="Times New Roman" w:hAnsi="Times New Roman" w:eastAsia="宋体" w:cs="Times New Roman"/>
          <w:sz w:val="28"/>
          <w:szCs w:val="28"/>
          <w:highlight w:val="none"/>
        </w:rPr>
        <w:t>涉及主要国家地区的销售金额、主要产品类别</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说明</w:t>
      </w:r>
      <w:r>
        <w:rPr>
          <w:rFonts w:hint="default" w:ascii="Times New Roman" w:hAnsi="Times New Roman" w:eastAsia="宋体" w:cs="Times New Roman"/>
          <w:sz w:val="28"/>
          <w:szCs w:val="28"/>
          <w:highlight w:val="none"/>
        </w:rPr>
        <w:t>报告期内外销金额逐年增长的原因及合理性；</w:t>
      </w:r>
      <w:r>
        <w:rPr>
          <w:rFonts w:ascii="Times New Roman" w:hAnsi="Times New Roman" w:eastAsia="宋体" w:cs="Times New Roman"/>
          <w:sz w:val="28"/>
          <w:szCs w:val="28"/>
          <w:highlight w:val="none"/>
        </w:rPr>
        <w:t>结合海外疫情和贸易摩擦，说明对发行人境外收入的影响及采取的应对措施；结合物流运输记录、资金划款凭证、发货验收单据、出口单证与海关数据、中国出口信用保险公司数据、最终销售或使用等情况，说明对境外客户销售收入是否真实；</w:t>
      </w:r>
      <w:r>
        <w:rPr>
          <w:rFonts w:hint="default" w:ascii="Times New Roman" w:hAnsi="Times New Roman" w:eastAsia="宋体" w:cs="Times New Roman"/>
          <w:sz w:val="28"/>
          <w:szCs w:val="28"/>
          <w:highlight w:val="none"/>
        </w:rPr>
        <w:t>（5）结合产能、产量变动情况，说明2020年和2021年第四季度营业收入金额及占比较大的原因及合理性；（6）结合具体合同条款，补充说明主要产品的销售模式、定价模式、交货时点、运费承担、验收程序、质量缺陷赔偿责任、产品三包责任（如有）、款项结算条款。</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Lines="0" w:afterLines="0" w:line="460" w:lineRule="exact"/>
        <w:ind w:firstLine="560" w:firstLineChars="200"/>
        <w:outlineLvl w:val="9"/>
        <w:rPr>
          <w:rFonts w:ascii="Times New Roman" w:hAnsi="Times New Roman" w:eastAsia="宋体" w:cs="Times New Roman"/>
          <w:sz w:val="28"/>
          <w:szCs w:val="28"/>
          <w:highlight w:val="none"/>
        </w:rPr>
      </w:pPr>
      <w:r>
        <w:rPr>
          <w:rFonts w:ascii="Times New Roman" w:hAnsi="Times New Roman" w:eastAsia="宋体" w:cs="Times New Roman"/>
          <w:sz w:val="28"/>
          <w:szCs w:val="28"/>
          <w:highlight w:val="none"/>
        </w:rPr>
        <w:t>请保荐机构、申报会计师对上述事项发表核查意见，说明报告期各期对发行人收入的审计程序，包括但不限于发函和回函情况、函证样本的选择方法、收入的截止性测试等。</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Lines="0" w:afterLines="0" w:line="460" w:lineRule="exact"/>
        <w:ind w:firstLine="560" w:firstLineChars="200"/>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7</w:t>
      </w:r>
      <w:r>
        <w:rPr>
          <w:rFonts w:hint="default" w:ascii="Times New Roman" w:hAnsi="Times New Roman" w:eastAsia="宋体" w:cs="Times New Roman"/>
          <w:sz w:val="28"/>
          <w:szCs w:val="28"/>
          <w:highlight w:val="none"/>
        </w:rPr>
        <w:t>、报告期内，发行人销售客户以生产商为主，贸易商收入占比呈现下降趋势。请发行人：（1）说明</w:t>
      </w:r>
      <w:r>
        <w:rPr>
          <w:rFonts w:ascii="Times New Roman" w:hAnsi="Times New Roman" w:eastAsia="宋体" w:cs="Times New Roman"/>
          <w:sz w:val="28"/>
          <w:szCs w:val="28"/>
          <w:highlight w:val="none"/>
        </w:rPr>
        <w:t>报告期内对贸易商销售金额占比逐年下降的原因及合理性</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（2）说明</w:t>
      </w:r>
      <w:r>
        <w:rPr>
          <w:rFonts w:hint="default" w:ascii="Times New Roman" w:hAnsi="Times New Roman" w:eastAsia="宋体" w:cs="Times New Roman"/>
          <w:sz w:val="28"/>
          <w:szCs w:val="28"/>
          <w:highlight w:val="none"/>
        </w:rPr>
        <w:t>生产商、贸易商</w:t>
      </w:r>
      <w:r>
        <w:rPr>
          <w:rFonts w:ascii="Times New Roman" w:hAnsi="Times New Roman" w:eastAsia="宋体" w:cs="Times New Roman"/>
          <w:sz w:val="28"/>
          <w:szCs w:val="28"/>
          <w:highlight w:val="none"/>
        </w:rPr>
        <w:t>业务拓展、业务合同类型及主要条款、物流运输、定价方式、结算条款及周期、退换货政策、销售单价、毛利率等方面的差异情况；（3）说明报告期内发行人是否存在经销商销售模式，发行人对</w:t>
      </w:r>
      <w:r>
        <w:rPr>
          <w:rFonts w:hint="default" w:ascii="Times New Roman" w:hAnsi="Times New Roman" w:eastAsia="宋体" w:cs="Times New Roman"/>
          <w:sz w:val="28"/>
          <w:szCs w:val="28"/>
          <w:highlight w:val="none"/>
        </w:rPr>
        <w:t>贸易商</w:t>
      </w:r>
      <w:r>
        <w:rPr>
          <w:rFonts w:ascii="Times New Roman" w:hAnsi="Times New Roman" w:eastAsia="宋体" w:cs="Times New Roman"/>
          <w:sz w:val="28"/>
          <w:szCs w:val="28"/>
          <w:highlight w:val="none"/>
        </w:rPr>
        <w:t>是否属于经销商模式，请详细说明原因，并对比同行业可比公司情况说明是否存在差异及差异原因；（4）说明发行人对</w:t>
      </w:r>
      <w:r>
        <w:rPr>
          <w:rFonts w:hint="default" w:ascii="Times New Roman" w:hAnsi="Times New Roman" w:eastAsia="宋体" w:cs="Times New Roman"/>
          <w:sz w:val="28"/>
          <w:szCs w:val="28"/>
          <w:highlight w:val="none"/>
        </w:rPr>
        <w:t>贸易商</w:t>
      </w:r>
      <w:r>
        <w:rPr>
          <w:rFonts w:ascii="Times New Roman" w:hAnsi="Times New Roman" w:eastAsia="宋体" w:cs="Times New Roman"/>
          <w:sz w:val="28"/>
          <w:szCs w:val="28"/>
          <w:highlight w:val="none"/>
        </w:rPr>
        <w:t>的销售管理制度，是否存在返利，返利政策、各期金额及会计处理；贸易商和发行人是否存在实质和潜在关联关系，是否存在专门销售发行人产品的情形；（5）说明报告期内</w:t>
      </w:r>
      <w:r>
        <w:rPr>
          <w:rFonts w:hint="default" w:ascii="Times New Roman" w:hAnsi="Times New Roman" w:eastAsia="宋体" w:cs="Times New Roman"/>
          <w:sz w:val="28"/>
          <w:szCs w:val="28"/>
          <w:highlight w:val="none"/>
        </w:rPr>
        <w:t>贸易商</w:t>
      </w:r>
      <w:r>
        <w:rPr>
          <w:rFonts w:ascii="Times New Roman" w:hAnsi="Times New Roman" w:eastAsia="宋体" w:cs="Times New Roman"/>
          <w:sz w:val="28"/>
          <w:szCs w:val="28"/>
          <w:highlight w:val="none"/>
        </w:rPr>
        <w:t>采购发行人产品后实现终端销售、期末库存、期后退货情况。请保荐机构、申报会计师核查上述内容，说明核查方法、范围、比例，并对上述内容及对贸易商客户销售收入真实性、收入确认政策准确性发表明确意见。</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Lines="0" w:afterLines="0" w:line="460" w:lineRule="exact"/>
        <w:ind w:firstLine="560" w:firstLineChars="200"/>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8</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关于寄售模式。请发行人：（1）补充披露报告期各期寄售产品的情况，包括但不限于客户名称、产品种类、销售金额及占比、寄售模式开始时间，说明报告期内寄售模式下收入确认时点、外部依据及收入变动原因；（2）说明采用寄售模式的原因及合理性，是否符合行业惯例，寄售产品的单价、毛利率与其他产品的对比情况；（3）说明报告内对同一客户的销售模式是否发生变化，并说明变化原因；（4）补充说明寄售销售下存货发出的会计处理方法和依据，报告期各期末寄售模式下的存货余额和具体存放地点，对寄售存货的管理政策，是否存在客户已领用而未通知发行人的情形，对于发出商品风险控制措施，发行人如何进行盘点，补充说明寄售模式的内控制度及运行情况。请保荐机构、申报会计师核查上述情况，并明确发表意见。</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Lines="0" w:afterLines="0" w:line="460" w:lineRule="exact"/>
        <w:ind w:firstLine="560" w:firstLineChars="200"/>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9</w:t>
      </w:r>
      <w:r>
        <w:rPr>
          <w:rFonts w:hint="default" w:ascii="Times New Roman" w:hAnsi="Times New Roman" w:eastAsia="宋体" w:cs="Times New Roman"/>
          <w:sz w:val="28"/>
          <w:szCs w:val="28"/>
          <w:highlight w:val="none"/>
        </w:rPr>
        <w:t>、报告期内，发行人向前五名客户合计的销售金额占当期营业收入的比例分别为</w:t>
      </w:r>
      <w:r>
        <w:rPr>
          <w:rFonts w:ascii="Times New Roman" w:hAnsi="Times New Roman" w:eastAsia="宋体" w:cs="Times New Roman"/>
          <w:sz w:val="28"/>
          <w:szCs w:val="28"/>
          <w:highlight w:val="none"/>
        </w:rPr>
        <w:t>30.57</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28.83</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25.75</w:t>
      </w:r>
      <w:r>
        <w:rPr>
          <w:rFonts w:hint="default" w:ascii="Times New Roman" w:hAnsi="Times New Roman" w:eastAsia="宋体" w:cs="Times New Roman"/>
          <w:sz w:val="28"/>
          <w:szCs w:val="28"/>
          <w:highlight w:val="none"/>
        </w:rPr>
        <w:t>%和27.39%。请发行人：（1）区分销售模式，补充说明各期向主要客户销售的内容、业务获取方式、数量、单价、金额及占比、毛利率、客户所在区域；（2）补充说明主要贸易商对应的终端客户，说明贸易商的终端客户是否存在与发行人主要客户重叠的情形，如存在，请说明合理性；（3）说明主要客户的基本情况（包括但不限于成立时间、注册资本、主营业务、经营规模、股权结构、合作历史、是否存在关联关系等）、变动情况及原因；（4）康达新材为发行人持股5%以上股东康凯环保的第二大股东，2020年和2021年康达新材均为发行人主要客户，补充披露发行人与康达新材开始合作的时间及合作的商业合理性，说明发行人向其销售价格的公允性，</w:t>
      </w:r>
      <w:r>
        <w:rPr>
          <w:rFonts w:ascii="Times New Roman" w:hAnsi="Times New Roman" w:eastAsia="宋体" w:cs="Times New Roman"/>
          <w:sz w:val="28"/>
          <w:szCs w:val="28"/>
          <w:highlight w:val="none"/>
        </w:rPr>
        <w:t>是否存在利益输送</w:t>
      </w:r>
      <w:r>
        <w:rPr>
          <w:rFonts w:hint="default" w:ascii="Times New Roman" w:hAnsi="Times New Roman" w:eastAsia="宋体" w:cs="Times New Roman"/>
          <w:sz w:val="28"/>
          <w:szCs w:val="28"/>
          <w:highlight w:val="none"/>
        </w:rPr>
        <w:t>；（5）说明</w:t>
      </w:r>
      <w:r>
        <w:rPr>
          <w:rFonts w:ascii="Times New Roman" w:hAnsi="Times New Roman" w:eastAsia="宋体" w:cs="Times New Roman"/>
          <w:sz w:val="28"/>
          <w:szCs w:val="28"/>
          <w:highlight w:val="none"/>
        </w:rPr>
        <w:t>报告期内是否存在新成立即成为发行人客户、主要采购发行人产品的客户等情形，如存在，</w:t>
      </w:r>
      <w:r>
        <w:rPr>
          <w:rFonts w:hint="default" w:ascii="Times New Roman" w:hAnsi="Times New Roman" w:eastAsia="宋体" w:cs="Times New Roman"/>
          <w:sz w:val="28"/>
          <w:szCs w:val="28"/>
          <w:highlight w:val="none"/>
        </w:rPr>
        <w:t>说明</w:t>
      </w:r>
      <w:r>
        <w:rPr>
          <w:rFonts w:ascii="Times New Roman" w:hAnsi="Times New Roman" w:eastAsia="宋体" w:cs="Times New Roman"/>
          <w:sz w:val="28"/>
          <w:szCs w:val="28"/>
          <w:highlight w:val="none"/>
        </w:rPr>
        <w:t>销售价格与其他客户是否存在</w:t>
      </w:r>
      <w:r>
        <w:rPr>
          <w:rFonts w:hint="default" w:ascii="Times New Roman" w:hAnsi="Times New Roman" w:eastAsia="宋体" w:cs="Times New Roman"/>
          <w:sz w:val="28"/>
          <w:szCs w:val="28"/>
          <w:highlight w:val="none"/>
        </w:rPr>
        <w:t>较大差异及差异原因</w:t>
      </w:r>
      <w:r>
        <w:rPr>
          <w:rFonts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rPr>
        <w:t>（6）</w:t>
      </w:r>
      <w:r>
        <w:rPr>
          <w:rFonts w:ascii="Times New Roman" w:hAnsi="Times New Roman" w:eastAsia="宋体" w:cs="Times New Roman"/>
          <w:sz w:val="28"/>
          <w:szCs w:val="28"/>
          <w:highlight w:val="none"/>
        </w:rPr>
        <w:t>区分产品型号</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类别，说明同类产品同一时期不同客户、同一客户不同时期的销售价格是否存在差异，并说明差异的原因及合理性；</w:t>
      </w:r>
      <w:r>
        <w:rPr>
          <w:rFonts w:hint="default" w:ascii="Times New Roman" w:hAnsi="Times New Roman" w:eastAsia="宋体" w:cs="Times New Roman"/>
          <w:sz w:val="28"/>
          <w:szCs w:val="28"/>
          <w:highlight w:val="none"/>
        </w:rPr>
        <w:t>（7）</w:t>
      </w:r>
      <w:r>
        <w:rPr>
          <w:rFonts w:ascii="Times New Roman" w:hAnsi="Times New Roman" w:eastAsia="宋体" w:cs="Times New Roman"/>
          <w:sz w:val="28"/>
          <w:szCs w:val="28"/>
          <w:highlight w:val="none"/>
        </w:rPr>
        <w:t>补充说明发行人是否与主要客户签订长期合同或战略合作协议，如有请补充披露主要内容</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说明具体采购合同或订单的签订周期、频次和方式；</w:t>
      </w:r>
      <w:r>
        <w:rPr>
          <w:rFonts w:hint="default" w:ascii="Times New Roman" w:hAnsi="Times New Roman" w:eastAsia="宋体" w:cs="Times New Roman"/>
          <w:sz w:val="28"/>
          <w:szCs w:val="28"/>
          <w:highlight w:val="none"/>
        </w:rPr>
        <w:t>（8）</w:t>
      </w:r>
      <w:r>
        <w:rPr>
          <w:rFonts w:ascii="Times New Roman" w:hAnsi="Times New Roman" w:eastAsia="宋体" w:cs="Times New Roman"/>
          <w:sz w:val="28"/>
          <w:szCs w:val="28"/>
          <w:highlight w:val="none"/>
        </w:rPr>
        <w:t>说明主要客户与发行人、实际控制人、主要股东、发行人董监高、其他核心人员及上述人员的关联方是否存在关联关系或其他利益安排</w:t>
      </w:r>
      <w:r>
        <w:rPr>
          <w:rFonts w:hint="default" w:ascii="Times New Roman" w:hAnsi="Times New Roman" w:eastAsia="宋体" w:cs="Times New Roman"/>
          <w:sz w:val="28"/>
          <w:szCs w:val="28"/>
          <w:highlight w:val="none"/>
        </w:rPr>
        <w:t>。</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Lines="0" w:afterLines="0" w:line="460" w:lineRule="exact"/>
        <w:ind w:firstLine="560" w:firstLineChars="200"/>
        <w:outlineLvl w:val="9"/>
        <w:rPr>
          <w:rFonts w:ascii="Times New Roman" w:hAnsi="Times New Roman" w:eastAsia="宋体" w:cs="Times New Roman"/>
          <w:sz w:val="28"/>
          <w:szCs w:val="28"/>
          <w:highlight w:val="none"/>
        </w:rPr>
      </w:pPr>
      <w:r>
        <w:rPr>
          <w:rFonts w:ascii="Times New Roman" w:hAnsi="Times New Roman" w:eastAsia="宋体" w:cs="Times New Roman"/>
          <w:sz w:val="28"/>
          <w:szCs w:val="28"/>
          <w:highlight w:val="none"/>
        </w:rPr>
        <w:t>请保荐机构、申报会计师核查上述内容，说明核查方法、范围、比例，并对上述内容及对贸易商客户销售收入真实性、收入确认政策准确性发表明确意见。</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Lines="0" w:afterLines="0" w:line="460" w:lineRule="exact"/>
        <w:ind w:firstLine="560" w:firstLineChars="200"/>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10</w:t>
      </w:r>
      <w:r>
        <w:rPr>
          <w:rFonts w:hint="default" w:ascii="Times New Roman" w:hAnsi="Times New Roman" w:eastAsia="宋体" w:cs="Times New Roman"/>
          <w:sz w:val="28"/>
          <w:szCs w:val="28"/>
          <w:highlight w:val="none"/>
        </w:rPr>
        <w:t>、报告期内，中国石油化工集团有限公司既是发行人主要客户，又是发行人主要供应商。请发行人：（1）补充披露报告期内</w:t>
      </w:r>
      <w:r>
        <w:rPr>
          <w:rFonts w:ascii="Times New Roman" w:hAnsi="Times New Roman" w:eastAsia="宋体" w:cs="Times New Roman"/>
          <w:sz w:val="28"/>
          <w:szCs w:val="28"/>
          <w:highlight w:val="none"/>
        </w:rPr>
        <w:t>客户</w:t>
      </w:r>
      <w:r>
        <w:rPr>
          <w:rFonts w:hint="default" w:ascii="Times New Roman" w:hAnsi="Times New Roman" w:eastAsia="宋体" w:cs="Times New Roman"/>
          <w:sz w:val="28"/>
          <w:szCs w:val="28"/>
          <w:highlight w:val="none"/>
        </w:rPr>
        <w:t>与</w:t>
      </w:r>
      <w:r>
        <w:rPr>
          <w:rFonts w:ascii="Times New Roman" w:hAnsi="Times New Roman" w:eastAsia="宋体" w:cs="Times New Roman"/>
          <w:sz w:val="28"/>
          <w:szCs w:val="28"/>
          <w:highlight w:val="none"/>
        </w:rPr>
        <w:t>供应商重叠的情况及合理性，分别说明采购</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销售金额及占比</w:t>
      </w:r>
      <w:r>
        <w:rPr>
          <w:rFonts w:hint="default" w:ascii="Times New Roman" w:hAnsi="Times New Roman" w:eastAsia="宋体" w:cs="Times New Roman"/>
          <w:sz w:val="28"/>
          <w:szCs w:val="28"/>
          <w:highlight w:val="none"/>
        </w:rPr>
        <w:t>；（2）补充披露发行人与</w:t>
      </w:r>
      <w:r>
        <w:rPr>
          <w:rFonts w:ascii="Times New Roman" w:hAnsi="Times New Roman" w:eastAsia="宋体" w:cs="Times New Roman"/>
          <w:sz w:val="28"/>
          <w:szCs w:val="28"/>
          <w:highlight w:val="none"/>
        </w:rPr>
        <w:t>中石化财务公司在报告期的资金往来的金额及原因</w:t>
      </w:r>
      <w:r>
        <w:rPr>
          <w:rFonts w:hint="default" w:ascii="Times New Roman" w:hAnsi="Times New Roman" w:eastAsia="宋体" w:cs="Times New Roman"/>
          <w:sz w:val="28"/>
          <w:szCs w:val="28"/>
          <w:highlight w:val="none"/>
        </w:rPr>
        <w:t>；（3）结合合同条款，补充披露</w:t>
      </w:r>
      <w:r>
        <w:rPr>
          <w:rFonts w:ascii="Times New Roman" w:hAnsi="Times New Roman" w:eastAsia="宋体" w:cs="Times New Roman"/>
          <w:sz w:val="28"/>
          <w:szCs w:val="28"/>
          <w:highlight w:val="none"/>
        </w:rPr>
        <w:t>发行人与中石化之间管道运输的具体情况</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请保荐机构、申报会计师核查上述情况，并明确发表意见。</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Lines="0" w:afterLines="0" w:line="460" w:lineRule="exact"/>
        <w:ind w:firstLine="560" w:firstLineChars="200"/>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11</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w:t>
      </w:r>
      <w:r>
        <w:rPr>
          <w:rFonts w:hint="default" w:ascii="Times New Roman" w:hAnsi="Times New Roman" w:eastAsia="宋体" w:cs="Times New Roman"/>
          <w:sz w:val="28"/>
          <w:szCs w:val="28"/>
          <w:highlight w:val="none"/>
        </w:rPr>
        <w:t>各期</w:t>
      </w:r>
      <w:r>
        <w:rPr>
          <w:rFonts w:ascii="Times New Roman" w:hAnsi="Times New Roman" w:eastAsia="宋体" w:cs="Times New Roman"/>
          <w:sz w:val="28"/>
          <w:szCs w:val="28"/>
          <w:highlight w:val="none"/>
        </w:rPr>
        <w:t>内，</w:t>
      </w:r>
      <w:r>
        <w:rPr>
          <w:rFonts w:hint="default" w:ascii="Times New Roman" w:hAnsi="Times New Roman" w:eastAsia="宋体" w:cs="Times New Roman"/>
          <w:sz w:val="28"/>
          <w:szCs w:val="28"/>
          <w:highlight w:val="none"/>
        </w:rPr>
        <w:t>发行人营业成本金额分别为</w:t>
      </w:r>
      <w:r>
        <w:rPr>
          <w:rFonts w:ascii="Times New Roman" w:hAnsi="Times New Roman" w:eastAsia="宋体" w:cs="Times New Roman"/>
          <w:sz w:val="28"/>
          <w:szCs w:val="28"/>
          <w:highlight w:val="none"/>
        </w:rPr>
        <w:t>23,848.44</w:t>
      </w:r>
      <w:r>
        <w:rPr>
          <w:rFonts w:hint="default" w:ascii="Times New Roman" w:hAnsi="Times New Roman" w:eastAsia="宋体" w:cs="Times New Roman"/>
          <w:sz w:val="28"/>
          <w:szCs w:val="28"/>
          <w:highlight w:val="none"/>
        </w:rPr>
        <w:t>万元、</w:t>
      </w:r>
      <w:r>
        <w:rPr>
          <w:rFonts w:ascii="Times New Roman" w:hAnsi="Times New Roman" w:eastAsia="宋体" w:cs="Times New Roman"/>
          <w:sz w:val="28"/>
          <w:szCs w:val="28"/>
          <w:highlight w:val="none"/>
        </w:rPr>
        <w:t>42,294.36</w:t>
      </w:r>
      <w:r>
        <w:rPr>
          <w:rFonts w:hint="default" w:ascii="Times New Roman" w:hAnsi="Times New Roman" w:eastAsia="宋体" w:cs="Times New Roman"/>
          <w:sz w:val="28"/>
          <w:szCs w:val="28"/>
          <w:highlight w:val="none"/>
        </w:rPr>
        <w:t>万元、</w:t>
      </w:r>
      <w:r>
        <w:rPr>
          <w:rFonts w:ascii="Times New Roman" w:hAnsi="Times New Roman" w:eastAsia="宋体" w:cs="Times New Roman"/>
          <w:sz w:val="28"/>
          <w:szCs w:val="28"/>
          <w:highlight w:val="none"/>
        </w:rPr>
        <w:t>61,369.72</w:t>
      </w:r>
      <w:r>
        <w:rPr>
          <w:rFonts w:hint="default" w:ascii="Times New Roman" w:hAnsi="Times New Roman" w:eastAsia="宋体" w:cs="Times New Roman"/>
          <w:sz w:val="28"/>
          <w:szCs w:val="28"/>
          <w:highlight w:val="none"/>
        </w:rPr>
        <w:t>万元和</w:t>
      </w:r>
      <w:r>
        <w:rPr>
          <w:rFonts w:ascii="Times New Roman" w:hAnsi="Times New Roman" w:eastAsia="宋体" w:cs="Times New Roman"/>
          <w:sz w:val="28"/>
          <w:szCs w:val="28"/>
          <w:highlight w:val="none"/>
        </w:rPr>
        <w:t>31,288.16</w:t>
      </w:r>
      <w:r>
        <w:rPr>
          <w:rFonts w:hint="default" w:ascii="Times New Roman" w:hAnsi="Times New Roman" w:eastAsia="宋体" w:cs="Times New Roman"/>
          <w:sz w:val="28"/>
          <w:szCs w:val="28"/>
          <w:highlight w:val="none"/>
        </w:rPr>
        <w:t>万元。请发行人：（1）补充披露报告期各期主营业务成本中直接材料、制造费用的明细构成、金额及占比情况；（2）补充披露各项营业务成本逐年增长的原因及合理性，与营业收入、产能变动情况是否匹配；（3）补充说明主要产品的料工费构成,说明各类产品成本结构变动的原因及合理性，与产品营业收入、产量变动的匹配情况，详细说明成本的归集与分类核算方法；（4）补充说明报告期各期主要原材料采购价格与市场价格的对比情况，原材料价格波动对生产经营的影响，原材料采购价格是否符合市场价格走势；对于存在不一致或其他不存在公开市场价格的原材料，通过对比同种原材料不同供应商的采购价格，二者之间是否存在显著差异；</w:t>
      </w:r>
      <w:r>
        <w:rPr>
          <w:rFonts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rPr>
        <w:t>5</w:t>
      </w:r>
      <w:r>
        <w:rPr>
          <w:rFonts w:ascii="Times New Roman" w:hAnsi="Times New Roman" w:eastAsia="宋体" w:cs="Times New Roman"/>
          <w:sz w:val="28"/>
          <w:szCs w:val="28"/>
          <w:highlight w:val="none"/>
        </w:rPr>
        <w:t>）说明报告期内主要能源</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电力、</w:t>
      </w:r>
      <w:r>
        <w:rPr>
          <w:rFonts w:hint="default" w:ascii="Times New Roman" w:hAnsi="Times New Roman" w:eastAsia="宋体" w:cs="Times New Roman"/>
          <w:sz w:val="28"/>
          <w:szCs w:val="28"/>
          <w:highlight w:val="none"/>
        </w:rPr>
        <w:t>蒸汽）采购金额</w:t>
      </w:r>
      <w:r>
        <w:rPr>
          <w:rFonts w:ascii="Times New Roman" w:hAnsi="Times New Roman" w:eastAsia="宋体" w:cs="Times New Roman"/>
          <w:sz w:val="28"/>
          <w:szCs w:val="28"/>
          <w:highlight w:val="none"/>
        </w:rPr>
        <w:t>与业务开展情况是否匹配；（</w:t>
      </w:r>
      <w:r>
        <w:rPr>
          <w:rFonts w:hint="default" w:ascii="Times New Roman" w:hAnsi="Times New Roman" w:eastAsia="宋体" w:cs="Times New Roman"/>
          <w:sz w:val="28"/>
          <w:szCs w:val="28"/>
          <w:highlight w:val="none"/>
        </w:rPr>
        <w:t>6</w:t>
      </w:r>
      <w:r>
        <w:rPr>
          <w:rFonts w:ascii="Times New Roman" w:hAnsi="Times New Roman" w:eastAsia="宋体" w:cs="Times New Roman"/>
          <w:sz w:val="28"/>
          <w:szCs w:val="28"/>
          <w:highlight w:val="none"/>
        </w:rPr>
        <w:t>）补充说明是否存在关联方或其他利益相关方代为承担成本费用、利益输送的情形。请保荐机构、申报会计师核查上述情况，说明核查过程，并明确发表意见。</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Lines="0" w:afterLines="0" w:line="460" w:lineRule="exact"/>
        <w:ind w:firstLine="560" w:firstLineChars="200"/>
        <w:outlineLvl w:val="9"/>
        <w:rPr>
          <w:rFonts w:hint="default" w:ascii="宋体" w:hAnsi="宋体" w:eastAsia="宋体" w:cs="宋体"/>
          <w:smallCaps w:val="0"/>
          <w:kern w:val="2"/>
          <w:sz w:val="28"/>
          <w:szCs w:val="20"/>
          <w:lang w:val="en-US" w:eastAsia="zh-CN" w:bidi="zh-TW"/>
        </w:rPr>
      </w:pPr>
      <w:r>
        <w:rPr>
          <w:rFonts w:hint="default" w:ascii="Times New Roman" w:hAnsi="Times New Roman" w:cs="Times New Roman"/>
          <w:sz w:val="28"/>
          <w:szCs w:val="28"/>
          <w:highlight w:val="none"/>
        </w:rPr>
        <w:t>12</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发行人向</w:t>
      </w:r>
      <w:r>
        <w:rPr>
          <w:rFonts w:hint="default" w:ascii="Times New Roman" w:hAnsi="Times New Roman" w:eastAsia="宋体" w:cs="Times New Roman"/>
          <w:sz w:val="28"/>
          <w:szCs w:val="28"/>
          <w:highlight w:val="none"/>
        </w:rPr>
        <w:t>前五大供应商</w:t>
      </w:r>
      <w:r>
        <w:rPr>
          <w:rFonts w:ascii="Times New Roman" w:hAnsi="Times New Roman" w:eastAsia="宋体" w:cs="Times New Roman"/>
          <w:sz w:val="28"/>
          <w:szCs w:val="28"/>
          <w:highlight w:val="none"/>
        </w:rPr>
        <w:t>的采购金额占比分别为</w:t>
      </w:r>
      <w:r>
        <w:rPr>
          <w:rFonts w:hint="default" w:ascii="Times New Roman" w:hAnsi="Times New Roman" w:eastAsia="宋体" w:cs="Times New Roman"/>
          <w:sz w:val="28"/>
          <w:szCs w:val="28"/>
          <w:highlight w:val="none"/>
        </w:rPr>
        <w:t>70.</w:t>
      </w:r>
      <w:r>
        <w:rPr>
          <w:rFonts w:ascii="Times New Roman" w:hAnsi="Times New Roman" w:eastAsia="宋体" w:cs="Times New Roman"/>
          <w:sz w:val="28"/>
          <w:szCs w:val="28"/>
          <w:highlight w:val="none"/>
        </w:rPr>
        <w:t>06</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78</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41</w:t>
      </w:r>
      <w:r>
        <w:rPr>
          <w:rFonts w:hint="default" w:ascii="Times New Roman" w:hAnsi="Times New Roman" w:eastAsia="宋体" w:cs="Times New Roman"/>
          <w:sz w:val="28"/>
          <w:szCs w:val="28"/>
          <w:highlight w:val="none"/>
        </w:rPr>
        <w:t>%、85.9</w:t>
      </w:r>
      <w:r>
        <w:rPr>
          <w:rFonts w:ascii="Times New Roman" w:hAnsi="Times New Roman" w:eastAsia="宋体" w:cs="Times New Roman"/>
          <w:sz w:val="28"/>
          <w:szCs w:val="28"/>
          <w:highlight w:val="none"/>
        </w:rPr>
        <w:t>0</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和89.78</w:t>
      </w:r>
      <w:r>
        <w:rPr>
          <w:rFonts w:hint="default" w:ascii="Times New Roman" w:hAnsi="Times New Roman" w:eastAsia="宋体" w:cs="Times New Roman"/>
          <w:sz w:val="28"/>
          <w:szCs w:val="28"/>
          <w:highlight w:val="none"/>
        </w:rPr>
        <w:t>%。请发行人：</w:t>
      </w:r>
      <w:r>
        <w:rPr>
          <w:rFonts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rPr>
        <w:t>1</w:t>
      </w:r>
      <w:r>
        <w:rPr>
          <w:rFonts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rPr>
        <w:t>补充披露前五大供应商采购金额占比逐年增加的原因及合理性，结合同行业可比公司情况，说明采购集中度较高是否符合行业惯例；（2）报告期内中国石油化工集团有限公司均为发行人第一大供应商，补充披露</w:t>
      </w:r>
      <w:r>
        <w:rPr>
          <w:rFonts w:ascii="Times New Roman" w:hAnsi="Times New Roman" w:eastAsia="宋体" w:cs="Times New Roman"/>
          <w:sz w:val="28"/>
          <w:szCs w:val="28"/>
          <w:highlight w:val="none"/>
        </w:rPr>
        <w:t>公司对中石化是否存在重大依赖，双方合作是否稳定可持续并充分提示风险</w:t>
      </w:r>
      <w:r>
        <w:rPr>
          <w:rFonts w:hint="default" w:ascii="Times New Roman" w:hAnsi="Times New Roman" w:eastAsia="宋体" w:cs="Times New Roman"/>
          <w:sz w:val="28"/>
          <w:szCs w:val="28"/>
          <w:highlight w:val="none"/>
        </w:rPr>
        <w:t>；（3）</w:t>
      </w:r>
      <w:r>
        <w:rPr>
          <w:rFonts w:ascii="Times New Roman" w:hAnsi="Times New Roman" w:eastAsia="宋体" w:cs="Times New Roman"/>
          <w:sz w:val="28"/>
          <w:szCs w:val="28"/>
          <w:highlight w:val="none"/>
        </w:rPr>
        <w:t>补充说明发行人从中石化体系采购的主要产品</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单价</w:t>
      </w:r>
      <w:r>
        <w:rPr>
          <w:rFonts w:hint="default" w:ascii="Times New Roman" w:hAnsi="Times New Roman" w:eastAsia="宋体" w:cs="Times New Roman"/>
          <w:sz w:val="28"/>
          <w:szCs w:val="28"/>
          <w:highlight w:val="none"/>
        </w:rPr>
        <w:t>、数量、金额及占比，并说明</w:t>
      </w:r>
      <w:r>
        <w:rPr>
          <w:rFonts w:ascii="Times New Roman" w:hAnsi="Times New Roman" w:eastAsia="宋体" w:cs="Times New Roman"/>
          <w:sz w:val="28"/>
          <w:szCs w:val="28"/>
          <w:highlight w:val="none"/>
        </w:rPr>
        <w:t>采购价格的公允性</w:t>
      </w:r>
      <w:r>
        <w:rPr>
          <w:rFonts w:hint="default" w:ascii="Times New Roman" w:hAnsi="Times New Roman" w:eastAsia="宋体" w:cs="Times New Roman"/>
          <w:sz w:val="28"/>
          <w:szCs w:val="28"/>
          <w:highlight w:val="none"/>
        </w:rPr>
        <w:t>；（4）</w:t>
      </w:r>
      <w:r>
        <w:rPr>
          <w:rFonts w:ascii="Times New Roman" w:hAnsi="Times New Roman" w:eastAsia="宋体" w:cs="Times New Roman"/>
          <w:sz w:val="28"/>
          <w:szCs w:val="28"/>
          <w:highlight w:val="none"/>
        </w:rPr>
        <w:t>补充说明报告期内供应商选择依据，供应商的总数量，按采购内容分别列示供应商家数、主要供应商情况及采购金额，说明各产品采购主要供应商变动原因、采购金额、数量、单价变化情况及原因、合理性、采购价格与市场价格差异情况及差异原因，向不同供应商采购同类产品的价格差异情况，价格是否公允；（</w:t>
      </w:r>
      <w:r>
        <w:rPr>
          <w:rFonts w:hint="default" w:ascii="Times New Roman" w:hAnsi="Times New Roman" w:eastAsia="宋体" w:cs="Times New Roman"/>
          <w:sz w:val="28"/>
          <w:szCs w:val="28"/>
          <w:highlight w:val="none"/>
        </w:rPr>
        <w:t>5</w:t>
      </w:r>
      <w:r>
        <w:rPr>
          <w:rFonts w:ascii="Times New Roman" w:hAnsi="Times New Roman" w:eastAsia="宋体" w:cs="Times New Roman"/>
          <w:sz w:val="28"/>
          <w:szCs w:val="28"/>
          <w:highlight w:val="none"/>
        </w:rPr>
        <w:t>）补充说明主要供应商成立时间、注册资本、经营范围、股权结构、是否为新增供应商、与发行人合作年限、业务往来背景、结算方式等，上述情况若在报告期内发生变化或波动，请说明原因；（</w:t>
      </w:r>
      <w:r>
        <w:rPr>
          <w:rFonts w:hint="default" w:ascii="Times New Roman" w:hAnsi="Times New Roman" w:eastAsia="宋体" w:cs="Times New Roman"/>
          <w:sz w:val="28"/>
          <w:szCs w:val="28"/>
          <w:highlight w:val="none"/>
        </w:rPr>
        <w:t>6</w:t>
      </w:r>
      <w:r>
        <w:rPr>
          <w:rFonts w:ascii="Times New Roman" w:hAnsi="Times New Roman" w:eastAsia="宋体" w:cs="Times New Roman"/>
          <w:sz w:val="28"/>
          <w:szCs w:val="28"/>
          <w:highlight w:val="none"/>
        </w:rPr>
        <w:t>）补充说明报告期内是否存在发行人是某一供应商相关业务唯一客户或主要客户的情形，是否存在报告期内新成立即成为发行人供应商的情形，是否存在客户指定供应商的情形；（</w:t>
      </w:r>
      <w:r>
        <w:rPr>
          <w:rFonts w:hint="default" w:ascii="Times New Roman" w:hAnsi="Times New Roman" w:eastAsia="宋体" w:cs="Times New Roman"/>
          <w:sz w:val="28"/>
          <w:szCs w:val="28"/>
          <w:highlight w:val="none"/>
        </w:rPr>
        <w:t>7</w:t>
      </w:r>
      <w:r>
        <w:rPr>
          <w:rFonts w:ascii="Times New Roman" w:hAnsi="Times New Roman" w:eastAsia="宋体" w:cs="Times New Roman"/>
          <w:sz w:val="28"/>
          <w:szCs w:val="28"/>
          <w:highlight w:val="none"/>
        </w:rPr>
        <w:t>）结合行业状况、主要材料供应商的合作协议情况等，分析供应商的稳定性和可持续性；（</w:t>
      </w:r>
      <w:r>
        <w:rPr>
          <w:rFonts w:hint="default" w:ascii="Times New Roman" w:hAnsi="Times New Roman" w:eastAsia="宋体" w:cs="Times New Roman"/>
          <w:sz w:val="28"/>
          <w:szCs w:val="28"/>
          <w:highlight w:val="none"/>
        </w:rPr>
        <w:t>8</w:t>
      </w:r>
      <w:r>
        <w:rPr>
          <w:rFonts w:ascii="Times New Roman" w:hAnsi="Times New Roman" w:eastAsia="宋体" w:cs="Times New Roman"/>
          <w:sz w:val="28"/>
          <w:szCs w:val="28"/>
          <w:highlight w:val="none"/>
        </w:rPr>
        <w:t>）说明主要供应商与发行人、发行人董事、监管、高管、其他核心人员、实际控制人、发行人股东及其关联方是否存在关联关系或其他利益安排；（</w:t>
      </w:r>
      <w:r>
        <w:rPr>
          <w:rFonts w:hint="default" w:ascii="Times New Roman" w:hAnsi="Times New Roman" w:eastAsia="宋体" w:cs="Times New Roman"/>
          <w:sz w:val="28"/>
          <w:szCs w:val="28"/>
          <w:highlight w:val="none"/>
        </w:rPr>
        <w:t>9</w:t>
      </w:r>
      <w:r>
        <w:rPr>
          <w:rFonts w:ascii="Times New Roman" w:hAnsi="Times New Roman" w:eastAsia="宋体" w:cs="Times New Roman"/>
          <w:sz w:val="28"/>
          <w:szCs w:val="28"/>
          <w:highlight w:val="none"/>
        </w:rPr>
        <w:t>）补充披露报告期内是否存在向贸易商、代理商采购的情形，如有请说明未直接向原厂采购的合理性。请保荐机构、申报会计师核查并发表明确意见。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zh-TW" w:eastAsia="zh-CN"/>
        </w:rPr>
      </w:pPr>
      <w:r>
        <w:rPr>
          <w:rFonts w:hint="default" w:ascii="Times New Roman" w:hAnsi="Times New Roman" w:eastAsia="黑体" w:cs="Times New Roman"/>
          <w:sz w:val="28"/>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13、</w:t>
      </w:r>
      <w:r>
        <w:rPr>
          <w:rFonts w:hint="default" w:ascii="宋体" w:hAnsi="宋体" w:eastAsia="宋体" w:cs="宋体"/>
          <w:smallCaps w:val="0"/>
          <w:kern w:val="2"/>
          <w:sz w:val="28"/>
          <w:szCs w:val="20"/>
          <w:lang w:val="zh-TW" w:eastAsia="zh-CN" w:bidi="zh-TW"/>
        </w:rPr>
        <w:t>智德信为发行人员工股权激励平台，智德源系发行人的实际控制人、员工及外部人员的持股平台。请发行人</w:t>
      </w:r>
      <w:r>
        <w:rPr>
          <w:rFonts w:hint="default" w:cs="宋体"/>
          <w:smallCaps w:val="0"/>
          <w:kern w:val="2"/>
          <w:sz w:val="28"/>
          <w:szCs w:val="20"/>
          <w:lang w:eastAsia="zh-CN" w:bidi="zh-TW"/>
        </w:rPr>
        <w:t>说明</w:t>
      </w:r>
      <w:r>
        <w:rPr>
          <w:rFonts w:hint="default" w:ascii="宋体" w:hAnsi="宋体" w:eastAsia="宋体" w:cs="宋体"/>
          <w:smallCaps w:val="0"/>
          <w:kern w:val="2"/>
          <w:sz w:val="28"/>
          <w:szCs w:val="20"/>
          <w:lang w:val="zh-TW" w:eastAsia="zh-CN" w:bidi="zh-TW"/>
        </w:rPr>
        <w:t>：（1）智德源外部投资人的履历背景、入股背景和原因、定价公允性，与发行人股东、董监高、客户、供应商及其股东之间的关系情况，智德信、智德源合伙人与发行人股东、董监高、核心技术人员是否存在亲属关系、关联关系、委托持股关系。（2）合伙人在平台内部的流转、退出机制、合伙份额锁定期安排、离职后持股的处理方式，以及股权管理机制。（3）出资发行人及历次股权变动是否构成股份支付及判断依据。（4）发行人股东人数是否存在超过200人的情形。</w:t>
      </w:r>
      <w:r>
        <w:rPr>
          <w:rFonts w:hint="default" w:ascii="宋体" w:hAnsi="宋体" w:eastAsia="宋体" w:cs="宋体"/>
          <w:smallCaps w:val="0"/>
          <w:kern w:val="2"/>
          <w:sz w:val="28"/>
          <w:szCs w:val="20"/>
          <w:lang w:eastAsia="zh-CN" w:bidi="zh-TW"/>
        </w:rPr>
        <w:t>（5）员工持股平台是否实质为实际控制人控制的企业，股份锁定期是否符合规定。</w:t>
      </w:r>
      <w:r>
        <w:rPr>
          <w:rFonts w:hint="default" w:ascii="宋体" w:hAnsi="宋体" w:eastAsia="宋体" w:cs="宋体"/>
          <w:smallCaps w:val="0"/>
          <w:kern w:val="2"/>
          <w:sz w:val="28"/>
          <w:szCs w:val="20"/>
          <w:lang w:val="zh-TW" w:eastAsia="zh-CN" w:bidi="zh-TW"/>
        </w:rPr>
        <w:t>请保荐机构和发行人律师核查并发表明确意见。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14、</w:t>
      </w:r>
      <w:r>
        <w:rPr>
          <w:rFonts w:hint="default" w:ascii="宋体" w:hAnsi="宋体" w:eastAsia="宋体" w:cs="宋体"/>
          <w:smallCaps w:val="0"/>
          <w:kern w:val="2"/>
          <w:sz w:val="28"/>
          <w:szCs w:val="20"/>
          <w:lang w:val="zh-TW" w:eastAsia="zh-CN" w:bidi="zh-TW"/>
        </w:rPr>
        <w:t>报告期内，发行人注销子公司宁夏昌德。实际控制人蒋卫控制和施加重大影响的多家企业在报告期内注销。请发行人说明：相关企业注销的原因，注销前基本情况、注销前一年主要财务数据，是否存在重大违法违规，是否存在为发行人代为承担成本费用等情况，注销后资产、人员去向，上述企业实际经营的业务内容，是否曾与公司存在同业竞争或者关联交易。请保荐机构及发行人律师发表核查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15、</w:t>
      </w:r>
      <w:r>
        <w:rPr>
          <w:rFonts w:hint="default" w:ascii="宋体" w:hAnsi="宋体" w:eastAsia="宋体" w:cs="宋体"/>
          <w:smallCaps w:val="0"/>
          <w:kern w:val="2"/>
          <w:sz w:val="28"/>
          <w:szCs w:val="20"/>
          <w:lang w:eastAsia="zh-CN" w:bidi="zh-TW"/>
        </w:rPr>
        <w:t>报告期内发行人子公司受到多起行政处罚。请发行人：（1）结合相关法律法规对违法行为的情节、性质、责任规定以及主管机关认定意见说明是否属于重大违法违规，并完善相关风险揭示。（2）说明杭州昌德10.00万元罚款的处罚机关和证明出具机关不一致的原因，认定不属于重大违法违规行为的依据是否充分。（3）按照《首发业务若干问题解答》相关规定说明报告期内发行人、控股股东、实际控制人是否存在重大违法违规行为，是否对发行上市构成障碍。（4）</w:t>
      </w:r>
      <w:r>
        <w:rPr>
          <w:rFonts w:hint="default" w:ascii="宋体" w:hAnsi="宋体" w:eastAsia="宋体" w:cs="宋体"/>
          <w:smallCaps w:val="0"/>
          <w:kern w:val="2"/>
          <w:sz w:val="28"/>
          <w:szCs w:val="20"/>
          <w:lang w:val="zh-TW" w:eastAsia="zh-CN" w:bidi="zh-TW"/>
        </w:rPr>
        <w:t>说明</w:t>
      </w:r>
      <w:r>
        <w:rPr>
          <w:rFonts w:hint="default" w:ascii="宋体" w:hAnsi="宋体" w:eastAsia="宋体" w:cs="宋体"/>
          <w:smallCaps w:val="0"/>
          <w:kern w:val="2"/>
          <w:sz w:val="28"/>
          <w:szCs w:val="20"/>
          <w:lang w:eastAsia="zh-CN" w:bidi="zh-TW"/>
        </w:rPr>
        <w:t>报告期内发行人是否发生产品质量事故或纠纷，是否因产品质量问题受到主管部门处罚或调查，本次申报报告期内发行人的产品质量安全相关检查、处罚、纠纷等情况是否已真实、准确、完整披露，相关风险揭示是否充分。（5）</w:t>
      </w:r>
      <w:r>
        <w:rPr>
          <w:rFonts w:hint="default" w:ascii="宋体" w:hAnsi="宋体" w:eastAsia="宋体" w:cs="宋体"/>
          <w:smallCaps w:val="0"/>
          <w:kern w:val="2"/>
          <w:sz w:val="28"/>
          <w:szCs w:val="20"/>
          <w:lang w:val="zh-TW" w:eastAsia="zh-CN" w:bidi="zh-TW"/>
        </w:rPr>
        <w:t>说明</w:t>
      </w:r>
      <w:r>
        <w:rPr>
          <w:rFonts w:hint="default" w:ascii="宋体" w:hAnsi="宋体" w:eastAsia="宋体" w:cs="宋体"/>
          <w:smallCaps w:val="0"/>
          <w:kern w:val="2"/>
          <w:sz w:val="28"/>
          <w:szCs w:val="20"/>
          <w:lang w:eastAsia="zh-CN" w:bidi="zh-TW"/>
        </w:rPr>
        <w:t>发行人是否已建立完善的安全生产管理制度，以及安全生产管理制度的有效性和执行情况，报告期内发行人是否发生安全生产事故，如有，说明具体情况，是否存在纠纷或处罚。（6）</w:t>
      </w:r>
      <w:r>
        <w:rPr>
          <w:rFonts w:hint="default" w:ascii="宋体" w:hAnsi="宋体" w:eastAsia="宋体" w:cs="宋体"/>
          <w:smallCaps w:val="0"/>
          <w:kern w:val="2"/>
          <w:sz w:val="28"/>
          <w:szCs w:val="20"/>
          <w:lang w:val="zh-TW" w:eastAsia="zh-CN" w:bidi="zh-TW"/>
        </w:rPr>
        <w:t>说明</w:t>
      </w:r>
      <w:r>
        <w:rPr>
          <w:rFonts w:hint="default" w:ascii="宋体" w:hAnsi="宋体" w:eastAsia="宋体" w:cs="宋体"/>
          <w:smallCaps w:val="0"/>
          <w:kern w:val="2"/>
          <w:sz w:val="28"/>
          <w:szCs w:val="20"/>
          <w:lang w:eastAsia="zh-CN" w:bidi="zh-TW"/>
        </w:rPr>
        <w:t>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16、</w:t>
      </w:r>
      <w:r>
        <w:rPr>
          <w:rFonts w:hint="default" w:ascii="宋体" w:hAnsi="宋体" w:eastAsia="宋体" w:cs="宋体"/>
          <w:smallCaps w:val="0"/>
          <w:kern w:val="2"/>
          <w:sz w:val="28"/>
          <w:szCs w:val="20"/>
          <w:lang w:val="zh-TW" w:eastAsia="zh-CN" w:bidi="zh-TW"/>
        </w:rPr>
        <w:t>报告期内，发行人及子公司存在超安全生产许可证核定能力生产及未取得相关资质投产的情形。请发行人：（1）说明发行人从事相关生产经营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2）说明超核定能力事项的起止时间，核定产能和实际产能具体情况；报告期内超产能生产经营是否符合安全生产、环境保护以及行业管理的相关规定，是否办理产能变更程序，是否因超产能生产经营受到行政处罚或存在行政处罚风险。（3）根据《首发业务若干问题解答》相关规定说明超安全生产许可证核定能力生产及未取得相关资质投产事项是否构成重大违法违规。请保荐机构及发行人律师发表核查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17</w:t>
      </w:r>
      <w:r>
        <w:rPr>
          <w:rFonts w:hint="default" w:ascii="宋体" w:hAnsi="宋体" w:eastAsia="宋体" w:cs="宋体"/>
          <w:smallCaps w:val="0"/>
          <w:kern w:val="2"/>
          <w:sz w:val="28"/>
          <w:szCs w:val="20"/>
          <w:lang w:eastAsia="zh-CN" w:bidi="zh-TW"/>
        </w:rPr>
        <w:t>、</w:t>
      </w:r>
      <w:r>
        <w:rPr>
          <w:rFonts w:hint="default" w:ascii="宋体" w:hAnsi="宋体" w:eastAsia="宋体" w:cs="宋体"/>
          <w:smallCaps w:val="0"/>
          <w:kern w:val="2"/>
          <w:sz w:val="28"/>
          <w:szCs w:val="20"/>
          <w:lang w:val="zh-TW" w:eastAsia="zh-CN" w:bidi="zh-TW"/>
        </w:rPr>
        <w:t>发行人存在部分房屋建筑物未取得产权证书、租赁房屋未取得房屋产权证书、租赁房屋用地为划拨地情形。请发行人：</w:t>
      </w:r>
      <w:r>
        <w:rPr>
          <w:rFonts w:hint="default" w:ascii="宋体" w:hAnsi="宋体" w:eastAsia="宋体" w:cs="宋体"/>
          <w:smallCaps w:val="0"/>
          <w:kern w:val="2"/>
          <w:sz w:val="28"/>
          <w:szCs w:val="20"/>
          <w:lang w:val="en-US" w:eastAsia="zh-CN" w:bidi="zh-TW"/>
        </w:rPr>
        <w:t>（1）说明发行人自有土地使用权取得过程是否合规，是否符合规划用途；</w:t>
      </w:r>
      <w:r>
        <w:rPr>
          <w:rFonts w:hint="default" w:ascii="宋体" w:hAnsi="宋体" w:eastAsia="宋体" w:cs="宋体"/>
          <w:smallCaps w:val="0"/>
          <w:kern w:val="2"/>
          <w:sz w:val="28"/>
          <w:szCs w:val="20"/>
          <w:lang w:val="zh-TW" w:eastAsia="zh-CN" w:bidi="zh-TW"/>
        </w:rPr>
        <w:t>部分土地和</w:t>
      </w:r>
      <w:r>
        <w:rPr>
          <w:rFonts w:hint="default" w:ascii="宋体" w:hAnsi="宋体" w:eastAsia="宋体" w:cs="宋体"/>
          <w:smallCaps w:val="0"/>
          <w:kern w:val="2"/>
          <w:sz w:val="28"/>
          <w:szCs w:val="20"/>
          <w:lang w:val="en-US" w:eastAsia="zh-CN" w:bidi="zh-TW"/>
        </w:rPr>
        <w:t>房屋是否</w:t>
      </w:r>
      <w:r>
        <w:rPr>
          <w:rFonts w:hint="default" w:ascii="宋体" w:hAnsi="宋体" w:eastAsia="宋体" w:cs="宋体"/>
          <w:smallCaps w:val="0"/>
          <w:kern w:val="2"/>
          <w:sz w:val="28"/>
          <w:szCs w:val="20"/>
          <w:lang w:val="zh-TW" w:eastAsia="zh-CN" w:bidi="zh-TW"/>
        </w:rPr>
        <w:t>未</w:t>
      </w:r>
      <w:r>
        <w:rPr>
          <w:rFonts w:hint="default" w:ascii="宋体" w:hAnsi="宋体" w:eastAsia="宋体" w:cs="宋体"/>
          <w:smallCaps w:val="0"/>
          <w:kern w:val="2"/>
          <w:sz w:val="28"/>
          <w:szCs w:val="20"/>
          <w:lang w:val="en-US" w:eastAsia="zh-CN" w:bidi="zh-TW"/>
        </w:rPr>
        <w:t>取得产权证书</w:t>
      </w:r>
      <w:r>
        <w:rPr>
          <w:rFonts w:hint="default" w:ascii="宋体" w:hAnsi="宋体" w:eastAsia="宋体" w:cs="宋体"/>
          <w:smallCaps w:val="0"/>
          <w:kern w:val="2"/>
          <w:sz w:val="28"/>
          <w:szCs w:val="20"/>
          <w:lang w:val="zh-TW" w:eastAsia="zh-CN" w:bidi="zh-TW"/>
        </w:rPr>
        <w:t>的原因</w:t>
      </w:r>
      <w:r>
        <w:rPr>
          <w:rFonts w:hint="default"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val="zh-TW" w:eastAsia="zh-CN" w:bidi="zh-TW"/>
        </w:rPr>
        <w:t>进展及预计取得时间，是否存在实质性障碍，</w:t>
      </w:r>
      <w:r>
        <w:rPr>
          <w:rFonts w:hint="default" w:ascii="宋体" w:hAnsi="宋体" w:eastAsia="宋体" w:cs="宋体"/>
          <w:smallCaps w:val="0"/>
          <w:kern w:val="2"/>
          <w:sz w:val="28"/>
          <w:szCs w:val="20"/>
          <w:lang w:val="en-US" w:eastAsia="zh-CN" w:bidi="zh-TW"/>
        </w:rPr>
        <w:t>是否属于合法建筑、是否可能被行政处罚、是否构成重大违法行为。（2）说明发行人租赁的房产是否涉及集体土地或划拨用地，是否取得权属证书，是否办理租赁备案手续，承租房产是否属于发行人的主要生产经营场所；报告期内，公司向关联方出租/承租房产的租赁费用及其定价是否公允，是否存在关联方利益输送情况</w:t>
      </w:r>
      <w:r>
        <w:rPr>
          <w:rFonts w:hint="default" w:ascii="宋体" w:hAnsi="宋体" w:eastAsia="宋体" w:cs="宋体"/>
          <w:smallCaps w:val="0"/>
          <w:kern w:val="2"/>
          <w:sz w:val="28"/>
          <w:szCs w:val="20"/>
          <w:lang w:val="zh-TW" w:eastAsia="zh-CN" w:bidi="zh-TW"/>
        </w:rPr>
        <w:t>。</w:t>
      </w:r>
      <w:r>
        <w:rPr>
          <w:rFonts w:hint="default" w:ascii="宋体" w:hAnsi="宋体" w:eastAsia="宋体" w:cs="宋体"/>
          <w:smallCaps w:val="0"/>
          <w:kern w:val="2"/>
          <w:sz w:val="28"/>
          <w:szCs w:val="20"/>
          <w:lang w:val="en-US" w:eastAsia="zh-CN" w:bidi="zh-TW"/>
        </w:rPr>
        <w:t>（3）说明发行人租赁土地是否存在租用合法性不能确认、租用用途不符合产权证记载或未进行备案等瑕疵情况，涉及集体土地使用的，请说明有关土地取得、使用是否合规，请对租用土地及</w:t>
      </w:r>
      <w:r>
        <w:rPr>
          <w:rFonts w:hint="default" w:ascii="宋体" w:hAnsi="宋体" w:eastAsia="宋体" w:cs="宋体"/>
          <w:smallCaps w:val="0"/>
          <w:kern w:val="2"/>
          <w:sz w:val="28"/>
          <w:szCs w:val="20"/>
          <w:lang w:val="zh-TW" w:eastAsia="zh-CN" w:bidi="zh-TW"/>
        </w:rPr>
        <w:t>地</w:t>
      </w:r>
      <w:r>
        <w:rPr>
          <w:rFonts w:hint="default" w:ascii="宋体" w:hAnsi="宋体" w:eastAsia="宋体" w:cs="宋体"/>
          <w:smallCaps w:val="0"/>
          <w:kern w:val="2"/>
          <w:sz w:val="28"/>
          <w:szCs w:val="20"/>
          <w:lang w:val="en-US" w:eastAsia="zh-CN" w:bidi="zh-TW"/>
        </w:rPr>
        <w:t>上建筑物或构筑物是否合规发表明确意见</w:t>
      </w:r>
      <w:r>
        <w:rPr>
          <w:rFonts w:hint="default" w:ascii="宋体" w:hAnsi="宋体" w:eastAsia="宋体" w:cs="宋体"/>
          <w:smallCaps w:val="0"/>
          <w:kern w:val="2"/>
          <w:sz w:val="28"/>
          <w:szCs w:val="20"/>
          <w:lang w:val="zh-TW" w:eastAsia="zh-CN" w:bidi="zh-TW"/>
        </w:rPr>
        <w:t>。</w:t>
      </w:r>
      <w:r>
        <w:rPr>
          <w:rFonts w:hint="default" w:ascii="宋体" w:hAnsi="宋体" w:eastAsia="宋体" w:cs="宋体"/>
          <w:smallCaps w:val="0"/>
          <w:kern w:val="2"/>
          <w:sz w:val="28"/>
          <w:szCs w:val="20"/>
          <w:lang w:val="en-US" w:eastAsia="zh-CN" w:bidi="zh-TW"/>
        </w:rPr>
        <w:t>（4）结合瑕疵房产、土地的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请保荐机构和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18、报告期内，发行人存在部分员工未缴纳社保、公积金情形。请发行人说明：（1）各期末发行人员工人数逐年减少的原因。（2）发行人社会保险和住房公积金是否足额缴纳，如否，说明原因，如足额缴纳对经营业绩的影响及应对方案。（3）是否存在因违反社会保险、住房公积金相关法律法规而受到处罚的情形，是否构成重大违法行为。（4）发行人是否存在劳务派遣或劳务外包情况，如存在请披露具体情况及是否符合劳动法律规定。请保荐机构、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19、请发行人说明：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请保荐机构、发行人律师核查并发表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20、</w:t>
      </w:r>
      <w:r>
        <w:rPr>
          <w:rFonts w:hint="default" w:cs="宋体"/>
          <w:kern w:val="2"/>
          <w:sz w:val="28"/>
          <w:szCs w:val="20"/>
          <w:lang w:val="en-US" w:eastAsia="zh-CN"/>
        </w:rPr>
        <w:t>请发行人：（1）</w:t>
      </w:r>
      <w:r>
        <w:rPr>
          <w:rFonts w:hint="default" w:cs="宋体"/>
          <w:kern w:val="2"/>
          <w:sz w:val="28"/>
          <w:szCs w:val="20"/>
          <w:lang w:eastAsia="zh-CN"/>
        </w:rPr>
        <w:t>说明</w:t>
      </w:r>
      <w:r>
        <w:rPr>
          <w:rFonts w:hint="default" w:cs="宋体"/>
          <w:kern w:val="2"/>
          <w:sz w:val="28"/>
          <w:szCs w:val="20"/>
          <w:lang w:val="en-US" w:eastAsia="zh-CN"/>
        </w:rPr>
        <w:t>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w:t>
      </w:r>
      <w:r>
        <w:rPr>
          <w:rFonts w:hint="default" w:cs="宋体"/>
          <w:kern w:val="2"/>
          <w:sz w:val="28"/>
          <w:szCs w:val="20"/>
          <w:lang w:eastAsia="zh-CN"/>
        </w:rPr>
        <w:t>说明</w:t>
      </w:r>
      <w:r>
        <w:rPr>
          <w:rFonts w:hint="default" w:cs="宋体"/>
          <w:kern w:val="2"/>
          <w:sz w:val="28"/>
          <w:szCs w:val="20"/>
          <w:lang w:val="en-US" w:eastAsia="zh-CN"/>
        </w:rPr>
        <w:t>发行人最近3年董事、监事、高管发生变化情况、原因，最近3年内董事、监事、高级管理人员的变动是否构成重大变化，是否构成发行上市障碍。请保荐机构和发行人律师进行核查并发表明确意见。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21、公司所处行业为“C26化学原料和化学制品制造业”。发行人应针对下列事项进行说明。（1）发行人已建、在建项目和募投项目是否满足项目所在地能源消费双控要求，是否按规定取得固定资产投资项目节能审查意见，发行人的主要能源资源消耗情况以及是否符合当地节能主管部门的监管要求。（2）发行人募投项目是否涉及新建自备燃煤电厂，如是，是否符合《关于加强和规范燃煤自备电厂监督管理的指导意见》中“京津冀、长三角、珠三角等区域禁止新建燃煤自备电厂，装机明显冗余、火电利用小时数偏低地区，除以热定电的热电联产项目外，原则上不再新（扩）建自备电厂项目”的要求。（3）发行人的已建、在建项目和募投项目是否需履行主管部门审批、核准、备案等程序及履行情况；已建、在建项目和募投项目是否按照环境影响评价相关法律法规要求，获得相应级别生态环境主管部门环境影响评价批复；是否落实污染物总量削减替代要求。（4）发行人是否按规定取得排污许可证，是否存在未取得排污许可证或者超越排污许可证范围排放污染物等情况，是否违反《排污许可证管理条例》第三十三条的规定，是否已完成整改，是否构成重大违法行为。（5）发行人是否存在大气污染防治重点区域内的耗煤项目。依据《大气污染防治法》第九十条，国家大气污染防治重点区域内新建、改建、扩建用煤项目的，应当实行煤炭的等量或者减量替代。发行人是否履行应履行的煤炭等量或减量替代要求。（6）发行人已建、在建项目或者募投项目是否位于各地城市人民政府根据《高污染燃料目录》划定的高污染燃料禁燃区内，如是，是否在禁燃区内燃用相应类别的高污染燃料，是否已完成整改，是否受到行政处罚，是否构成重大违法行为。（7）发行人的生产经营是否符合国家产业政策，生产经营和募投项目是否属于《产业结构调整指导目录（2019年本）》中的淘汰类、限制类产业，是否属于落后产能，请按照业务和产品进行分类说明。（8）发行人生产的产品是否属于《环境保护综合名录（2021年版）》中规定的“双高”（高污染、高环境风险）产品，如发行人生产的产品涉及“双高”产品，请说明相关产品所产生的收入及占发行人主营业务收入的比例，是否为发行人生产的主要产品，发行人是否采取有效措施减少“双高”产品的生产，以及采取相关措施对发行人未来生产经营的影响。如发行人产品属于“高环境风险”的，还应满足环境风险防范措施要求、应急预案管理制度健全、近一年内未发生重大特大突发环境事件要求；产品属于中“高污染”的，还应满足国家或地方污染物排放标准及已出台的超低排放要求、达到行业清洁生产先进水平、近一年内无因环境违法行为受到重大处罚的要求。（9）生产经营中涉及环境污染的具体环节、主要污染物名称及排放量、主要处理设施及处理能力，治理设施的技术或工艺先进性、是否正常运行、达到的节能减排处理效果以及是否符合要求、处理效果监测记录是否妥善保存；报告期内环保投资和费用成本支出情况，环保投入、环保相关成本费用是否与处理公司生产经营所产生的污染相匹配；募投项目所采取的环保措施及相应的资金来源和金额；公司的日常排污监测是否达标和环保部门现场检查情况。（10）发行人最近36个月是否存在受到环保领域行政处罚的情况，是否构成重大违法行为，整改措施及整改后是否符合环保法律法规的规定。公司是否发生环保事故或重大群体性的环保事件，是否存在公司环保情况的负面媒体报道。</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发行人应当及时向中介机构提供真实、准确、完整的资料，积极和全面配合中介机构开展尽职调查工作。上述所指发行人包括母公司及其合并报表范围内子公司。中介机构应当勤勉尽责，保荐机构及发行人律师对发行人上述情况进行全面系统的专项核查，说明核查范围、方式、依据，并出具专项核查报告。中介机构应当勤勉尽责，对发行人上述情况进行全面系统的核查，说明核查范围、方式、依据，并发表明确核查意见。发行人应当及时向中介机构提供真实、准确、完整的资料，积极和全面配合中介机构开展尽职调查工作。上述所指发行人包括母公司及其合并报表范围内子公司。募投项目拟生产“双高”产品的，统一适用现行核查要求。</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22、报告期内发行人存在受让取得专利权的情形。请发行人说明：（1）发行人受让取得知识产权的转让方、转让时间、转让价格及其公允性，受让取得的知识产权是否系发行人生产经营主要资产，发行人与转让方是否存在权属纠纷，如系来自于控股股东、实际控制人，请按照《首发业务若干问题解答》进行全面分析论证，并说明发行人控股股东及其关联方是否仍保留与发行人生产经营相关的知识产权。（2）发行人是否存在使用他人知识产权的情形，如存在，请说明是否构成侵权行为及对发行人的影响。（3）发行人许可他人使用知识产权的情况、原因及商业合理性，是否存在相关利益安排，是否存在争议或纠纷。（4）发行人是否存在知识产权的侵权纠纷，如存在，具体情况，对发行人的影响。（5）相关知识产权管理的内部控制制度是否建立健全并有效运行，保护范围是否覆盖公司全部产品。请保荐机构和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23、请发行人：（1）说明募投项目是否均已取得相关备案及环保批准文件，是否已取得募投用地，如未取得，披露募投用地的计划、进展，是否存在重大不确定性，并完善相关风险提示。（2）结合宏观市场环境、下游市场需求、行业竞争态势、市场开拓、建设期成本投入等情况，说明本次募投项目实施的必要性及合理性，募投项目新增产能对应客户及与客户销售规模的匹配性，是否存在新增产品无法消化的风险。（3）结合账面可用货币资金、现金流变动、报告期内现金分红等情况说明补充流动资金的具体用途、合理性、必要性。请保荐机构、发行人律师核查并发表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24、招股说明书存在“进口替代”、“性能达到国际先进水平”、“配套专家”、单项冠军”、“隐形冠军”等表述。请发行人：结合发行人主要产品、核心技术的性能、品质、技术参数和竞争对手的对比情况，说明相关表述的数据来源、具体依据和理由，达到国际先进水平、“冠军”的具体表现，说明相关表述是否准确、依据是否充分，如否，请删除。请保荐机构及发行人律师核查全套申报文件，对于没有数据支持的说法提供证据，或者予以修正，删除广告性和恭维性表述。</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25</w:t>
      </w:r>
      <w:r>
        <w:rPr>
          <w:rFonts w:hint="default" w:ascii="Times New Roman" w:hAnsi="Times New Roman" w:eastAsia="宋体" w:cs="Times New Roman"/>
          <w:sz w:val="28"/>
          <w:szCs w:val="28"/>
          <w:highlight w:val="none"/>
        </w:rPr>
        <w:t>、发行人经历多次增资和股权转让。请发行人说明：（</w:t>
      </w:r>
      <w:r>
        <w:rPr>
          <w:rFonts w:ascii="Times New Roman" w:hAnsi="Times New Roman" w:eastAsia="宋体" w:cs="Times New Roman"/>
          <w:sz w:val="28"/>
          <w:szCs w:val="28"/>
          <w:highlight w:val="none"/>
        </w:rPr>
        <w:t>1</w:t>
      </w:r>
      <w:r>
        <w:rPr>
          <w:rFonts w:hint="default" w:ascii="Times New Roman" w:hAnsi="Times New Roman" w:eastAsia="宋体" w:cs="Times New Roman"/>
          <w:sz w:val="28"/>
          <w:szCs w:val="28"/>
          <w:highlight w:val="none"/>
        </w:rPr>
        <w:t>）历次增资或股权转让的背景，增资或股权转让对象中发行人的任职情况；报告期内历次增资或股权转让的价格、定价依据及公允性，对应上年及股权变动当年的市盈率；相邻增资或股权转让价格是否存在重大差异，并说明各次价格存在较大差异的原因；（</w:t>
      </w:r>
      <w:r>
        <w:rPr>
          <w:rFonts w:ascii="Times New Roman" w:hAnsi="Times New Roman" w:eastAsia="宋体" w:cs="Times New Roman"/>
          <w:sz w:val="28"/>
          <w:szCs w:val="28"/>
          <w:highlight w:val="none"/>
        </w:rPr>
        <w:t>2</w:t>
      </w:r>
      <w:r>
        <w:rPr>
          <w:rFonts w:hint="default" w:ascii="Times New Roman" w:hAnsi="Times New Roman" w:eastAsia="宋体" w:cs="Times New Roman"/>
          <w:sz w:val="28"/>
          <w:szCs w:val="28"/>
          <w:highlight w:val="none"/>
        </w:rPr>
        <w:t>）历次增资或股权转让是否适用《企业会计准则</w:t>
      </w:r>
      <w:r>
        <w:rPr>
          <w:rFonts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rPr>
        <w:t>股份支付》的情形，如适用，请说明股份支付相关权益工具公允价值的计量方法和结果是否合理，各期股份支付费用的金额和确认方式，会计处理是否恰当；（3）说明</w:t>
      </w:r>
      <w:r>
        <w:rPr>
          <w:rFonts w:ascii="Times New Roman" w:hAnsi="Times New Roman" w:eastAsia="宋体" w:cs="Times New Roman"/>
          <w:sz w:val="28"/>
          <w:szCs w:val="28"/>
          <w:highlight w:val="none"/>
        </w:rPr>
        <w:t>迪斯蔓藤、康凯环保股权上翻的原因</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两次股权上翻的定价均</w:t>
      </w:r>
      <w:r>
        <w:rPr>
          <w:rFonts w:hint="default" w:ascii="Times New Roman" w:hAnsi="Times New Roman" w:eastAsia="宋体" w:cs="Times New Roman"/>
          <w:sz w:val="28"/>
          <w:szCs w:val="28"/>
          <w:highlight w:val="none"/>
        </w:rPr>
        <w:t>以2020年7月31日作为评估基准日的原因及合理性。请保荐机构、申报会计师对上述事项进行核查，并发表明确意见。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26</w:t>
      </w:r>
      <w:r>
        <w:rPr>
          <w:rFonts w:hint="default" w:ascii="Times New Roman" w:hAnsi="Times New Roman" w:eastAsia="宋体" w:cs="Times New Roman"/>
          <w:sz w:val="28"/>
          <w:szCs w:val="28"/>
          <w:highlight w:val="none"/>
        </w:rPr>
        <w:t>、关于重组及资产收购。请发行人：（1）结合收购前后杭州昌德的财务数据及经营情况，说明发行人收购杭州昌德70%股权的原因，收购价格低于昌德化工</w:t>
      </w:r>
      <w:r>
        <w:rPr>
          <w:rFonts w:ascii="Times New Roman" w:hAnsi="Times New Roman" w:eastAsia="宋体" w:cs="Times New Roman"/>
          <w:sz w:val="28"/>
          <w:szCs w:val="28"/>
          <w:highlight w:val="none"/>
        </w:rPr>
        <w:t>出资额的原因及合理性</w:t>
      </w:r>
      <w:r>
        <w:rPr>
          <w:rFonts w:hint="default" w:ascii="Times New Roman" w:hAnsi="Times New Roman" w:eastAsia="宋体" w:cs="Times New Roman"/>
          <w:sz w:val="28"/>
          <w:szCs w:val="28"/>
          <w:highlight w:val="none"/>
        </w:rPr>
        <w:t>；（2）补充说明</w:t>
      </w:r>
      <w:r>
        <w:rPr>
          <w:rFonts w:ascii="Times New Roman" w:hAnsi="Times New Roman" w:eastAsia="宋体" w:cs="Times New Roman"/>
          <w:sz w:val="28"/>
          <w:szCs w:val="28"/>
          <w:highlight w:val="none"/>
        </w:rPr>
        <w:t>昌德化工与昌德有限签署《资产收购协议》的时点与</w:t>
      </w:r>
      <w:r>
        <w:rPr>
          <w:rFonts w:hint="default" w:ascii="Times New Roman" w:hAnsi="Times New Roman" w:eastAsia="宋体" w:cs="Times New Roman"/>
          <w:sz w:val="28"/>
          <w:szCs w:val="28"/>
          <w:highlight w:val="none"/>
        </w:rPr>
        <w:t>昌德化工注销时间间隔较长的原因，说明报告期内发行人与昌德化工重组的会计处理及其合规性；（3）结合收购前后湖南昌迪的财务数据及经营情况，说明发行人收购湖南昌迪的原因，收购价格低于昌德化工</w:t>
      </w:r>
      <w:r>
        <w:rPr>
          <w:rFonts w:ascii="Times New Roman" w:hAnsi="Times New Roman" w:eastAsia="宋体" w:cs="Times New Roman"/>
          <w:sz w:val="28"/>
          <w:szCs w:val="28"/>
          <w:highlight w:val="none"/>
        </w:rPr>
        <w:t>出资额的原因及合理性</w:t>
      </w:r>
      <w:r>
        <w:rPr>
          <w:rFonts w:hint="default" w:ascii="Times New Roman" w:hAnsi="Times New Roman" w:eastAsia="宋体" w:cs="Times New Roman"/>
          <w:sz w:val="28"/>
          <w:szCs w:val="28"/>
          <w:highlight w:val="none"/>
        </w:rPr>
        <w:t>；（4）结合财务数据，补充说明2019年12月收购湖南昌迪的7</w:t>
      </w:r>
      <w:r>
        <w:rPr>
          <w:rFonts w:ascii="Times New Roman" w:hAnsi="Times New Roman" w:eastAsia="宋体" w:cs="Times New Roman"/>
          <w:sz w:val="28"/>
          <w:szCs w:val="28"/>
          <w:highlight w:val="none"/>
        </w:rPr>
        <w:t>0.00</w:t>
      </w:r>
      <w:r>
        <w:rPr>
          <w:rFonts w:hint="default" w:ascii="Times New Roman" w:hAnsi="Times New Roman" w:eastAsia="宋体" w:cs="Times New Roman"/>
          <w:sz w:val="28"/>
          <w:szCs w:val="28"/>
          <w:highlight w:val="none"/>
        </w:rPr>
        <w:t>%股权和2021年5月收购湖南昌迪3</w:t>
      </w:r>
      <w:r>
        <w:rPr>
          <w:rFonts w:ascii="Times New Roman" w:hAnsi="Times New Roman" w:eastAsia="宋体" w:cs="Times New Roman"/>
          <w:sz w:val="28"/>
          <w:szCs w:val="28"/>
          <w:highlight w:val="none"/>
        </w:rPr>
        <w:t>0.00</w:t>
      </w:r>
      <w:r>
        <w:rPr>
          <w:rFonts w:hint="default" w:ascii="Times New Roman" w:hAnsi="Times New Roman" w:eastAsia="宋体" w:cs="Times New Roman"/>
          <w:sz w:val="28"/>
          <w:szCs w:val="28"/>
          <w:highlight w:val="none"/>
        </w:rPr>
        <w:t>%股权的评估值差异较大的原因及合理性；（5）补充说明发行人将收购杭州昌德、湖南昌迪股权与收购昌德化工其他资产分开进行的原因及上述安排的商业合理性。请保荐机构、申报会计师对上述事项进行核查，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27</w:t>
      </w:r>
      <w:r>
        <w:rPr>
          <w:rFonts w:hint="default" w:ascii="Times New Roman" w:hAnsi="Times New Roman" w:eastAsia="宋体" w:cs="Times New Roman"/>
          <w:sz w:val="28"/>
          <w:szCs w:val="28"/>
          <w:highlight w:val="none"/>
        </w:rPr>
        <w:t>、岳阳新材料于2019年2月将2,450.13万元受托支付至湘为建设，湘为建设在收到前述款项后于同日以货款形式支付至中达装备，中达装备于同日以货款形式将该笔款项支付至发行人，其中湘为建设和中达装备均为发行人供应商。请发行人：（1）补充说明上述资金往来发生的原因及商业合理性，发行人是否实际发生向湘为建设、中达装备的采购行为；（2）2019年1月，岳阳新材料及交通银行岳阳分行签订《固定资产贷款合同》，贷款金额6,000.00万元，逐笔说明上述贷款的用途、资金流向，贷款金额大于</w:t>
      </w:r>
      <w:r>
        <w:rPr>
          <w:rFonts w:ascii="Times New Roman" w:hAnsi="Times New Roman" w:eastAsia="宋体" w:cs="Times New Roman"/>
          <w:sz w:val="28"/>
          <w:szCs w:val="28"/>
          <w:highlight w:val="none"/>
        </w:rPr>
        <w:t>返回公司金额的原因</w:t>
      </w:r>
      <w:r>
        <w:rPr>
          <w:rFonts w:hint="default" w:ascii="Times New Roman" w:hAnsi="Times New Roman" w:eastAsia="宋体" w:cs="Times New Roman"/>
          <w:sz w:val="28"/>
          <w:szCs w:val="28"/>
          <w:highlight w:val="none"/>
        </w:rPr>
        <w:t>；（3）补充说明各期发行人向湘为建设和中达装备采购的金额及占比、采购价格及公允性、合作年限，湘为建设和中达装备是否与发行人存在关联关系；（4）说明上述转贷行为与申报材料中披露的“岳阳新材料存在资金不足情况，主要向发行人借款”的表述是否矛盾：（5）</w:t>
      </w:r>
      <w:r>
        <w:rPr>
          <w:rFonts w:ascii="Times New Roman" w:hAnsi="Times New Roman" w:eastAsia="宋体" w:cs="Times New Roman"/>
          <w:sz w:val="28"/>
          <w:szCs w:val="28"/>
          <w:highlight w:val="none"/>
        </w:rPr>
        <w:t>说明是否存在利用</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转贷</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行为向发行人控股股东、实际控制人及其关联方进行资金拆借的情形，关联方资金往来相关信息披露是否真实、准确、完整，相关内控机制是否健全有效；（</w:t>
      </w:r>
      <w:r>
        <w:rPr>
          <w:rFonts w:hint="default" w:ascii="Times New Roman" w:hAnsi="Times New Roman" w:eastAsia="宋体" w:cs="Times New Roman"/>
          <w:sz w:val="28"/>
          <w:szCs w:val="28"/>
          <w:highlight w:val="none"/>
        </w:rPr>
        <w:t>6</w:t>
      </w:r>
      <w:r>
        <w:rPr>
          <w:rFonts w:ascii="Times New Roman" w:hAnsi="Times New Roman" w:eastAsia="宋体" w:cs="Times New Roman"/>
          <w:sz w:val="28"/>
          <w:szCs w:val="28"/>
          <w:highlight w:val="none"/>
        </w:rPr>
        <w:t>）对照首发问题第41条规定，逐条核实是否存在其他内控不规范情况，若存在，请说明报告期各期的发生额、整改情况。请保荐机构</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申报会计师说明核查依据、过程，并发表明确核查意见。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28</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根据《首发业务若干问题解答》的要求，请保荐机构和申报会计师说明资金流水核查的核查范围、具体程序和异常标准，具体核查思路、范围、过程、取得的证据和结论，相关替代措施的执行情况，并说明发行人内部控制是否健全有效、是否存在体外资金循环形成销售回款、承担成本费用的情形。</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29</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发行人及子公司享受增值税和企业所得税多项税收优惠政策。请发行人补充披露上述税收优惠政策对企业净利润的影响情况，发行人对前述税收优惠政策是否存在依赖，并说明前述税收优惠政策是否具有可持续性。请保荐机构、发行人律师、申报会计师核查上述问题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30</w:t>
      </w:r>
      <w:r>
        <w:rPr>
          <w:rFonts w:hint="default" w:ascii="Times New Roman" w:hAnsi="Times New Roman" w:eastAsia="宋体" w:cs="Times New Roman"/>
          <w:sz w:val="28"/>
          <w:szCs w:val="28"/>
          <w:highlight w:val="none"/>
        </w:rPr>
        <w:t>、报告期内，发行人与康凯环保等9个主体存在资金往来。请发行人列表逐笔说明各期资金往来的金额、发生时间及期限、资金流向、形成原因及使用用途、利率及公允性、利息支付情况等，是</w:t>
      </w:r>
      <w:r>
        <w:rPr>
          <w:rFonts w:ascii="Times New Roman" w:hAnsi="Times New Roman" w:eastAsia="宋体" w:cs="Times New Roman"/>
          <w:sz w:val="28"/>
          <w:szCs w:val="28"/>
          <w:highlight w:val="none"/>
        </w:rPr>
        <w:t>否构成关联方资金占用，上述行为发生的原因及合理性</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请保荐机构、申报会计师核查发行人关联方界定的完整性，说明是否存在关联方为发行人承担各类成本费用、对发行人进行利益输送或存在其他利益安排的情形。</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31</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报告期各期末，发行人</w:t>
      </w:r>
      <w:r>
        <w:rPr>
          <w:rFonts w:hint="default" w:ascii="Times New Roman" w:hAnsi="Times New Roman" w:eastAsia="宋体" w:cs="Times New Roman"/>
          <w:sz w:val="28"/>
          <w:szCs w:val="28"/>
          <w:highlight w:val="none"/>
        </w:rPr>
        <w:t>外包</w:t>
      </w:r>
      <w:r>
        <w:rPr>
          <w:rFonts w:ascii="Times New Roman" w:hAnsi="Times New Roman" w:eastAsia="宋体" w:cs="Times New Roman"/>
          <w:sz w:val="28"/>
          <w:szCs w:val="28"/>
          <w:highlight w:val="none"/>
        </w:rPr>
        <w:t>人数分别为</w:t>
      </w:r>
      <w:r>
        <w:rPr>
          <w:rFonts w:hint="default" w:ascii="Times New Roman" w:hAnsi="Times New Roman" w:eastAsia="宋体" w:cs="Times New Roman"/>
          <w:sz w:val="28"/>
          <w:szCs w:val="28"/>
          <w:highlight w:val="none"/>
        </w:rPr>
        <w:t>1</w:t>
      </w:r>
      <w:r>
        <w:rPr>
          <w:rFonts w:ascii="Times New Roman" w:hAnsi="Times New Roman" w:eastAsia="宋体" w:cs="Times New Roman"/>
          <w:sz w:val="28"/>
          <w:szCs w:val="28"/>
          <w:highlight w:val="none"/>
        </w:rPr>
        <w:t>2人、</w:t>
      </w:r>
      <w:r>
        <w:rPr>
          <w:rFonts w:hint="default" w:ascii="Times New Roman" w:hAnsi="Times New Roman" w:eastAsia="宋体" w:cs="Times New Roman"/>
          <w:sz w:val="28"/>
          <w:szCs w:val="28"/>
          <w:highlight w:val="none"/>
        </w:rPr>
        <w:t>1</w:t>
      </w:r>
      <w:r>
        <w:rPr>
          <w:rFonts w:ascii="Times New Roman" w:hAnsi="Times New Roman" w:eastAsia="宋体" w:cs="Times New Roman"/>
          <w:sz w:val="28"/>
          <w:szCs w:val="28"/>
          <w:highlight w:val="none"/>
        </w:rPr>
        <w:t>2人</w:t>
      </w:r>
      <w:r>
        <w:rPr>
          <w:rFonts w:hint="default" w:ascii="Times New Roman" w:hAnsi="Times New Roman" w:eastAsia="宋体" w:cs="Times New Roman"/>
          <w:sz w:val="28"/>
          <w:szCs w:val="28"/>
          <w:highlight w:val="none"/>
        </w:rPr>
        <w:t>、2</w:t>
      </w:r>
      <w:r>
        <w:rPr>
          <w:rFonts w:ascii="Times New Roman" w:hAnsi="Times New Roman" w:eastAsia="宋体" w:cs="Times New Roman"/>
          <w:sz w:val="28"/>
          <w:szCs w:val="28"/>
          <w:highlight w:val="none"/>
        </w:rPr>
        <w:t>4人</w:t>
      </w:r>
      <w:r>
        <w:rPr>
          <w:rFonts w:hint="default" w:ascii="Times New Roman" w:hAnsi="Times New Roman" w:eastAsia="宋体" w:cs="Times New Roman"/>
          <w:sz w:val="28"/>
          <w:szCs w:val="28"/>
          <w:highlight w:val="none"/>
        </w:rPr>
        <w:t>和</w:t>
      </w:r>
      <w:r>
        <w:rPr>
          <w:rFonts w:ascii="Times New Roman" w:hAnsi="Times New Roman" w:eastAsia="宋体" w:cs="Times New Roman"/>
          <w:sz w:val="28"/>
          <w:szCs w:val="28"/>
          <w:highlight w:val="none"/>
        </w:rPr>
        <w:t>30</w:t>
      </w:r>
      <w:r>
        <w:rPr>
          <w:rFonts w:hint="default" w:ascii="Times New Roman" w:hAnsi="Times New Roman" w:eastAsia="宋体" w:cs="Times New Roman"/>
          <w:sz w:val="28"/>
          <w:szCs w:val="28"/>
          <w:highlight w:val="none"/>
        </w:rPr>
        <w:t>人</w:t>
      </w:r>
      <w:r>
        <w:rPr>
          <w:rFonts w:ascii="Times New Roman" w:hAnsi="Times New Roman" w:eastAsia="宋体" w:cs="Times New Roman"/>
          <w:sz w:val="28"/>
          <w:szCs w:val="28"/>
          <w:highlight w:val="none"/>
        </w:rPr>
        <w:t>，占公司当年末员工人数的</w:t>
      </w:r>
      <w:r>
        <w:rPr>
          <w:rFonts w:hint="default" w:ascii="Times New Roman" w:hAnsi="Times New Roman" w:eastAsia="宋体" w:cs="Times New Roman"/>
          <w:sz w:val="28"/>
          <w:szCs w:val="28"/>
          <w:highlight w:val="none"/>
        </w:rPr>
        <w:t>5</w:t>
      </w:r>
      <w:r>
        <w:rPr>
          <w:rFonts w:ascii="Times New Roman" w:hAnsi="Times New Roman" w:eastAsia="宋体" w:cs="Times New Roman"/>
          <w:sz w:val="28"/>
          <w:szCs w:val="28"/>
          <w:highlight w:val="none"/>
        </w:rPr>
        <w:t>.02%、</w:t>
      </w:r>
      <w:r>
        <w:rPr>
          <w:rFonts w:hint="default" w:ascii="Times New Roman" w:hAnsi="Times New Roman" w:eastAsia="宋体" w:cs="Times New Roman"/>
          <w:sz w:val="28"/>
          <w:szCs w:val="28"/>
          <w:highlight w:val="none"/>
        </w:rPr>
        <w:t>3</w:t>
      </w:r>
      <w:r>
        <w:rPr>
          <w:rFonts w:ascii="Times New Roman" w:hAnsi="Times New Roman" w:eastAsia="宋体" w:cs="Times New Roman"/>
          <w:sz w:val="28"/>
          <w:szCs w:val="28"/>
          <w:highlight w:val="none"/>
        </w:rPr>
        <w:t>.97%</w:t>
      </w:r>
      <w:r>
        <w:rPr>
          <w:rFonts w:hint="default" w:ascii="Times New Roman" w:hAnsi="Times New Roman" w:eastAsia="宋体" w:cs="Times New Roman"/>
          <w:sz w:val="28"/>
          <w:szCs w:val="28"/>
          <w:highlight w:val="none"/>
        </w:rPr>
        <w:t>、5</w:t>
      </w:r>
      <w:r>
        <w:rPr>
          <w:rFonts w:ascii="Times New Roman" w:hAnsi="Times New Roman" w:eastAsia="宋体" w:cs="Times New Roman"/>
          <w:sz w:val="28"/>
          <w:szCs w:val="28"/>
          <w:highlight w:val="none"/>
        </w:rPr>
        <w:t>.87%</w:t>
      </w:r>
      <w:r>
        <w:rPr>
          <w:rFonts w:hint="default" w:ascii="Times New Roman" w:hAnsi="Times New Roman" w:eastAsia="宋体" w:cs="Times New Roman"/>
          <w:sz w:val="28"/>
          <w:szCs w:val="28"/>
          <w:highlight w:val="none"/>
        </w:rPr>
        <w:t>和6</w:t>
      </w:r>
      <w:r>
        <w:rPr>
          <w:rFonts w:ascii="Times New Roman" w:hAnsi="Times New Roman" w:eastAsia="宋体" w:cs="Times New Roman"/>
          <w:sz w:val="28"/>
          <w:szCs w:val="28"/>
          <w:highlight w:val="none"/>
        </w:rPr>
        <w:t>.67%。请发行人</w:t>
      </w:r>
      <w:r>
        <w:rPr>
          <w:rFonts w:hint="default" w:ascii="Times New Roman" w:hAnsi="Times New Roman" w:eastAsia="宋体" w:cs="Times New Roman"/>
          <w:sz w:val="28"/>
          <w:szCs w:val="28"/>
          <w:highlight w:val="none"/>
        </w:rPr>
        <w:t>：（1）补充说明各期劳务外包的采购金额、</w:t>
      </w:r>
      <w:r>
        <w:rPr>
          <w:rFonts w:ascii="Times New Roman" w:hAnsi="Times New Roman" w:eastAsia="宋体" w:cs="Times New Roman"/>
          <w:sz w:val="28"/>
          <w:szCs w:val="28"/>
          <w:highlight w:val="none"/>
        </w:rPr>
        <w:t>占比以及变动情况；（</w:t>
      </w:r>
      <w:r>
        <w:rPr>
          <w:rFonts w:hint="default" w:ascii="Times New Roman" w:hAnsi="Times New Roman" w:eastAsia="宋体" w:cs="Times New Roman"/>
          <w:sz w:val="28"/>
          <w:szCs w:val="28"/>
          <w:highlight w:val="none"/>
        </w:rPr>
        <w:t>2）说明</w:t>
      </w:r>
      <w:r>
        <w:rPr>
          <w:rFonts w:ascii="Times New Roman" w:hAnsi="Times New Roman" w:eastAsia="宋体" w:cs="Times New Roman"/>
          <w:sz w:val="28"/>
          <w:szCs w:val="28"/>
          <w:highlight w:val="none"/>
        </w:rPr>
        <w:t>劳务外包定价依据及标准，是否符合行业惯例，报告期内是否保持一致，定价是否公允；（3）说明劳务外包公司的基本情况（如设立时间、合作年限、经营规模、合作方式）</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劳务外包公司与发行人及其关联方</w:t>
      </w:r>
      <w:r>
        <w:rPr>
          <w:rFonts w:hint="default" w:ascii="Times New Roman" w:hAnsi="Times New Roman" w:eastAsia="宋体" w:cs="Times New Roman"/>
          <w:sz w:val="28"/>
          <w:szCs w:val="28"/>
          <w:highlight w:val="none"/>
        </w:rPr>
        <w:t>是否</w:t>
      </w:r>
      <w:r>
        <w:rPr>
          <w:rFonts w:ascii="Times New Roman" w:hAnsi="Times New Roman" w:eastAsia="宋体" w:cs="Times New Roman"/>
          <w:sz w:val="28"/>
          <w:szCs w:val="28"/>
          <w:highlight w:val="none"/>
        </w:rPr>
        <w:t>存在关联关系</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请保荐机构、申报会计师核查并明确发表意见。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32</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w:t>
      </w:r>
      <w:r>
        <w:rPr>
          <w:rFonts w:hint="default" w:ascii="Times New Roman" w:hAnsi="Times New Roman" w:eastAsia="宋体" w:cs="Times New Roman"/>
          <w:sz w:val="28"/>
          <w:szCs w:val="28"/>
          <w:highlight w:val="none"/>
        </w:rPr>
        <w:t>各期</w:t>
      </w:r>
      <w:r>
        <w:rPr>
          <w:rFonts w:ascii="Times New Roman" w:hAnsi="Times New Roman" w:eastAsia="宋体" w:cs="Times New Roman"/>
          <w:sz w:val="28"/>
          <w:szCs w:val="28"/>
          <w:highlight w:val="none"/>
        </w:rPr>
        <w:t>内，</w:t>
      </w:r>
      <w:r>
        <w:rPr>
          <w:rFonts w:hint="default" w:ascii="Times New Roman" w:hAnsi="Times New Roman" w:eastAsia="宋体" w:cs="Times New Roman"/>
          <w:sz w:val="28"/>
          <w:szCs w:val="28"/>
          <w:highlight w:val="none"/>
        </w:rPr>
        <w:t>剔除新收入准则影响后，发行人</w:t>
      </w:r>
      <w:r>
        <w:rPr>
          <w:rFonts w:ascii="Times New Roman" w:hAnsi="Times New Roman" w:eastAsia="宋体" w:cs="Times New Roman"/>
          <w:sz w:val="28"/>
          <w:szCs w:val="28"/>
          <w:highlight w:val="none"/>
        </w:rPr>
        <w:t>主营业务毛利率</w:t>
      </w:r>
      <w:r>
        <w:rPr>
          <w:rFonts w:hint="default" w:ascii="Times New Roman" w:hAnsi="Times New Roman" w:eastAsia="宋体" w:cs="Times New Roman"/>
          <w:sz w:val="28"/>
          <w:szCs w:val="28"/>
          <w:highlight w:val="none"/>
        </w:rPr>
        <w:t>分别为2</w:t>
      </w:r>
      <w:r>
        <w:rPr>
          <w:rFonts w:ascii="Times New Roman" w:hAnsi="Times New Roman" w:eastAsia="宋体" w:cs="Times New Roman"/>
          <w:sz w:val="28"/>
          <w:szCs w:val="28"/>
          <w:highlight w:val="none"/>
        </w:rPr>
        <w:t>3.17</w:t>
      </w:r>
      <w:r>
        <w:rPr>
          <w:rFonts w:hint="default" w:ascii="Times New Roman" w:hAnsi="Times New Roman" w:eastAsia="宋体" w:cs="Times New Roman"/>
          <w:sz w:val="28"/>
          <w:szCs w:val="28"/>
          <w:highlight w:val="none"/>
        </w:rPr>
        <w:t>%、2</w:t>
      </w:r>
      <w:r>
        <w:rPr>
          <w:rFonts w:ascii="Times New Roman" w:hAnsi="Times New Roman" w:eastAsia="宋体" w:cs="Times New Roman"/>
          <w:sz w:val="28"/>
          <w:szCs w:val="28"/>
          <w:highlight w:val="none"/>
        </w:rPr>
        <w:t>6.45</w:t>
      </w:r>
      <w:r>
        <w:rPr>
          <w:rFonts w:hint="default" w:ascii="Times New Roman" w:hAnsi="Times New Roman" w:eastAsia="宋体" w:cs="Times New Roman"/>
          <w:sz w:val="28"/>
          <w:szCs w:val="28"/>
          <w:highlight w:val="none"/>
        </w:rPr>
        <w:t>%、3</w:t>
      </w:r>
      <w:r>
        <w:rPr>
          <w:rFonts w:ascii="Times New Roman" w:hAnsi="Times New Roman" w:eastAsia="宋体" w:cs="Times New Roman"/>
          <w:sz w:val="28"/>
          <w:szCs w:val="28"/>
          <w:highlight w:val="none"/>
        </w:rPr>
        <w:t>2.95</w:t>
      </w:r>
      <w:r>
        <w:rPr>
          <w:rFonts w:hint="default" w:ascii="Times New Roman" w:hAnsi="Times New Roman" w:eastAsia="宋体" w:cs="Times New Roman"/>
          <w:sz w:val="28"/>
          <w:szCs w:val="28"/>
          <w:highlight w:val="none"/>
        </w:rPr>
        <w:t>%和</w:t>
      </w:r>
      <w:r>
        <w:rPr>
          <w:rFonts w:ascii="Times New Roman" w:hAnsi="Times New Roman" w:eastAsia="宋体" w:cs="Times New Roman"/>
          <w:sz w:val="28"/>
          <w:szCs w:val="28"/>
          <w:highlight w:val="none"/>
        </w:rPr>
        <w:t>45.98%</w:t>
      </w:r>
      <w:r>
        <w:rPr>
          <w:rFonts w:hint="default" w:ascii="Times New Roman" w:hAnsi="Times New Roman" w:eastAsia="宋体" w:cs="Times New Roman"/>
          <w:sz w:val="28"/>
          <w:szCs w:val="28"/>
          <w:highlight w:val="none"/>
        </w:rPr>
        <w:t>。请发行人：（1）说明发行人己内酰胺副产物综合利用业务的毛利率与凯美特气同类业务毛利率存在较大差异的原因及合理性，说明发行人己内酰胺副产物综合利用业务的毛利率变动趋势与同行业可比公司存在差异的原因及合理性；（2）结合环氧丙烷衍生品加工制造板块主要产品的具体型号、应用领域、业务占比等，说明上述业务的毛利率与同行业可比公司毛利率及变动趋势是否存在差异及差异原因；（3）补充披露各期不同产品在不同销售模式下的毛利率及差异情况，说明差异原因；（4）补充说明报告期内同类产品销售不同客户的毛利率对比情况分析，同一客户各年毛利率变动的原因分析。请保荐机构、申报会计师对以上情况进行核查，并发表明确的核查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33</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报告期各期内，</w:t>
      </w:r>
      <w:r>
        <w:rPr>
          <w:rFonts w:hint="default" w:ascii="Times New Roman" w:hAnsi="Times New Roman" w:eastAsia="宋体" w:cs="Times New Roman"/>
          <w:sz w:val="28"/>
          <w:szCs w:val="28"/>
          <w:highlight w:val="none"/>
        </w:rPr>
        <w:t>不考虑新收入准则影响，发行人</w:t>
      </w:r>
      <w:r>
        <w:rPr>
          <w:rFonts w:ascii="Times New Roman" w:hAnsi="Times New Roman" w:eastAsia="宋体" w:cs="Times New Roman"/>
          <w:sz w:val="28"/>
          <w:szCs w:val="28"/>
          <w:highlight w:val="none"/>
        </w:rPr>
        <w:t>期间费用总额分别为5,068.64万元、9,957.83万元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14,248.62万元</w:t>
      </w:r>
      <w:r>
        <w:rPr>
          <w:rFonts w:hint="default" w:ascii="Times New Roman" w:hAnsi="Times New Roman" w:eastAsia="宋体" w:cs="Times New Roman"/>
          <w:sz w:val="28"/>
          <w:szCs w:val="28"/>
          <w:highlight w:val="none"/>
        </w:rPr>
        <w:t>和</w:t>
      </w:r>
      <w:r>
        <w:rPr>
          <w:rFonts w:ascii="Times New Roman" w:hAnsi="Times New Roman" w:eastAsia="宋体" w:cs="Times New Roman"/>
          <w:sz w:val="28"/>
          <w:szCs w:val="28"/>
          <w:highlight w:val="none"/>
        </w:rPr>
        <w:t>8,194.33</w:t>
      </w:r>
      <w:r>
        <w:rPr>
          <w:rFonts w:hint="default" w:ascii="Times New Roman" w:hAnsi="Times New Roman" w:eastAsia="宋体" w:cs="Times New Roman"/>
          <w:sz w:val="28"/>
          <w:szCs w:val="28"/>
          <w:highlight w:val="none"/>
        </w:rPr>
        <w:t>万元。请发行人：（1）</w:t>
      </w:r>
      <w:r>
        <w:rPr>
          <w:rFonts w:ascii="Times New Roman" w:hAnsi="Times New Roman" w:eastAsia="宋体" w:cs="Times New Roman"/>
          <w:sz w:val="28"/>
          <w:szCs w:val="28"/>
          <w:highlight w:val="none"/>
        </w:rPr>
        <w:t>结合报告期内员工人数及其变化、职级分布、人均薪酬及当地平均薪酬水平情况，分析并披露管理人员、销售人员和研发人员薪酬及其变动的原因及合理性，并与同地区公司或可比公司对比差异情况并说明原因；</w:t>
      </w:r>
      <w:r>
        <w:rPr>
          <w:rFonts w:hint="default" w:ascii="Times New Roman" w:hAnsi="Times New Roman" w:eastAsia="宋体" w:cs="Times New Roman"/>
          <w:sz w:val="28"/>
          <w:szCs w:val="28"/>
          <w:highlight w:val="none"/>
        </w:rPr>
        <w:t>（2）</w:t>
      </w:r>
      <w:r>
        <w:rPr>
          <w:rFonts w:ascii="Times New Roman" w:hAnsi="Times New Roman" w:eastAsia="宋体" w:cs="Times New Roman"/>
          <w:sz w:val="28"/>
          <w:szCs w:val="28"/>
          <w:highlight w:val="none"/>
        </w:rPr>
        <w:t>补充披露股份支付的具体事项，股份支付费用的计算依据、方法，具体人员名单和岗位，是否有服务期约定或离职回售要求，以及上述股份支付事项的会计处理是否符合会计准则的规定；说明权益工具公允价值的确定方法及计算过程，并结合市盈率、第三方股东入股价格等指标多维度论证说明价格的公允性、合理性；结合历次股权变动，说明股份支付费用确认是否完整，是否涉及客户或供应商入股情形，是符合监管问答规定；</w:t>
      </w:r>
      <w:r>
        <w:rPr>
          <w:rFonts w:hint="default" w:ascii="Times New Roman" w:hAnsi="Times New Roman" w:eastAsia="宋体" w:cs="Times New Roman"/>
          <w:sz w:val="28"/>
          <w:szCs w:val="28"/>
          <w:highlight w:val="none"/>
        </w:rPr>
        <w:t>（3）补充披露各期研发费用逐年增加的原因及合理性，研发费用对应的具体项目/产品情况、直接投入的明细情况，说明</w:t>
      </w:r>
      <w:r>
        <w:rPr>
          <w:rFonts w:ascii="Times New Roman" w:hAnsi="Times New Roman" w:eastAsia="宋体" w:cs="Times New Roman"/>
          <w:sz w:val="28"/>
          <w:szCs w:val="28"/>
          <w:highlight w:val="none"/>
        </w:rPr>
        <w:t>研发费用的支出范围和归集方法，研发费用的确认是否真实、准确，相关内部控制制度是否健全有效</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请保荐机构、申报会计师核查上述事项，并发表明确意见。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34</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报告期各期内，</w:t>
      </w:r>
      <w:r>
        <w:rPr>
          <w:rFonts w:hint="default" w:ascii="Times New Roman" w:hAnsi="Times New Roman" w:eastAsia="宋体" w:cs="Times New Roman"/>
          <w:sz w:val="28"/>
          <w:szCs w:val="28"/>
          <w:highlight w:val="none"/>
        </w:rPr>
        <w:t>发行人</w:t>
      </w:r>
      <w:r>
        <w:rPr>
          <w:rFonts w:ascii="Times New Roman" w:hAnsi="Times New Roman" w:eastAsia="宋体" w:cs="Times New Roman"/>
          <w:sz w:val="28"/>
          <w:szCs w:val="28"/>
          <w:highlight w:val="none"/>
        </w:rPr>
        <w:t>经营活动产生的现金流量净额分别为3,264.54万元、870.10万元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10,629.76万元和9,378.56</w:t>
      </w:r>
      <w:r>
        <w:rPr>
          <w:rFonts w:hint="default" w:ascii="Times New Roman" w:hAnsi="Times New Roman" w:eastAsia="宋体" w:cs="Times New Roman"/>
          <w:sz w:val="28"/>
          <w:szCs w:val="28"/>
          <w:highlight w:val="none"/>
        </w:rPr>
        <w:t>万元。请发行人：（1）说明2019年和</w:t>
      </w:r>
      <w:r>
        <w:rPr>
          <w:rFonts w:ascii="Times New Roman" w:hAnsi="Times New Roman" w:eastAsia="宋体" w:cs="Times New Roman"/>
          <w:sz w:val="28"/>
          <w:szCs w:val="28"/>
          <w:highlight w:val="none"/>
        </w:rPr>
        <w:t>2020年经营活动产生的现金流量净额和净利润差异较大的原因及合理性</w:t>
      </w:r>
      <w:r>
        <w:rPr>
          <w:rFonts w:hint="default" w:ascii="Times New Roman" w:hAnsi="Times New Roman" w:eastAsia="宋体" w:cs="Times New Roman"/>
          <w:sz w:val="28"/>
          <w:szCs w:val="28"/>
          <w:highlight w:val="none"/>
        </w:rPr>
        <w:t>，报告期内发行人对主要客户的销售政策、信用政策是否发生较大变化；（2）</w:t>
      </w:r>
      <w:r>
        <w:rPr>
          <w:rFonts w:ascii="Times New Roman" w:hAnsi="Times New Roman" w:eastAsia="宋体" w:cs="Times New Roman"/>
          <w:sz w:val="28"/>
          <w:szCs w:val="28"/>
          <w:highlight w:val="none"/>
        </w:rPr>
        <w:t>说明投资活动产生的现金流量净额和筹资活动产生的现金流量净额在报告期内波动较大的原因，以及与资产负债表、利润表中相关项目的勾稽关系是否相符。请保荐机构</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申报会计师核查并明确发表意见。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35</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w:t>
      </w:r>
      <w:r>
        <w:rPr>
          <w:rFonts w:hint="default" w:ascii="Times New Roman" w:hAnsi="Times New Roman" w:eastAsia="宋体" w:cs="Times New Roman"/>
          <w:sz w:val="28"/>
          <w:szCs w:val="28"/>
          <w:highlight w:val="none"/>
        </w:rPr>
        <w:t>发行人</w:t>
      </w:r>
      <w:r>
        <w:rPr>
          <w:rFonts w:ascii="Times New Roman" w:hAnsi="Times New Roman" w:eastAsia="宋体" w:cs="Times New Roman"/>
          <w:sz w:val="28"/>
          <w:szCs w:val="28"/>
          <w:highlight w:val="none"/>
        </w:rPr>
        <w:t>货币资金</w:t>
      </w:r>
      <w:r>
        <w:rPr>
          <w:rFonts w:hint="default" w:ascii="Times New Roman" w:hAnsi="Times New Roman" w:eastAsia="宋体" w:cs="Times New Roman"/>
          <w:sz w:val="28"/>
          <w:szCs w:val="28"/>
          <w:highlight w:val="none"/>
        </w:rPr>
        <w:t>账面价值分别为</w:t>
      </w:r>
      <w:r>
        <w:rPr>
          <w:rFonts w:ascii="Times New Roman" w:hAnsi="Times New Roman" w:eastAsia="宋体" w:cs="Times New Roman"/>
          <w:sz w:val="28"/>
          <w:szCs w:val="28"/>
          <w:highlight w:val="none"/>
        </w:rPr>
        <w:t>3,330.74万元、5,445.56万元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19,218.31万元和19,960.36</w:t>
      </w:r>
      <w:r>
        <w:rPr>
          <w:rFonts w:hint="default" w:ascii="Times New Roman" w:hAnsi="Times New Roman" w:eastAsia="宋体" w:cs="Times New Roman"/>
          <w:sz w:val="28"/>
          <w:szCs w:val="28"/>
          <w:highlight w:val="none"/>
        </w:rPr>
        <w:t>万元。</w:t>
      </w:r>
      <w:r>
        <w:rPr>
          <w:rFonts w:ascii="Times New Roman" w:hAnsi="Times New Roman" w:eastAsia="宋体" w:cs="Times New Roman"/>
          <w:sz w:val="28"/>
          <w:szCs w:val="28"/>
          <w:highlight w:val="none"/>
        </w:rPr>
        <w:t>请发行人说明对货币资金的管理制度和内控制度以及是否执行有效，是否存在货币资金受限情形。请保荐机构、申报会计师就上述事项发表核查意见，并说明对发行人货币资金真实性的核查方法和过程，是否发现异常现金收支的情形。</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36</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w:t>
      </w:r>
      <w:r>
        <w:rPr>
          <w:rFonts w:hint="default" w:ascii="Times New Roman" w:hAnsi="Times New Roman" w:eastAsia="宋体" w:cs="Times New Roman"/>
          <w:sz w:val="28"/>
          <w:szCs w:val="28"/>
          <w:highlight w:val="none"/>
        </w:rPr>
        <w:t>发行人</w:t>
      </w:r>
      <w:r>
        <w:rPr>
          <w:rFonts w:ascii="Times New Roman" w:hAnsi="Times New Roman" w:eastAsia="宋体" w:cs="Times New Roman"/>
          <w:sz w:val="28"/>
          <w:szCs w:val="28"/>
          <w:highlight w:val="none"/>
        </w:rPr>
        <w:t>应收票据账面金额分别为1,551.96万元、3,478.73万元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6,509.21万元和7,409.92</w:t>
      </w:r>
      <w:r>
        <w:rPr>
          <w:rFonts w:hint="default" w:ascii="Times New Roman" w:hAnsi="Times New Roman" w:eastAsia="宋体" w:cs="Times New Roman"/>
          <w:sz w:val="28"/>
          <w:szCs w:val="28"/>
          <w:highlight w:val="none"/>
        </w:rPr>
        <w:t>万元</w:t>
      </w:r>
      <w:r>
        <w:rPr>
          <w:rFonts w:ascii="Times New Roman" w:hAnsi="Times New Roman" w:eastAsia="宋体" w:cs="Times New Roman"/>
          <w:sz w:val="28"/>
          <w:szCs w:val="28"/>
          <w:highlight w:val="none"/>
        </w:rPr>
        <w:t>，应收款项融资账面金额分别为888.28万元、2,601.46万元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860.30万元和7,472.63</w:t>
      </w:r>
      <w:r>
        <w:rPr>
          <w:rFonts w:hint="default" w:ascii="Times New Roman" w:hAnsi="Times New Roman" w:eastAsia="宋体" w:cs="Times New Roman"/>
          <w:sz w:val="28"/>
          <w:szCs w:val="28"/>
          <w:highlight w:val="none"/>
        </w:rPr>
        <w:t>万元</w:t>
      </w:r>
      <w:r>
        <w:rPr>
          <w:rFonts w:ascii="Times New Roman" w:hAnsi="Times New Roman" w:eastAsia="宋体" w:cs="Times New Roman"/>
          <w:sz w:val="28"/>
          <w:szCs w:val="28"/>
          <w:highlight w:val="none"/>
        </w:rPr>
        <w:t>。请发行人</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1）列示各期应收票据与应收账款融资余额、发生额及与营业收入的匹配关系，结合付款模式、结算周期说明各期波动的合理性，并补充披露应收票据期后兑付情况；（2）补充说明应收票据及应收款项融资各期期初期末余额及新增、背书、贴现、兑付等情况；（3）补充披露各期已背书或贴现且未到期的应收票据及应收款项融资期后兑付情况，是否存在票据未能兑现的情况，说明具体会计核算方法及其合规性；（4）结合票据背书对追索权的约定情况，补充说明已背书或转让的应收票据是否满足终止确认条件，相关会计处理是否符合《企业会计准则》的规定；（5）补充披露截至期末已质押票据的质权人、票据到期日、质押条款、期后兑付情况，是否存在票据未能兑现的情况，质权人与发行人、发行人实际控制人、主要股东、董监高、其他核心人员是否存在关联关系或其他利益安排；（6）补充披露各期票据坏账准备的计提金额、计提方法及其合理性，说明报告期内是否存在应收票据因出票人无力履约而转为应收账款的情况；（7）说明报告期是否存在无真实交易背景的票据行为、转贷等其他财务内控不规范的情形，如有请充分披露。请保荐机构、申报会计师对上述事项进行核查，并发表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37</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w:t>
      </w:r>
      <w:r>
        <w:rPr>
          <w:rFonts w:hint="default" w:ascii="Times New Roman" w:hAnsi="Times New Roman" w:eastAsia="宋体" w:cs="Times New Roman"/>
          <w:sz w:val="28"/>
          <w:szCs w:val="28"/>
          <w:highlight w:val="none"/>
        </w:rPr>
        <w:t>发行人</w:t>
      </w:r>
      <w:r>
        <w:rPr>
          <w:rFonts w:ascii="Times New Roman" w:hAnsi="Times New Roman" w:eastAsia="宋体" w:cs="Times New Roman"/>
          <w:sz w:val="28"/>
          <w:szCs w:val="28"/>
          <w:highlight w:val="none"/>
        </w:rPr>
        <w:t>应收账款余额分别为1,708.77万元、3,723.33万元、9,131.72万元和6,860.10万元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请发行人</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（1）结合销售规模、信用政策、结算周期等因素，说明报告期内应收账款余额变动的原因及合理性</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rPr>
        <w:t>2</w:t>
      </w:r>
      <w:r>
        <w:rPr>
          <w:rFonts w:ascii="Times New Roman" w:hAnsi="Times New Roman" w:eastAsia="宋体" w:cs="Times New Roman"/>
          <w:sz w:val="28"/>
          <w:szCs w:val="28"/>
          <w:highlight w:val="none"/>
        </w:rPr>
        <w:t>）说明应收账款余额前五名客户与收入前五名客户存在差异的原因，应收</w:t>
      </w:r>
      <w:r>
        <w:rPr>
          <w:rFonts w:hint="default" w:ascii="Times New Roman" w:hAnsi="Times New Roman" w:eastAsia="宋体" w:cs="Times New Roman"/>
          <w:sz w:val="28"/>
          <w:szCs w:val="28"/>
          <w:highlight w:val="none"/>
        </w:rPr>
        <w:t>账款</w:t>
      </w:r>
      <w:r>
        <w:rPr>
          <w:rFonts w:ascii="Times New Roman" w:hAnsi="Times New Roman" w:eastAsia="宋体" w:cs="Times New Roman"/>
          <w:sz w:val="28"/>
          <w:szCs w:val="28"/>
          <w:highlight w:val="none"/>
        </w:rPr>
        <w:t>前五名客户变化的原因及合理性；（</w:t>
      </w:r>
      <w:r>
        <w:rPr>
          <w:rFonts w:hint="default" w:ascii="Times New Roman" w:hAnsi="Times New Roman" w:eastAsia="宋体" w:cs="Times New Roman"/>
          <w:sz w:val="28"/>
          <w:szCs w:val="28"/>
          <w:highlight w:val="none"/>
        </w:rPr>
        <w:t>3</w:t>
      </w:r>
      <w:r>
        <w:rPr>
          <w:rFonts w:ascii="Times New Roman" w:hAnsi="Times New Roman" w:eastAsia="宋体" w:cs="Times New Roman"/>
          <w:sz w:val="28"/>
          <w:szCs w:val="28"/>
          <w:highlight w:val="none"/>
        </w:rPr>
        <w:t>）补充说明与主要客户的信用政策约定及执行情况，不同客户的信用政策存在差异的原因，信用政策在报告期内是否发生变更</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是否存在放宽信用期限的情况，各期末应收账款余额与相应客户的交易规模、信用政策是否匹配；（</w:t>
      </w:r>
      <w:r>
        <w:rPr>
          <w:rFonts w:hint="default" w:ascii="Times New Roman" w:hAnsi="Times New Roman" w:eastAsia="宋体" w:cs="Times New Roman"/>
          <w:sz w:val="28"/>
          <w:szCs w:val="28"/>
          <w:highlight w:val="none"/>
        </w:rPr>
        <w:t>4</w:t>
      </w:r>
      <w:r>
        <w:rPr>
          <w:rFonts w:ascii="Times New Roman" w:hAnsi="Times New Roman" w:eastAsia="宋体" w:cs="Times New Roman"/>
          <w:sz w:val="28"/>
          <w:szCs w:val="28"/>
          <w:highlight w:val="none"/>
        </w:rPr>
        <w:t>）说明应收账款的账龄确定方法，结合应收账款账龄分布与同行业公司比较情况、期后回款情况及进度、报告期坏账实际核销情况等因素，说明应收账款坏账准备计提的充分性。请保荐机构、申报会计师详细说明对上述事项以及应收账款真实性、坏账准备计提充分性进行核查，并发表核查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38</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w:t>
      </w:r>
      <w:r>
        <w:rPr>
          <w:rFonts w:hint="default" w:ascii="Times New Roman" w:hAnsi="Times New Roman" w:eastAsia="宋体" w:cs="Times New Roman"/>
          <w:sz w:val="28"/>
          <w:szCs w:val="28"/>
          <w:highlight w:val="none"/>
        </w:rPr>
        <w:t>发行人</w:t>
      </w:r>
      <w:r>
        <w:rPr>
          <w:rFonts w:ascii="Times New Roman" w:hAnsi="Times New Roman" w:eastAsia="宋体" w:cs="Times New Roman"/>
          <w:sz w:val="28"/>
          <w:szCs w:val="28"/>
          <w:highlight w:val="none"/>
        </w:rPr>
        <w:t>预付账款分别为982.20万元、2,481.49万元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1,061.80万元和2,956.61</w:t>
      </w:r>
      <w:r>
        <w:rPr>
          <w:rFonts w:hint="default" w:ascii="Times New Roman" w:hAnsi="Times New Roman" w:eastAsia="宋体" w:cs="Times New Roman"/>
          <w:sz w:val="28"/>
          <w:szCs w:val="28"/>
          <w:highlight w:val="none"/>
        </w:rPr>
        <w:t>万元。请发行人</w:t>
      </w:r>
      <w:r>
        <w:rPr>
          <w:rFonts w:ascii="Times New Roman" w:hAnsi="Times New Roman" w:eastAsia="宋体" w:cs="Times New Roman"/>
          <w:sz w:val="28"/>
          <w:szCs w:val="28"/>
          <w:highlight w:val="none"/>
        </w:rPr>
        <w:t>按款项性质补充披露报告期各期预付账款的构成，说明预付账款余额波动原因及合理性，是否存在账龄较长结算的情形</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请保荐机构、申报会计师就上述事项进行核查，并发表明确意见。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39</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w:t>
      </w:r>
      <w:r>
        <w:rPr>
          <w:rFonts w:hint="default" w:ascii="Times New Roman" w:hAnsi="Times New Roman" w:eastAsia="宋体" w:cs="Times New Roman"/>
          <w:sz w:val="28"/>
          <w:szCs w:val="28"/>
          <w:highlight w:val="none"/>
        </w:rPr>
        <w:t>发行人</w:t>
      </w:r>
      <w:r>
        <w:rPr>
          <w:rFonts w:ascii="Times New Roman" w:hAnsi="Times New Roman" w:eastAsia="宋体" w:cs="Times New Roman"/>
          <w:sz w:val="28"/>
          <w:szCs w:val="28"/>
          <w:highlight w:val="none"/>
        </w:rPr>
        <w:t>存货账面价值分别为3,737.82万元、5,056.57万元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7,605.84万元和6,395.69</w:t>
      </w:r>
      <w:r>
        <w:rPr>
          <w:rFonts w:hint="default" w:ascii="Times New Roman" w:hAnsi="Times New Roman" w:eastAsia="宋体" w:cs="Times New Roman"/>
          <w:sz w:val="28"/>
          <w:szCs w:val="28"/>
          <w:highlight w:val="none"/>
        </w:rPr>
        <w:t>万元。</w:t>
      </w:r>
      <w:r>
        <w:rPr>
          <w:rFonts w:ascii="Times New Roman" w:hAnsi="Times New Roman" w:eastAsia="宋体" w:cs="Times New Roman"/>
          <w:sz w:val="28"/>
          <w:szCs w:val="28"/>
          <w:highlight w:val="none"/>
        </w:rPr>
        <w:t>请发行人</w:t>
      </w:r>
      <w:r>
        <w:rPr>
          <w:rFonts w:hint="default" w:ascii="Times New Roman" w:hAnsi="Times New Roman" w:eastAsia="宋体" w:cs="Times New Roman"/>
          <w:sz w:val="28"/>
          <w:szCs w:val="28"/>
          <w:highlight w:val="none"/>
        </w:rPr>
        <w:t>：（1）</w:t>
      </w:r>
      <w:r>
        <w:rPr>
          <w:rFonts w:ascii="Times New Roman" w:hAnsi="Times New Roman" w:eastAsia="宋体" w:cs="Times New Roman"/>
          <w:sz w:val="28"/>
          <w:szCs w:val="28"/>
          <w:highlight w:val="none"/>
        </w:rPr>
        <w:t>补充披露报告期各期末各类存货的明细构成、金额及占比；（2）结合生产及销售周期、产销模式、产销比、期末在手订单情况，说明存货各项构成比例是否合理，报告期内各类存货余额及占比波动原因及合理性，发行人存货结构与同行业公司相比是否存在较大差异；（3）结合报告期各期原材料采购及领用情况，说明存货中主要原材料出入库数量与产量是否存在匹配关系；（4）补充披露期末各类存货的库龄及对应的存货减值准备金额，说明库龄1年以上存货的具体内容与形成原因；（5）结合最新采购价格、存货库龄、期后出库情况，补充说明存货跌价准备计提的充分性，说明各年度计提的存货跌价准备与同行业可比公司差异情况；（6）说明各存货项目的存货订单支持率、期后结转率及期后销售情况；（7）结合业务类别</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补充披露发行人存货周转率与同行业可比上市公司存在差异的原因及合理性；（8）说明报告期各期末对存货项目进行盘点的情况，包括盘点范围、地点、品种、金额、比例等，说明执行盘点的部门与人员、是否存在账实差异及处理结果；请申报会计师说明对存货的监盘情况。请保荐机构、申报会计师详细核查上述情况，说明核查过程，并对发行人存货的真实性、存货跌价准备计提的充分性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40</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报告期各期末，发行人固定资产账面价值分别为15,452.32万元、15,566.32万元、21,961.82万元和23,052.73万元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在建工程账面价值分别为0万元、152.07万元、1,496.10万元和3,322.25万元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请发行人</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（1）补充说明固定资产主要</w:t>
      </w:r>
      <w:r>
        <w:rPr>
          <w:rFonts w:hint="default" w:ascii="Times New Roman" w:hAnsi="Times New Roman" w:eastAsia="宋体" w:cs="Times New Roman"/>
          <w:sz w:val="28"/>
          <w:szCs w:val="28"/>
          <w:highlight w:val="none"/>
        </w:rPr>
        <w:t>房屋及建筑物</w:t>
      </w:r>
      <w:r>
        <w:rPr>
          <w:rFonts w:ascii="Times New Roman" w:hAnsi="Times New Roman" w:eastAsia="宋体" w:cs="Times New Roman"/>
          <w:sz w:val="28"/>
          <w:szCs w:val="28"/>
          <w:highlight w:val="none"/>
        </w:rPr>
        <w:t>、机器设备的基本情况，包括但不限于主要明细构成、入账时间、取得方式、数量、价值、折旧年限及年折旧率；结合房屋建筑物位置、用途、面积等详细信息，以及主要机器设备数量、产能等情况，说明固定资产规模及变动情况与发行人的经营情况是否匹配；（</w:t>
      </w:r>
      <w:r>
        <w:rPr>
          <w:rFonts w:hint="default" w:ascii="Times New Roman" w:hAnsi="Times New Roman" w:eastAsia="宋体" w:cs="Times New Roman"/>
          <w:sz w:val="28"/>
          <w:szCs w:val="28"/>
          <w:highlight w:val="none"/>
        </w:rPr>
        <w:t>2</w:t>
      </w:r>
      <w:r>
        <w:rPr>
          <w:rFonts w:ascii="Times New Roman" w:hAnsi="Times New Roman" w:eastAsia="宋体" w:cs="Times New Roman"/>
          <w:sz w:val="28"/>
          <w:szCs w:val="28"/>
          <w:highlight w:val="none"/>
        </w:rPr>
        <w:t>）结合各类固定资产的实际使用寿命和约定服务期限情况等，说明折旧年限、残值率确定的合理性，与同行业公司是否可比，报告期前及期内是否存在调整折旧政策的情况；（</w:t>
      </w:r>
      <w:r>
        <w:rPr>
          <w:rFonts w:hint="default" w:ascii="Times New Roman" w:hAnsi="Times New Roman" w:eastAsia="宋体" w:cs="Times New Roman"/>
          <w:sz w:val="28"/>
          <w:szCs w:val="28"/>
          <w:highlight w:val="none"/>
        </w:rPr>
        <w:t>3</w:t>
      </w:r>
      <w:r>
        <w:rPr>
          <w:rFonts w:ascii="Times New Roman" w:hAnsi="Times New Roman" w:eastAsia="宋体" w:cs="Times New Roman"/>
          <w:sz w:val="28"/>
          <w:szCs w:val="28"/>
          <w:highlight w:val="none"/>
        </w:rPr>
        <w:t>）说明报告期内固定资产的实际使用情况，是否存在报废、闲置固定资产情形，说明报告期内固定资产减值测算的过程和计算方法，如何判断减值迹象，固定资产减值准备是否计提充分；（</w:t>
      </w:r>
      <w:r>
        <w:rPr>
          <w:rFonts w:hint="default" w:ascii="Times New Roman" w:hAnsi="Times New Roman" w:eastAsia="宋体" w:cs="Times New Roman"/>
          <w:sz w:val="28"/>
          <w:szCs w:val="28"/>
          <w:highlight w:val="none"/>
        </w:rPr>
        <w:t>4</w:t>
      </w:r>
      <w:r>
        <w:rPr>
          <w:rFonts w:ascii="Times New Roman" w:hAnsi="Times New Roman" w:eastAsia="宋体" w:cs="Times New Roman"/>
          <w:sz w:val="28"/>
          <w:szCs w:val="28"/>
          <w:highlight w:val="none"/>
        </w:rPr>
        <w:t>）说明报告期在建工程的具体情况，包括项目名称、内容、开始时间、建设时间、各期投入金额、进度等，报告期内变化的原因，在建工程入账依据是否准确，是否存在其他无关成本费用混入在建工程的情形，是否涉及借款费用资本化，如有借款费用资本化，请补充说明相关指标的确定依据及具体结算过程；（</w:t>
      </w:r>
      <w:r>
        <w:rPr>
          <w:rFonts w:hint="default" w:ascii="Times New Roman" w:hAnsi="Times New Roman" w:eastAsia="宋体" w:cs="Times New Roman"/>
          <w:sz w:val="28"/>
          <w:szCs w:val="28"/>
          <w:highlight w:val="none"/>
        </w:rPr>
        <w:t>5</w:t>
      </w:r>
      <w:r>
        <w:rPr>
          <w:rFonts w:ascii="Times New Roman" w:hAnsi="Times New Roman" w:eastAsia="宋体" w:cs="Times New Roman"/>
          <w:sz w:val="28"/>
          <w:szCs w:val="28"/>
          <w:highlight w:val="none"/>
        </w:rPr>
        <w:t>）补充说明报告期内在建工程转入固定资产的具体情况，确认依据，是否符合会计准则的规定；在建工程是否发生闲置、废弃、毁损和减值；请保荐机构、申报会计师进行核查，说明核查范围、程序并发表明确意见</w:t>
      </w:r>
      <w:r>
        <w:rPr>
          <w:rFonts w:ascii="Times New Roman" w:hAnsi="Times New Roman" w:cs="Times New Roman"/>
          <w:sz w:val="28"/>
          <w:szCs w:val="28"/>
          <w:highlight w:val="none"/>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lang w:val="en-US"/>
        </w:rPr>
      </w:pPr>
      <w:r>
        <w:rPr>
          <w:rFonts w:hint="default" w:ascii="Times New Roman" w:hAnsi="Times New Roman" w:cs="Times New Roman"/>
          <w:sz w:val="28"/>
          <w:szCs w:val="28"/>
          <w:highlight w:val="none"/>
        </w:rPr>
        <w:t>41</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报告期各期末，发行人短期借款余额分别为2,002.38万元、2,604.98万元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5,576.01万元和3,934.80</w:t>
      </w:r>
      <w:r>
        <w:rPr>
          <w:rFonts w:hint="default" w:ascii="Times New Roman" w:hAnsi="Times New Roman" w:eastAsia="宋体" w:cs="Times New Roman"/>
          <w:sz w:val="28"/>
          <w:szCs w:val="28"/>
          <w:highlight w:val="none"/>
        </w:rPr>
        <w:t>万元，</w:t>
      </w:r>
      <w:r>
        <w:rPr>
          <w:rFonts w:ascii="Times New Roman" w:hAnsi="Times New Roman" w:eastAsia="宋体" w:cs="Times New Roman"/>
          <w:sz w:val="28"/>
          <w:szCs w:val="28"/>
          <w:highlight w:val="none"/>
        </w:rPr>
        <w:t>长期借款余额分别为3,922.91万元、5,324.24万元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2,770.12万元和2,144.42</w:t>
      </w:r>
      <w:r>
        <w:rPr>
          <w:rFonts w:hint="default" w:ascii="Times New Roman" w:hAnsi="Times New Roman" w:eastAsia="宋体" w:cs="Times New Roman"/>
          <w:sz w:val="28"/>
          <w:szCs w:val="28"/>
          <w:highlight w:val="none"/>
        </w:rPr>
        <w:t>万元。请发行人：</w:t>
      </w:r>
      <w:r>
        <w:rPr>
          <w:rFonts w:ascii="Times New Roman" w:hAnsi="Times New Roman" w:eastAsia="宋体" w:cs="Times New Roman"/>
          <w:sz w:val="28"/>
          <w:szCs w:val="28"/>
          <w:highlight w:val="none"/>
        </w:rPr>
        <w:t>（1）补充说明报告期内各类借款的变动明细、融资主体、借款期限、借款用途、本金偿还及利息支付等情况；说明与筹资活动现金流、财务费用等科目的勾稽关系；（2）说明是否存在借款利息资本化的情形，如存在，请说明利息资本化金额、起始时间、计算过程，以及会计处理的适当性；（3）说明主要偿债指标与同行业可比上市公司平均水平的差异原因及合理性，是否存在财务风险或流动性风险。请保荐机构、申报会计师对上述问题进行核查，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42</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w:t>
      </w:r>
      <w:r>
        <w:rPr>
          <w:rFonts w:hint="default" w:ascii="Times New Roman" w:hAnsi="Times New Roman" w:eastAsia="宋体" w:cs="Times New Roman"/>
          <w:sz w:val="28"/>
          <w:szCs w:val="28"/>
          <w:highlight w:val="none"/>
        </w:rPr>
        <w:t>发行人</w:t>
      </w:r>
      <w:r>
        <w:rPr>
          <w:rFonts w:ascii="Times New Roman" w:hAnsi="Times New Roman" w:eastAsia="宋体" w:cs="Times New Roman"/>
          <w:sz w:val="28"/>
          <w:szCs w:val="28"/>
          <w:highlight w:val="none"/>
        </w:rPr>
        <w:t>应付账款余额分别为4,647.51万元、3,586.89万元</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5,234.90万元和5,155.10</w:t>
      </w:r>
      <w:r>
        <w:rPr>
          <w:rFonts w:hint="default" w:ascii="Times New Roman" w:hAnsi="Times New Roman" w:eastAsia="宋体" w:cs="Times New Roman"/>
          <w:sz w:val="28"/>
          <w:szCs w:val="28"/>
          <w:highlight w:val="none"/>
        </w:rPr>
        <w:t>万元。请发行人：</w:t>
      </w:r>
      <w:r>
        <w:rPr>
          <w:rFonts w:ascii="Times New Roman" w:hAnsi="Times New Roman" w:eastAsia="宋体" w:cs="Times New Roman"/>
          <w:sz w:val="28"/>
          <w:szCs w:val="28"/>
          <w:highlight w:val="none"/>
        </w:rPr>
        <w:t>（1）说明各期末应付账款与各类采购项目金额的匹配性；（2）说明向应付账款前五名供应商的采购内容、金额、价格，说明应付账款前五名与主要供应商的匹配情况，是否存在重大差异；结合采购付款的流程、结算方式、供应商给发行人的信用政策，说明应付账款账龄情况，账龄1年以上未付的原因，是否存在超过信用期的应付账款及原因。请保荐机构、</w:t>
      </w:r>
      <w:r>
        <w:rPr>
          <w:rFonts w:hint="default" w:ascii="Times New Roman" w:hAnsi="Times New Roman" w:eastAsia="宋体" w:cs="Times New Roman"/>
          <w:sz w:val="28"/>
          <w:szCs w:val="28"/>
          <w:highlight w:val="none"/>
        </w:rPr>
        <w:t>申报</w:t>
      </w:r>
      <w:r>
        <w:rPr>
          <w:rFonts w:ascii="Times New Roman" w:hAnsi="Times New Roman" w:eastAsia="宋体" w:cs="Times New Roman"/>
          <w:sz w:val="28"/>
          <w:szCs w:val="28"/>
          <w:highlight w:val="none"/>
        </w:rPr>
        <w:t>会计师核查上述事项，并发表明确意见。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eastAsia" w:ascii="Times New Roman" w:hAnsi="Times New Roman" w:eastAsia="黑体" w:cs="Times New Roman"/>
          <w:sz w:val="28"/>
          <w:lang w:val="en-US" w:eastAsia="zh-CN"/>
        </w:rPr>
      </w:pPr>
      <w:r>
        <w:rPr>
          <w:rFonts w:hint="eastAsia" w:ascii="Times New Roman" w:hAnsi="Times New Roman" w:eastAsia="黑体" w:cs="Times New Roman"/>
          <w:sz w:val="28"/>
          <w:lang w:val="en-US" w:eastAsia="zh-CN"/>
        </w:rPr>
        <w:t>与财务会计资料相关的问题</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before="0" w:after="0" w:line="460" w:lineRule="exact"/>
        <w:ind w:left="0" w:leftChars="0" w:right="0" w:rightChars="0" w:firstLine="560" w:firstLineChars="200"/>
        <w:textAlignment w:val="auto"/>
        <w:outlineLvl w:val="9"/>
        <w:rPr>
          <w:rFonts w:hint="default" w:ascii="Times New Roman" w:hAnsi="Times New Roman" w:eastAsia="宋体" w:cs="Times New Roman"/>
          <w:b w:val="0"/>
          <w:sz w:val="28"/>
          <w:szCs w:val="28"/>
          <w:highlight w:val="none"/>
        </w:rPr>
      </w:pPr>
      <w:r>
        <w:rPr>
          <w:rFonts w:hint="default" w:ascii="Times New Roman" w:hAnsi="Times New Roman" w:cs="Times New Roman"/>
          <w:sz w:val="28"/>
          <w:szCs w:val="28"/>
          <w:highlight w:val="none"/>
        </w:rPr>
        <w:t>43</w:t>
      </w:r>
      <w:r>
        <w:rPr>
          <w:rFonts w:hint="default"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lang w:val="en-US" w:eastAsia="zh-CN"/>
        </w:rPr>
        <w:t>请保荐机构和发行人律师专项说明就申请文件所申报的原始财务报表是否为发行人当年实际向税务局报送的报表所履行的核查程序及取得的证据，保荐机构和申报会计师专项说明申请文件所申报的原始财务报表所列示的收入及净利润数据与当年的增值税纳税申报表及年度所得税纳税申报表之间的差异，若有重大差异，应专项说明原因；</w:t>
      </w:r>
      <w:r>
        <w:rPr>
          <w:rFonts w:hint="default" w:ascii="Times New Roman" w:hAnsi="Times New Roman" w:eastAsia="宋体" w:cs="Times New Roman"/>
          <w:sz w:val="28"/>
          <w:szCs w:val="28"/>
          <w:highlight w:val="none"/>
        </w:rPr>
        <w:t>请发行人说明对原始财务报表的调整情</w:t>
      </w:r>
      <w:r>
        <w:rPr>
          <w:rFonts w:hint="default" w:ascii="Times New Roman" w:hAnsi="Times New Roman" w:eastAsia="宋体" w:cs="Times New Roman"/>
          <w:sz w:val="28"/>
          <w:szCs w:val="28"/>
          <w:highlight w:val="none"/>
          <w:lang w:val="en-US" w:eastAsia="zh-CN"/>
        </w:rPr>
        <w:t>况，包括对涉及差异调整的具体事项、内容和理由予以逐项说明，并说明相关项目截止性或重分类调整、差错更正的原因、依据及其合规性，重点说明对损益的影响、涉及纳税义务的处理与履行情况。请保荐</w:t>
      </w:r>
      <w:r>
        <w:rPr>
          <w:rFonts w:hint="default" w:ascii="Times New Roman" w:hAnsi="Times New Roman" w:eastAsia="宋体" w:cs="Times New Roman"/>
          <w:sz w:val="28"/>
          <w:szCs w:val="28"/>
          <w:highlight w:val="none"/>
        </w:rPr>
        <w:t>机构和申报会计师核查调整是否符合企业会计准则的规定。</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b w:val="0"/>
          <w:sz w:val="28"/>
          <w:szCs w:val="28"/>
          <w:highlight w:val="none"/>
        </w:rPr>
      </w:pPr>
      <w:r>
        <w:rPr>
          <w:rFonts w:hint="default" w:ascii="Times New Roman" w:hAnsi="Times New Roman" w:cs="Times New Roman"/>
          <w:b w:val="0"/>
          <w:sz w:val="28"/>
          <w:szCs w:val="28"/>
          <w:highlight w:val="none"/>
        </w:rPr>
        <w:t>44</w:t>
      </w:r>
      <w:r>
        <w:rPr>
          <w:rFonts w:hint="default" w:ascii="Times New Roman" w:hAnsi="Times New Roman" w:eastAsia="宋体" w:cs="Times New Roman"/>
          <w:b w:val="0"/>
          <w:sz w:val="28"/>
          <w:szCs w:val="28"/>
          <w:highlight w:val="none"/>
        </w:rPr>
        <w:t>、请发行人说明财务报表项目比较数据变动幅度达30%以上的情况及原因是否已恰当披露。请保荐机构、申报会计师发表核查意见。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eastAsia" w:ascii="Times New Roman" w:hAnsi="Times New Roman" w:eastAsia="黑体" w:cs="Times New Roman"/>
          <w:sz w:val="28"/>
          <w:lang w:val="en-US" w:eastAsia="zh-CN"/>
        </w:rPr>
      </w:pPr>
      <w:r>
        <w:rPr>
          <w:rFonts w:hint="eastAsia" w:ascii="Times New Roman" w:hAnsi="Times New Roman" w:eastAsia="黑体" w:cs="Times New Roman"/>
          <w:sz w:val="28"/>
          <w:lang w:val="en-US" w:eastAsia="zh-CN"/>
        </w:rPr>
        <w:t>其他问题</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before="0" w:after="0" w:line="460" w:lineRule="exact"/>
        <w:ind w:left="0" w:leftChars="0" w:right="0" w:rightChars="0" w:firstLine="560" w:firstLineChars="200"/>
        <w:textAlignment w:val="auto"/>
        <w:outlineLvl w:val="9"/>
        <w:rPr>
          <w:rFonts w:hint="default" w:ascii="Times New Roman" w:hAnsi="Times New Roman" w:eastAsia="宋体" w:cs="Times New Roman"/>
          <w:sz w:val="28"/>
          <w:szCs w:val="28"/>
          <w:highlight w:val="none"/>
          <w:lang w:val="en-US" w:eastAsia="zh-CN"/>
        </w:rPr>
      </w:pPr>
      <w:r>
        <w:rPr>
          <w:rFonts w:hint="default" w:ascii="Times New Roman" w:hAnsi="Times New Roman" w:cs="Times New Roman"/>
          <w:sz w:val="28"/>
          <w:szCs w:val="28"/>
          <w:highlight w:val="none"/>
          <w:lang w:eastAsia="zh-CN"/>
        </w:rPr>
        <w:t>45</w:t>
      </w:r>
      <w:r>
        <w:rPr>
          <w:rFonts w:hint="default" w:ascii="Times New Roman" w:hAnsi="Times New Roman" w:eastAsia="宋体" w:cs="Times New Roman"/>
          <w:sz w:val="28"/>
          <w:szCs w:val="28"/>
          <w:highlight w:val="none"/>
          <w:lang w:eastAsia="zh-CN"/>
        </w:rPr>
        <w:t>、</w:t>
      </w:r>
      <w:r>
        <w:rPr>
          <w:rFonts w:hint="default" w:ascii="Times New Roman" w:hAnsi="Times New Roman" w:eastAsia="宋体" w:cs="Times New Roman"/>
          <w:sz w:val="28"/>
          <w:szCs w:val="28"/>
          <w:highlight w:val="none"/>
          <w:lang w:val="en-US" w:eastAsia="zh-CN"/>
        </w:rPr>
        <w:t>请发行人、保荐机构及会计师每次报送申报材料时，对申报材料中修正或增加的信息进行特殊标识，并对修正或增加的信息作出书面说明。</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before="0" w:after="0" w:line="460" w:lineRule="exact"/>
        <w:ind w:left="0" w:leftChars="0" w:right="0" w:rightChars="0" w:firstLine="560" w:firstLineChars="200"/>
        <w:jc w:val="left"/>
        <w:textAlignment w:val="auto"/>
        <w:outlineLvl w:val="9"/>
        <w:rPr>
          <w:rFonts w:hint="default" w:ascii="Times New Roman" w:hAnsi="Times New Roman" w:eastAsia="宋体" w:cs="Times New Roman"/>
          <w:sz w:val="28"/>
          <w:szCs w:val="28"/>
          <w:highlight w:val="none"/>
          <w:lang w:eastAsia="zh-CN"/>
        </w:rPr>
      </w:pPr>
      <w:r>
        <w:rPr>
          <w:rFonts w:hint="default" w:ascii="Times New Roman" w:hAnsi="Times New Roman" w:cs="Times New Roman"/>
          <w:sz w:val="28"/>
          <w:szCs w:val="28"/>
          <w:highlight w:val="none"/>
          <w:lang w:eastAsia="zh-CN"/>
        </w:rPr>
        <w:t>46</w:t>
      </w:r>
      <w:r>
        <w:rPr>
          <w:rFonts w:hint="default" w:ascii="Times New Roman" w:hAnsi="Times New Roman" w:eastAsia="宋体" w:cs="Times New Roman"/>
          <w:sz w:val="28"/>
          <w:szCs w:val="28"/>
          <w:highlight w:val="none"/>
          <w:lang w:eastAsia="zh-CN"/>
        </w:rPr>
        <w:t>、</w:t>
      </w:r>
      <w:r>
        <w:rPr>
          <w:rFonts w:hint="default" w:ascii="Times New Roman" w:hAnsi="Times New Roman" w:eastAsia="宋体" w:cs="Times New Roman"/>
          <w:i w:val="0"/>
          <w:caps w:val="0"/>
          <w:spacing w:val="0"/>
          <w:kern w:val="2"/>
          <w:sz w:val="28"/>
          <w:szCs w:val="28"/>
          <w:highlight w:val="none"/>
          <w:lang w:val="en-US" w:eastAsia="zh-CN" w:bidi="ar"/>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bookmarkStart w:id="0" w:name="_GoBack"/>
      <w:bookmarkEnd w:id="0"/>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EF8945"/>
    <w:multiLevelType w:val="singleLevel"/>
    <w:tmpl w:val="5CEF894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7FFC0C0"/>
    <w:rsid w:val="1DE7A82F"/>
    <w:rsid w:val="1E55034A"/>
    <w:rsid w:val="26A13CE2"/>
    <w:rsid w:val="27C800C3"/>
    <w:rsid w:val="2BBB6B17"/>
    <w:rsid w:val="2D9F69A7"/>
    <w:rsid w:val="2F7F1EAC"/>
    <w:rsid w:val="37EDAD30"/>
    <w:rsid w:val="3AD7EBA5"/>
    <w:rsid w:val="3B652498"/>
    <w:rsid w:val="3CDFE19F"/>
    <w:rsid w:val="3FC7D60B"/>
    <w:rsid w:val="5EFFAB86"/>
    <w:rsid w:val="5F6B20CA"/>
    <w:rsid w:val="5FF34D79"/>
    <w:rsid w:val="6AEFDBE7"/>
    <w:rsid w:val="6D7FBAC5"/>
    <w:rsid w:val="6E06D07B"/>
    <w:rsid w:val="6FEF9D0D"/>
    <w:rsid w:val="75FFA0B9"/>
    <w:rsid w:val="79FF7D71"/>
    <w:rsid w:val="7BBDD0B6"/>
    <w:rsid w:val="8BD2456D"/>
    <w:rsid w:val="9FFF97CB"/>
    <w:rsid w:val="D6FFD827"/>
    <w:rsid w:val="DABDED2D"/>
    <w:rsid w:val="DF982D2A"/>
    <w:rsid w:val="EB740799"/>
    <w:rsid w:val="EFE79B86"/>
    <w:rsid w:val="F1FF7208"/>
    <w:rsid w:val="F7F7200B"/>
    <w:rsid w:val="FBBFF6B1"/>
    <w:rsid w:val="FDD7F21E"/>
    <w:rsid w:val="FF753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paragraph" w:styleId="3">
    <w:name w:val="Body Text Indent"/>
    <w:basedOn w:val="1"/>
    <w:qFormat/>
    <w:uiPriority w:val="99"/>
    <w:pPr>
      <w:adjustRightInd w:val="0"/>
      <w:snapToGrid w:val="0"/>
      <w:spacing w:beforeLines="50" w:line="360" w:lineRule="auto"/>
      <w:ind w:firstLine="480"/>
    </w:pPr>
    <w:rPr>
      <w:rFonts w:hint="eastAsia" w:ascii="宋体" w:hAnsi="宋体"/>
      <w:sz w:val="2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character" w:styleId="9">
    <w:name w:val="page number"/>
    <w:basedOn w:val="8"/>
    <w:qFormat/>
    <w:uiPriority w:val="0"/>
  </w:style>
  <w:style w:type="paragraph" w:customStyle="1" w:styleId="10">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1">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2">
    <w:name w:val=" Char Char Char Char"/>
    <w:basedOn w:val="1"/>
    <w:qFormat/>
    <w:uiPriority w:val="0"/>
    <w:pPr>
      <w:widowControl/>
      <w:spacing w:after="160" w:afterLines="0" w:line="240" w:lineRule="exact"/>
      <w:jc w:val="left"/>
    </w:pPr>
  </w:style>
  <w:style w:type="paragraph" w:customStyle="1" w:styleId="13">
    <w:name w:val=" Char1 Char Char Char"/>
    <w:basedOn w:val="1"/>
    <w:qFormat/>
    <w:uiPriority w:val="0"/>
    <w:pPr>
      <w:widowControl/>
      <w:spacing w:after="160" w:afterLines="0" w:afterAutospacing="0" w:line="240" w:lineRule="exact"/>
      <w:jc w:val="left"/>
    </w:pPr>
  </w:style>
  <w:style w:type="paragraph" w:customStyle="1" w:styleId="14">
    <w:name w:val="005正文"/>
    <w:basedOn w:val="1"/>
    <w:qFormat/>
    <w:uiPriority w:val="0"/>
    <w:pPr>
      <w:adjustRightInd w:val="0"/>
      <w:snapToGrid w:val="0"/>
      <w:spacing w:before="50" w:beforeLines="50" w:line="360" w:lineRule="auto"/>
      <w:ind w:firstLine="200" w:firstLineChars="200"/>
    </w:pPr>
  </w:style>
  <w:style w:type="paragraph" w:customStyle="1" w:styleId="15">
    <w:name w:val="招股书正文"/>
    <w:qFormat/>
    <w:uiPriority w:val="0"/>
    <w:pPr>
      <w:widowControl w:val="0"/>
      <w:overflowPunct w:val="0"/>
      <w:autoSpaceDE w:val="0"/>
      <w:autoSpaceDN w:val="0"/>
      <w:adjustRightInd w:val="0"/>
      <w:snapToGrid w:val="0"/>
      <w:spacing w:before="120" w:line="360" w:lineRule="auto"/>
      <w:ind w:firstLine="480" w:firstLineChars="200"/>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13</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2022-08-30T09:30:00Z</dcterms:created>
  <dc:creator>jqqin</dc:creator>
  <cp:lastModifiedBy>殷明明</cp:lastModifiedBy>
  <dcterms:modified xsi:type="dcterms:W3CDTF">2023-01-09T18:53:29Z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